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D142455A-2698-4BC6-AC84-22729E885EC5" style="width:450.4pt;height:37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lang w:val="ru-RU"/>
        </w:rPr>
      </w:pPr>
      <w:bookmarkStart w:id="0" w:name="_GoBack"/>
      <w:bookmarkEnd w:id="0"/>
      <w:r>
        <w:rPr>
          <w:noProof/>
        </w:rPr>
        <w:lastRenderedPageBreak/>
        <w:t>ОБЯСНИТЕЛЕН МЕМОРАНДУМ</w:t>
      </w:r>
    </w:p>
    <w:p>
      <w:pPr>
        <w:spacing w:before="0" w:after="0"/>
        <w:rPr>
          <w:noProof/>
          <w:lang w:val="ru-RU"/>
        </w:rPr>
      </w:pPr>
    </w:p>
    <w:p>
      <w:pPr>
        <w:pStyle w:val="ManualHeading1"/>
        <w:rPr>
          <w:noProof/>
        </w:rPr>
      </w:pPr>
      <w:r>
        <w:rPr>
          <w:noProof/>
        </w:rPr>
        <w:lastRenderedPageBreak/>
        <w:t>1.</w:t>
      </w:r>
      <w:r>
        <w:rPr>
          <w:noProof/>
        </w:rPr>
        <w:tab/>
        <w:t>КОНТЕКСТ НА ПРЕДЛОЖЕНИЕТО</w:t>
      </w:r>
    </w:p>
    <w:p>
      <w:pPr>
        <w:pStyle w:val="ManualHeading2"/>
        <w:rPr>
          <w:rFonts w:eastAsia="Arial Unicode MS"/>
          <w:noProof/>
        </w:rPr>
      </w:pPr>
      <w:r>
        <w:rPr>
          <w:noProof/>
        </w:rPr>
        <w:t>•</w:t>
      </w:r>
      <w:r>
        <w:rPr>
          <w:noProof/>
        </w:rPr>
        <w:tab/>
        <w:t>Основания и цели на предложението</w:t>
      </w:r>
    </w:p>
    <w:p>
      <w:pPr>
        <w:keepNext/>
        <w:rPr>
          <w:noProof/>
        </w:rPr>
      </w:pPr>
      <w:r>
        <w:rPr>
          <w:noProof/>
        </w:rPr>
        <w:t>На 28 февруари 2007 г. влезе в сила Споразумение за партньорство в рибарството между Европейската общност и Кралство Мароко</w:t>
      </w:r>
      <w:r>
        <w:rPr>
          <w:rStyle w:val="FootnoteReference"/>
          <w:noProof/>
        </w:rPr>
        <w:footnoteReference w:id="1"/>
      </w:r>
      <w:r>
        <w:rPr>
          <w:noProof/>
        </w:rPr>
        <w:t>. Срокът на действие на последния протокол за прилагане към посоченото споразумение</w:t>
      </w:r>
      <w:r>
        <w:rPr>
          <w:rStyle w:val="FootnoteReference"/>
          <w:noProof/>
        </w:rPr>
        <w:footnoteReference w:id="2"/>
      </w:r>
      <w:r>
        <w:rPr>
          <w:noProof/>
        </w:rPr>
        <w:t>, който влезе в сила на 15 юли 2014 г., изтече на 14 юли 2018 г. Като цяло действащото споразумение за партньорство е в съответствие с отношенията между Съюза и Мароко, отразени в Евро-средиземноморското споразумение за асоцииране между Европейските общности и техните държави членки, от една страна, и Кралство Мароко, от друга страна</w:t>
      </w:r>
      <w:r>
        <w:rPr>
          <w:rStyle w:val="FootnoteReference"/>
          <w:noProof/>
        </w:rPr>
        <w:footnoteReference w:id="3"/>
      </w:r>
      <w:r>
        <w:rPr>
          <w:noProof/>
        </w:rPr>
        <w:t>, влязло в сила през 2000 г. Споразумението има за цел да осигури доброто управление и устойчивостта на рибните ресурси от екологична, икономическа и социална гледна точка.</w:t>
      </w:r>
    </w:p>
    <w:p>
      <w:pPr>
        <w:keepNext/>
        <w:rPr>
          <w:noProof/>
        </w:rPr>
      </w:pPr>
      <w:r>
        <w:rPr>
          <w:noProof/>
        </w:rPr>
        <w:t>Въз основа на указанията за водене на преговори, приети от Съвета</w:t>
      </w:r>
      <w:r>
        <w:rPr>
          <w:rStyle w:val="FootnoteReference"/>
          <w:noProof/>
        </w:rPr>
        <w:footnoteReference w:id="4"/>
      </w:r>
      <w:r>
        <w:rPr>
          <w:noProof/>
        </w:rPr>
        <w:t xml:space="preserve">, Комисията проведе преговори с правителството на Мароко с цел изменение на Споразумението за партньорство в областта на рибарството между Европейската общност и Кралство Мароко и договаряне на нов протокол за прилагане към посоченото споразумение. </w:t>
      </w:r>
    </w:p>
    <w:p>
      <w:pPr>
        <w:keepNext/>
        <w:rPr>
          <w:noProof/>
        </w:rPr>
      </w:pPr>
      <w:r>
        <w:rPr>
          <w:noProof/>
        </w:rPr>
        <w:t>При тези преговори и постигнатите чрез тях текстове се отчита изцяло решението на Съда на Европейския съюз от 27 февруари 2018 г. по дело C-266/16</w:t>
      </w:r>
      <w:r>
        <w:rPr>
          <w:rStyle w:val="FootnoteReference"/>
          <w:noProof/>
        </w:rPr>
        <w:footnoteReference w:id="5"/>
      </w:r>
      <w:r>
        <w:rPr>
          <w:noProof/>
        </w:rPr>
        <w:t>, който постанови, че Споразумението в областта на рибарството и протоколът към него не се прилагат по отношение на водите, прилежащи към територията на Западна Сахара. С оглед на съображенията в решението на Съда и съгласно желанието на двете страни, при преговорите тази територия и прилежащите към нея води бяха все пак включени в партньорството в областта на рибарството по редица причини. На първо място, от икономическа гледна точка е важно флотът на Съюза да извършва риболовните си дейности, включително и в тези води, в сигурна правна рамка с ясно определен географски обхват. Предвижда се също така посочената територия и нейното население да се възползват от икономическото и социално въздействие на споразумението, пропорционално на риболовните дейности, по-специално чрез извършваните от флота на ЕС разтоварвания на улов, наемането на моряци, инвестициите и други действия в подкрепа на сектора, за които дава възможност финансовото участие, предвидено в протокола към Споразумението в областта на рибарството. Освен това трябва да се отбележи, че Кралство Мароко, което управлява тази територия (или поне по-голямата част от нея), е единственият субект, с който може да бъде сключено такова споразумение, като се има предвид, че никой друг субект не би могъл да гарантира устойчивото използване на тези ресурси, както и управлението и контрола на средствата за секторна подкрепа, предназначени за територията на Западна Сахара и нейното население.</w:t>
      </w:r>
    </w:p>
    <w:p>
      <w:pPr>
        <w:keepNext/>
        <w:rPr>
          <w:noProof/>
        </w:rPr>
      </w:pPr>
      <w:r>
        <w:rPr>
          <w:noProof/>
        </w:rPr>
        <w:t xml:space="preserve">Предложението за ново споразумение и нов протокол се изготвя също така при пълно зачитане на международното право и правото на Съюза. Съюзът непрекъснато потвърждава ангажимента си за уреждането на спора в Западна Сахара и подкрепя усилията, полагани от генералния секретар на Организацията на обединените нации и от личния му пратеник, за подпомагане на страните да постигнат справедливо, трайно и взаимноприемливо политическо решение. В тази връзка в размяната на писма, придружаваща настоящото предложение, се припомня позицията на Съюза по отношение на Западна Сахара.  </w:t>
      </w:r>
    </w:p>
    <w:p>
      <w:pPr>
        <w:keepNext/>
        <w:rPr>
          <w:noProof/>
        </w:rPr>
      </w:pPr>
      <w:r>
        <w:rPr>
          <w:noProof/>
        </w:rPr>
        <w:t xml:space="preserve">Текстовете, договорени след няколко кръга от преговори, включват самото споразумение, с което се създава партньорство в областта на устойчивото рибарство между Европейския съюз и Кралство Мароко (наричано по-нататък „Споразумение в областта на рибарството“) и което заменя споразумението от 2007 г., нов протокол за прилагане, приложение и допълнения, както и размяна на писма. Тези текстове бяха парафирани на 24 юли 2018 г. </w:t>
      </w:r>
    </w:p>
    <w:p>
      <w:pPr>
        <w:keepNext/>
        <w:rPr>
          <w:noProof/>
        </w:rPr>
      </w:pPr>
      <w:r>
        <w:rPr>
          <w:noProof/>
        </w:rPr>
        <w:t xml:space="preserve">Протоколът обхваща период от четири години, считано от датата на прилагането му, определена в член 16 от него. Новото Споразумение в областта на рибарството отменя Споразумението за партньорство в областта на рибарството между Европейската общност и Кралство Мароко, влязло в сила на 28 февруари 2007 г. В него се предвижда възможността за неговото временно прилагане преди сключването му; въпреки това не се счита за необходимо да бъде предложено такова временно прилагане. Целта на новото споразумение е да отразява принципите на реформата от 2009 г., а именно добро управление на рибарството и устойчивост, зачитане на правата на човека, прозрачност и недискриминация. Изменението на споразумението е необходимо също и за да бъде спазено решението на Съда от 27 февруари 2018 г. и да се осигури правно основание за прилагането на споразумението по отношение на водите, прилежащи към територията на Западна Сахара. </w:t>
      </w:r>
    </w:p>
    <w:p>
      <w:pPr>
        <w:keepNext/>
        <w:rPr>
          <w:noProof/>
        </w:rPr>
      </w:pPr>
      <w:r>
        <w:rPr>
          <w:noProof/>
        </w:rPr>
        <w:t>Съгласно указанията за водене на преговори Споразумението в областта на рибарството осигурява гаранции за справедливо географско разпределение на социално-икономическите ползи, пропорционално на риболовните дейности и произтичащо от използването на общото финансово участие по споразумението (тоест както финансовата компенсация за достъп и тази за секторна подкрепа, така и заплащаните от корабособствениците такси). Гаранциите включват по-специално контрол на разпределението на тези средства и тяхното използване, който е от компетентността на създадения със споразумението Съвместен комитет, съставен от представители на двете страни. Освен това съществуват разпоредби, в които се предвижда Мароко да представя редовни доклади за действията, осъществени в рамките на посоченото споразумение.</w:t>
      </w:r>
    </w:p>
    <w:p>
      <w:pPr>
        <w:keepNext/>
        <w:rPr>
          <w:noProof/>
        </w:rPr>
      </w:pPr>
      <w:r>
        <w:rPr>
          <w:noProof/>
        </w:rPr>
        <w:t>И накрая, настоящото предложение се придружава от работен документ на службите на Комисията, озаглавен „Доклад относно оценката на ползите за населението на Западна Сахара от Споразумението за партньорство в областта на устойчивото рибарство между Европейския съюз и Кралство Мароко и протокола за прилагане към него и относно консултацията с това население“. Този доклад включва оценка на потенциалните последици от споразумението и от протокола към него върху устойчивото развитие, по-специално по отношение на въздействието върху засегнатото население и използването на природните ресурси на съответните територии, както и обобщение на процеса на консултации с това население, съгласно указанията за водене на преговори, които превърнаха участието на това население в решаващ елемент от процеса на подновяване на Споразумението в областта на рибарството.</w:t>
      </w:r>
    </w:p>
    <w:p>
      <w:pPr>
        <w:pStyle w:val="ManualHeading2"/>
        <w:rPr>
          <w:rFonts w:eastAsia="Arial Unicode MS"/>
          <w:noProof/>
          <w:u w:color="000000"/>
          <w:bdr w:val="nil"/>
        </w:rPr>
      </w:pPr>
      <w:r>
        <w:rPr>
          <w:noProof/>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Основната цел на Споразумението в областта на рибарството и на новия протокол към него е да се установи устойчиво рибарство посредством партньорство и да се предоставят на корабите на Съюза възможности за риболов в риболовната зона, определена в Споразумението в областта на рибарството. Предлаганите възможности се основават на най-добрите налични научни становища, като по отношение на далекомигриращите рибни запаси се спазват препоръките на Международната комисия за опазване на рибата тон в Атлантическия океан (ICCAT). С новия протокол се вземат предвид резултатите от оценката на предишния протокол (2014—2018 г.) и прогнозната оценка на възможността да се сключи нов протокол. И двете оценки са извършени от външни експерти. Протоколът ще даде възможност на Европейския съюз и на Кралство Мароко да засилят партньорството си, с цел да се насърчава отговорното използване на рибните ресурси в риболовната зона и да се подкрепят усилията на Кралство Мароко да развива синята си икономика. Тези елементи са съгласувани с целите и задълженията в рамките на общата политика в областта на рибарството</w:t>
      </w:r>
      <w:r>
        <w:rPr>
          <w:rStyle w:val="FootnoteReference"/>
          <w:noProof/>
        </w:rPr>
        <w:footnoteReference w:id="6"/>
      </w:r>
      <w:r>
        <w:rPr>
          <w:noProof/>
        </w:rPr>
        <w:t xml:space="preserve">. </w:t>
      </w:r>
    </w:p>
    <w:p>
      <w:pPr>
        <w:pBdr>
          <w:top w:val="nil"/>
          <w:left w:val="nil"/>
          <w:bottom w:val="nil"/>
          <w:right w:val="nil"/>
          <w:between w:val="nil"/>
          <w:bar w:val="nil"/>
        </w:pBdr>
        <w:spacing w:before="0" w:after="240"/>
        <w:rPr>
          <w:noProof/>
        </w:rPr>
      </w:pPr>
      <w:r>
        <w:rPr>
          <w:noProof/>
        </w:rPr>
        <w:t>Протоколът предвижда възможности за риболов за 128 кораба в 6 категории:</w:t>
      </w:r>
    </w:p>
    <w:p>
      <w:pPr>
        <w:pBdr>
          <w:top w:val="nil"/>
          <w:left w:val="nil"/>
          <w:bottom w:val="nil"/>
          <w:right w:val="nil"/>
          <w:between w:val="nil"/>
          <w:bar w:val="nil"/>
        </w:pBdr>
        <w:spacing w:before="0" w:after="240"/>
        <w:rPr>
          <w:noProof/>
        </w:rPr>
      </w:pPr>
      <w:r>
        <w:rPr>
          <w:noProof/>
        </w:rPr>
        <w:t>—</w:t>
      </w:r>
      <w:r>
        <w:rPr>
          <w:noProof/>
        </w:rPr>
        <w:tab/>
        <w:t>2 категории за непромишлен риболов — север: пелагичен с мрежи гъргър и дънни парагади,</w:t>
      </w:r>
    </w:p>
    <w:p>
      <w:pPr>
        <w:pBdr>
          <w:top w:val="nil"/>
          <w:left w:val="nil"/>
          <w:bottom w:val="nil"/>
          <w:right w:val="nil"/>
          <w:between w:val="nil"/>
          <w:bar w:val="nil"/>
        </w:pBdr>
        <w:spacing w:before="0" w:after="240"/>
        <w:rPr>
          <w:noProof/>
        </w:rPr>
      </w:pPr>
      <w:r>
        <w:rPr>
          <w:noProof/>
        </w:rPr>
        <w:t>—</w:t>
      </w:r>
      <w:r>
        <w:rPr>
          <w:noProof/>
        </w:rPr>
        <w:tab/>
        <w:t>непромишлен риболов с влачещи и други въдици — юг,</w:t>
      </w:r>
    </w:p>
    <w:p>
      <w:pPr>
        <w:pBdr>
          <w:top w:val="nil"/>
          <w:left w:val="nil"/>
          <w:bottom w:val="nil"/>
          <w:right w:val="nil"/>
          <w:between w:val="nil"/>
          <w:bar w:val="nil"/>
        </w:pBdr>
        <w:spacing w:before="0" w:after="240"/>
        <w:rPr>
          <w:noProof/>
        </w:rPr>
      </w:pPr>
      <w:r>
        <w:rPr>
          <w:noProof/>
        </w:rPr>
        <w:t>—</w:t>
      </w:r>
      <w:r>
        <w:rPr>
          <w:noProof/>
        </w:rPr>
        <w:tab/>
        <w:t>дънен риболов с дънни тралове и дънни парагади — юг,</w:t>
      </w:r>
    </w:p>
    <w:p>
      <w:pPr>
        <w:pBdr>
          <w:top w:val="nil"/>
          <w:left w:val="nil"/>
          <w:bottom w:val="nil"/>
          <w:right w:val="nil"/>
          <w:between w:val="nil"/>
          <w:bar w:val="nil"/>
        </w:pBdr>
        <w:spacing w:before="0" w:after="240"/>
        <w:rPr>
          <w:noProof/>
        </w:rPr>
      </w:pPr>
      <w:r>
        <w:rPr>
          <w:noProof/>
        </w:rPr>
        <w:t>—</w:t>
      </w:r>
      <w:r>
        <w:rPr>
          <w:noProof/>
        </w:rPr>
        <w:tab/>
        <w:t>непромишлен улов на риба тон с въдици,</w:t>
      </w:r>
    </w:p>
    <w:p>
      <w:pPr>
        <w:pBdr>
          <w:top w:val="nil"/>
          <w:left w:val="nil"/>
          <w:bottom w:val="nil"/>
          <w:right w:val="nil"/>
          <w:between w:val="nil"/>
          <w:bar w:val="nil"/>
        </w:pBdr>
        <w:spacing w:before="0" w:after="240"/>
        <w:rPr>
          <w:noProof/>
        </w:rPr>
      </w:pPr>
      <w:r>
        <w:rPr>
          <w:noProof/>
        </w:rPr>
        <w:t>—</w:t>
      </w:r>
      <w:r>
        <w:rPr>
          <w:noProof/>
        </w:rPr>
        <w:tab/>
        <w:t>промишлен пелагичен риболов с пелагични или полупелагични тралове и с мрежи гъргър.</w:t>
      </w:r>
    </w:p>
    <w:p>
      <w:pPr>
        <w:pStyle w:val="ManualHeading2"/>
        <w:rPr>
          <w:rFonts w:eastAsia="Arial Unicode MS"/>
          <w:noProof/>
        </w:rPr>
      </w:pPr>
      <w:r>
        <w:rPr>
          <w:noProof/>
        </w:rPr>
        <w:t>•</w:t>
      </w:r>
      <w:r>
        <w:rPr>
          <w:noProof/>
        </w:rPr>
        <w:tab/>
        <w:t>Съгласуваност с други политики на Съюза</w:t>
      </w:r>
    </w:p>
    <w:p>
      <w:pPr>
        <w:pBdr>
          <w:top w:val="nil"/>
          <w:left w:val="nil"/>
          <w:bottom w:val="nil"/>
          <w:right w:val="nil"/>
          <w:between w:val="nil"/>
          <w:bar w:val="nil"/>
        </w:pBdr>
        <w:spacing w:before="0" w:after="240"/>
        <w:rPr>
          <w:noProof/>
        </w:rPr>
      </w:pPr>
      <w:r>
        <w:rPr>
          <w:noProof/>
        </w:rPr>
        <w:t>Преговорите за Споразумение за партньорство в областта на устойчивото рибарство с Кралство Мароко са в съответствие с външната дейност на Съюза и отчитат по-специално целите на Съюза в областта на спазването на демократичните принципи и на правата на човека. Те са съгласувани с позицията на Съюза да подкрепя положените усилия от генералния секретар на Организацията на обединените нации и от личния му пратеник за подпомагане на страните да постигнат справедливо, трайно и взаимноприемливо политическо решение, което да позволи самоопределението на народа на Западна Сахара в рамките на договорености в съответствие с принципите и целите на Устава на Организацията на обединените нации, така както са залегнали в резолюциите на Съвета за сигурност на Организацията на обединените нации, и по-специално неговите резолюции 2152 (2014 г.), 2218 (2015 г.), 2385 (2016 г.), 2351 (2017 г.) и 2414 (2018 г.). Сключването на Споразумението в областта на рибарството не предопределя резултата от политическия процес относно окончателния статут на Западна Сахара.</w:t>
      </w:r>
    </w:p>
    <w:p>
      <w:pPr>
        <w:pStyle w:val="ManualHeading1"/>
        <w:rPr>
          <w:noProof/>
        </w:rPr>
      </w:pPr>
      <w:r>
        <w:rPr>
          <w:noProof/>
        </w:rPr>
        <w:t>2.</w:t>
      </w:r>
      <w:r>
        <w:rPr>
          <w:noProof/>
        </w:rPr>
        <w:tab/>
        <w:t>ПРАВНО ОСНОВАНИЕ, СУБИСИДИАРНОСТ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 xml:space="preserve">Избраното правно основание е Договорът за функционирането на Европейския съюз, където в член 43, параграф 2 се определя общата политика в областта на рибарството, а в член 218, параграф 6, буква а), подточка v) се определя съответният етап от процедурата за водене на преговори и сключване на споразумения между Съюза и трети държави. </w:t>
      </w:r>
    </w:p>
    <w:p>
      <w:pPr>
        <w:pStyle w:val="ManualHeading2"/>
        <w:rPr>
          <w:rFonts w:eastAsia="Arial Unicode MS"/>
          <w:noProof/>
          <w:u w:color="000000"/>
          <w:bdr w:val="nil"/>
        </w:rPr>
      </w:pPr>
      <w:r>
        <w:rPr>
          <w:noProof/>
        </w:rPr>
        <w:t>•</w:t>
      </w:r>
      <w:r>
        <w:rPr>
          <w:noProof/>
        </w:rPr>
        <w:tab/>
        <w:t>Субсидиарност (при неизключителна компетентност)</w:t>
      </w:r>
    </w:p>
    <w:p>
      <w:pPr>
        <w:pBdr>
          <w:top w:val="nil"/>
          <w:left w:val="nil"/>
          <w:bottom w:val="nil"/>
          <w:right w:val="nil"/>
          <w:between w:val="nil"/>
          <w:bar w:val="nil"/>
        </w:pBdr>
        <w:spacing w:before="0" w:after="240"/>
        <w:rPr>
          <w:rFonts w:eastAsia="Arial Unicode MS"/>
          <w:noProof/>
        </w:rPr>
      </w:pPr>
      <w:r>
        <w:rPr>
          <w:noProof/>
        </w:rPr>
        <w:t>Предложението попада в обхвата на изключителната компетентност.</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 xml:space="preserve">Предложението е пропорционално на целта за осигуряване на правна, екологична, икономическа и социална рамка за управление на риболовните дейности, извършвани от корабите на Съюза във водите на трети държави, определена в член 31 от Регламента за общата политика в областта на рибарството. Предложението е в съответствие с посочените разпоредби и с определените в член 32 от същия регламент разпоредби относно финансовата помощ за трети държави.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През 2017 г. Комисията извърши последваща оценка на протокола за периода 2014—2018 г. към Споразумението за партньорство в областта на рибарството между Европейската общност и Кралство Мароко, както и предварителна оценка на евентуалното подновяване на протокола. Заключенията от оценката са изложени в отделен работен документ</w:t>
      </w:r>
      <w:r>
        <w:rPr>
          <w:rStyle w:val="FootnoteReference"/>
          <w:noProof/>
        </w:rPr>
        <w:footnoteReference w:id="7"/>
      </w:r>
      <w:r>
        <w:rPr>
          <w:noProof/>
        </w:rPr>
        <w:t>.</w:t>
      </w:r>
    </w:p>
    <w:p>
      <w:pPr>
        <w:pBdr>
          <w:top w:val="nil"/>
          <w:left w:val="nil"/>
          <w:bottom w:val="nil"/>
          <w:right w:val="nil"/>
          <w:between w:val="nil"/>
          <w:bar w:val="nil"/>
        </w:pBdr>
        <w:spacing w:before="0" w:after="240"/>
        <w:rPr>
          <w:rFonts w:eastAsia="Arial Unicode MS"/>
          <w:noProof/>
        </w:rPr>
      </w:pPr>
      <w:r>
        <w:rPr>
          <w:noProof/>
        </w:rPr>
        <w:t xml:space="preserve">В заключенията от оценката се посочва, че секторът на рибарството в Съюза е силно заинтересован от възможността да извършва дейност в определената от протокола риболовна зона и че подновяването на протокола ще допринесе за засилване на наблюдението, контрола и надзора, както и за по-доброто управление на рибарството в региона. </w:t>
      </w:r>
    </w:p>
    <w:p>
      <w:pPr>
        <w:pStyle w:val="ManualHeading2"/>
        <w:rPr>
          <w:rFonts w:eastAsia="Arial Unicode MS"/>
          <w:noProof/>
          <w:u w:color="000000"/>
          <w:bdr w:val="nil"/>
        </w:rPr>
      </w:pPr>
      <w:r>
        <w:rPr>
          <w:noProof/>
        </w:rPr>
        <w:t>•</w:t>
      </w:r>
      <w:r>
        <w:rPr>
          <w:noProof/>
        </w:rPr>
        <w:tab/>
        <w:t>Консултация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В рамките на оценката бяха проведени консултации с държавите членки, представители на сектора и международни организации на гражданското общество, както и с органа за управление на рибарството и представители на гражданското общество в Кралство Мароко. Бяха проведени също така консултации в рамките на Консултативния съвет по далечно плаване, както и консултации със засегнатото население на Западна Сахара, осъществени от Комисията и Европейската служба за външна дейност (ЕСВД), за да може това население да изрази мнението си относно разширяването на партньорството в прилежащите към Западна Сахара води и да се възползва от социално-икономическото въздействие на Споразумението в областта на рибарството, пропорционално на риболовните дейности. Като работен документ на службите на Комисията, към настоящото предложение е приложен доклад относно оценката на ползите за това население и относно проведените консултации. От доклада е видно, че социално-икономическото въздействие на Споразумението в областта на рибарството ще бъде благоприятно за засегнатото население и че въздействието му върху устойчивото развитие на природните ресурси ще бъде положително. От своя страна участвалите в консултациите социално-икономически и политически заинтересовани страни се изказаха категорично в подкрепа на сключването на Споразумението в областта на рибарството, въпреки че фронтът „Полисарио“, както и други заинтересовани страни, отказаха да участват в процеса на консултации поради принципни съображения. Поради това може да се заключи, че Комисията, заедно с ЕСВД, е взела всички разумни и възможни в настоящия контекст мерки, за да осигури подходящо участие на засегнатото население.</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В съответствие с разпоредбите на член 31, параграф 10 от Регламента за общата политика в областта на рибарството Комисията възложи на независим консултант извършването на последващата и предварителната оценка.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Годишното финансово участие възлиза на 37 000 000 EUR, увеличавано всяка година до достигане на 42 400 000 EUR през последната година въз основа на:</w:t>
      </w:r>
    </w:p>
    <w:p>
      <w:pPr>
        <w:pBdr>
          <w:top w:val="nil"/>
          <w:left w:val="nil"/>
          <w:bottom w:val="nil"/>
          <w:right w:val="nil"/>
          <w:between w:val="nil"/>
          <w:bar w:val="nil"/>
        </w:pBdr>
        <w:spacing w:before="0" w:after="240"/>
        <w:rPr>
          <w:noProof/>
        </w:rPr>
      </w:pPr>
      <w:r>
        <w:rPr>
          <w:noProof/>
        </w:rPr>
        <w:t xml:space="preserve">a) финансова компенсация за достъп на корабите на Съюза в размер на 19 100 000 EUR за първата година от прилагането на протокола, увеличена на 20 000 000 EUR за втората година и на 21 900 000 EUR за третата и четвъртата година; </w:t>
      </w:r>
    </w:p>
    <w:p>
      <w:pPr>
        <w:pBdr>
          <w:top w:val="nil"/>
          <w:left w:val="nil"/>
          <w:bottom w:val="nil"/>
          <w:right w:val="nil"/>
          <w:between w:val="nil"/>
          <w:bar w:val="nil"/>
        </w:pBdr>
        <w:spacing w:before="0" w:after="240"/>
        <w:rPr>
          <w:rFonts w:eastAsia="Arial Unicode MS"/>
          <w:noProof/>
        </w:rPr>
      </w:pPr>
      <w:r>
        <w:rPr>
          <w:noProof/>
        </w:rPr>
        <w:t xml:space="preserve">б) подкрепа за развитието на секторната политика в областта на рибарството на Кралство Мароко в размер на 17 900 000 EUR годишно за първата година от прилагането на протокола, увеличена на 18 800 000 EUR за втората година и на 20 500 000 EUR за третата и четвъртата година. Тази подкрепа отговаря на целите на националната политика в областта на устойчивото управление на сладководните и морските рибни ресурси на Кралство Мароко.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наблюдение, оценка и докладване</w:t>
      </w:r>
    </w:p>
    <w:p>
      <w:pPr>
        <w:pBdr>
          <w:top w:val="nil"/>
          <w:left w:val="nil"/>
          <w:bottom w:val="nil"/>
          <w:right w:val="nil"/>
          <w:between w:val="nil"/>
          <w:bar w:val="nil"/>
        </w:pBdr>
        <w:spacing w:before="0" w:after="240"/>
        <w:rPr>
          <w:rFonts w:eastAsia="Arial Unicode MS"/>
          <w:noProof/>
        </w:rPr>
      </w:pPr>
      <w:r>
        <w:rPr>
          <w:noProof/>
        </w:rPr>
        <w:t>Механизмът за наблюдение е предвиден в протокола, включен в новото споразумение за партньорство.</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2018/0349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сключването на Споразумението за партньорство в областта на устойчивото рибарство между Европейския съюз и Кралство Мароко, протокола за прилагане към него и размяната на писма, придружаваща посоченото споразумение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2 във връзка с член 218, параграф 6, буква а), подточка v) и член 218, параграф 7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r>
        <w:rPr>
          <w:rStyle w:val="FootnoteReference"/>
          <w:noProof/>
        </w:rPr>
        <w:footnoteReference w:id="8"/>
      </w:r>
      <w:r>
        <w:rPr>
          <w:noProof/>
        </w:rPr>
        <w:t>,</w:t>
      </w:r>
    </w:p>
    <w:p>
      <w:pPr>
        <w:rPr>
          <w:noProof/>
        </w:rPr>
      </w:pPr>
      <w:r>
        <w:rPr>
          <w:noProof/>
        </w:rPr>
        <w:t>като има предвид, че:</w:t>
      </w:r>
    </w:p>
    <w:p>
      <w:pPr>
        <w:pStyle w:val="ManualConsidrant"/>
        <w:rPr>
          <w:noProof/>
        </w:rPr>
      </w:pPr>
      <w:r>
        <w:t>(1)</w:t>
      </w:r>
      <w:r>
        <w:tab/>
      </w:r>
      <w:r>
        <w:rPr>
          <w:noProof/>
        </w:rPr>
        <w:t>На 22 май 2006 г. Съветът прие Регламент (ЕО) №°764/2006 относно сключване на Споразумението за партньорство между Европейската общност и Кралство Мароко, което споразумение впоследствие бе подновено с мълчаливо съгласие.</w:t>
      </w:r>
    </w:p>
    <w:p>
      <w:pPr>
        <w:pStyle w:val="ManualConsidrant"/>
        <w:rPr>
          <w:noProof/>
        </w:rPr>
      </w:pPr>
      <w:r>
        <w:t>(2)</w:t>
      </w:r>
      <w:r>
        <w:tab/>
      </w:r>
      <w:r>
        <w:rPr>
          <w:noProof/>
        </w:rPr>
        <w:t>Срокът на действие на последния протокол за прилагане към посоченото споразумение и за определяне за възможностите за риболов и на финансовото участие, предвидени в същото споразумение, изтече на 14 юли 2018 г.</w:t>
      </w:r>
    </w:p>
    <w:p>
      <w:pPr>
        <w:pStyle w:val="ManualConsidrant"/>
        <w:rPr>
          <w:noProof/>
        </w:rPr>
      </w:pPr>
      <w:r>
        <w:t>(3)</w:t>
      </w:r>
      <w:r>
        <w:tab/>
      </w:r>
      <w:r>
        <w:rPr>
          <w:noProof/>
        </w:rPr>
        <w:t>В своето решение по дело C-266/16</w:t>
      </w:r>
      <w:r>
        <w:rPr>
          <w:rStyle w:val="FootnoteReference"/>
          <w:noProof/>
        </w:rPr>
        <w:footnoteReference w:id="9"/>
      </w:r>
      <w:r>
        <w:rPr>
          <w:noProof/>
        </w:rPr>
        <w:t xml:space="preserve"> в отговор на преюдициален въпрос относно валидността и тълкуването на Споразумението за партньорство в областта на рибарството между Европейската общност и Кралство Мароко и протокола за прилагане към него Съдът постанови, че споразумението и протоколът към него не са приложими по отношение на прилежащите към Западна Сахара води.</w:t>
      </w:r>
    </w:p>
    <w:p>
      <w:pPr>
        <w:pStyle w:val="ManualConsidrant"/>
        <w:rPr>
          <w:noProof/>
        </w:rPr>
      </w:pPr>
      <w:r>
        <w:t>(4)</w:t>
      </w:r>
      <w:r>
        <w:tab/>
      </w:r>
      <w:r>
        <w:rPr>
          <w:noProof/>
        </w:rPr>
        <w:t>Съюзът не предопределя резултата от проведения под егидата на Организацията на обединените нации политически процес относно окончателния статут на Западна Сахара и системно потвърждава ангажимента си за уреждането на спора в Западна Сахара, понастоящем включена от Организацията на обединените нации в списъка на несамоуправляващите се територии и управлявана в голяма степен от Кралство Мароко. Съюзът подкрепя изцяло положените усилия от генералния секретар на Организацията на обединените нации и от личния му пратеник за подпомагане на страните да постигнат справедливо, трайно и взаимноприемливо политическо решение, което да позволи самоопределението на народа на Западна Сахара в рамките на договорености в съответствие с принципите и целите на Устава на Организацията на обединените нации, така както са залегнали в резолюциите на Съвета за сигурност на Организацията на обединените нации, и по-специално неговите резолюции 2152 (2014 г.), 2218 (2015 г.), 2385 (2016 г.), 2351 (2017 г.) и 2414 (2018 г.).</w:t>
      </w:r>
    </w:p>
    <w:p>
      <w:pPr>
        <w:pStyle w:val="ManualConsidrant"/>
        <w:rPr>
          <w:noProof/>
        </w:rPr>
      </w:pPr>
      <w:r>
        <w:t>(5)</w:t>
      </w:r>
      <w:r>
        <w:tab/>
      </w:r>
      <w:r>
        <w:rPr>
          <w:noProof/>
        </w:rPr>
        <w:t xml:space="preserve">Флотовете на Съюза следва да могат да продължат да извършват риболовните си дейности, упражнявани след влизането в сила на споразумението, а обхватът на споразумението следва да бъде определен така, че да включва и прилежащите към Западна Сахара води. Продължаването на партньорството в областта на рибарството е също така много важно, за да може тази територия да продължи да се ползва от секторната подкрепа, предоставяна по силата на споразумението в съответствие с общностното и международното право и в полза на местното население. </w:t>
      </w:r>
    </w:p>
    <w:p>
      <w:pPr>
        <w:pStyle w:val="ManualConsidrant"/>
        <w:rPr>
          <w:noProof/>
        </w:rPr>
      </w:pPr>
      <w:r>
        <w:t>(6)</w:t>
      </w:r>
      <w:r>
        <w:tab/>
      </w:r>
      <w:r>
        <w:rPr>
          <w:noProof/>
        </w:rPr>
        <w:t xml:space="preserve">За тази цел на 16 април 2018 г. Съветът упълномощи Комисията да започне преговори с Кралство Мароко с цел изменение на Споразумението за партньорство и договаряне на нов протокол за неговото прилагане. След приключването на преговорите, на 24 юли 2018 г. бе парафирано ново Споразумение за партньорство в областта на устойчивото рибарство между Европейския съюз и Кралство Мароко (наричано по-нататък „Споразумение в областта на рибарството“), включващо нов протокол за прилагане, приложение и допълнения към протокола, както и размяна на писма, придружаваща посоченото споразумение. </w:t>
      </w:r>
    </w:p>
    <w:p>
      <w:pPr>
        <w:pStyle w:val="ManualConsidrant"/>
        <w:rPr>
          <w:noProof/>
        </w:rPr>
      </w:pPr>
      <w:r>
        <w:t>(7)</w:t>
      </w:r>
      <w:r>
        <w:tab/>
      </w:r>
      <w:r>
        <w:rPr>
          <w:noProof/>
        </w:rPr>
        <w:t>Целта на Споразумението в областта на рибарството е да се даде възможност на Европейския съюз и Кралство Мароко да си сътрудничат по-тясно, с цел да бъдат насърчени политиката на устойчиво рибарство и отговорното използване на рибните ресурси в определената в протокола риболовна зона и да бъдат подкрепени усилията на Кралство Мароко, насочени към развитие на сектора на рибарството и на синята икономика. По този начин споразумението допринася за постигането на целите, преследвани от Съюза в рамките на член 21 от Договора за Европейския съюз.</w:t>
      </w:r>
    </w:p>
    <w:p>
      <w:pPr>
        <w:pStyle w:val="ManualConsidrant"/>
        <w:rPr>
          <w:noProof/>
        </w:rPr>
      </w:pPr>
      <w:r>
        <w:t>(8)</w:t>
      </w:r>
      <w:r>
        <w:tab/>
      </w:r>
      <w:r>
        <w:rPr>
          <w:noProof/>
        </w:rPr>
        <w:t>Комисията оцени потенциалното въздействие на Споразумението в областта на рибарството върху устойчивото развитие, по-специално с оглед на ползите за засегнатото население и използването на природните ресурси на съответните територии.</w:t>
      </w:r>
    </w:p>
    <w:p>
      <w:pPr>
        <w:pStyle w:val="ManualConsidrant"/>
        <w:rPr>
          <w:noProof/>
        </w:rPr>
      </w:pPr>
      <w:r>
        <w:t>(9)</w:t>
      </w:r>
      <w:r>
        <w:tab/>
      </w:r>
      <w:r>
        <w:rPr>
          <w:noProof/>
        </w:rPr>
        <w:t>От тази оценка е видно, че Споразумението в областта на рибарството се очаква да бъде до голяма степен благоприятно за населението на Западна Сахара поради положителното социално-икономическо въздействие за това население, по-специално от гледна точка на заетостта и инвестициите, и поради въздействието му върху развитието на сектора на рибарството и сектора за преработка на продукти от риболов.</w:t>
      </w:r>
    </w:p>
    <w:p>
      <w:pPr>
        <w:pStyle w:val="ManualConsidrant"/>
        <w:rPr>
          <w:noProof/>
        </w:rPr>
      </w:pPr>
      <w:r>
        <w:t>(10)</w:t>
      </w:r>
      <w:r>
        <w:tab/>
      </w:r>
      <w:r>
        <w:rPr>
          <w:noProof/>
        </w:rPr>
        <w:t>Освен това Споразумението в областта на рибарството е най-добрата гаранция за устойчиво използване на природните ресурси в прилежащите към Западна Сахара води, тъй като риболовната дейност се основава на спазването на най-добрите научни становища и препоръки в тази област и е обхваната от подходящи мерки за наблюдение и контрол.</w:t>
      </w:r>
    </w:p>
    <w:p>
      <w:pPr>
        <w:pStyle w:val="ManualConsidrant"/>
        <w:rPr>
          <w:noProof/>
        </w:rPr>
      </w:pPr>
      <w:r>
        <w:t>(11)</w:t>
      </w:r>
      <w:r>
        <w:tab/>
      </w:r>
      <w:r>
        <w:rPr>
          <w:noProof/>
        </w:rPr>
        <w:t>С оглед на съображенията в решението на Съда, Комисията, заедно с Европейската служба за външна дейност, е взела всички разумни и възможни в настоящия контекст мерки, за да осигури подходящо участие на засегнатото население, така че неговата позиция относно Споразумението в областта на рибарството да бъде изразена и взета предвид. В Западна Сахара и Мароко се проведоха обширни консултации, като участвалите в тях социално-икономически и политически заинтересовани страни се изказаха категорично в подкрепа на сключването на Споразумението в областта на рибарството, докато фронтът „Полисарио“, както и други заинтересовани страни, отказаха да участват в процеса на консултации поради принципни съображения.</w:t>
      </w:r>
    </w:p>
    <w:p>
      <w:pPr>
        <w:pStyle w:val="ManualConsidrant"/>
        <w:rPr>
          <w:noProof/>
        </w:rPr>
      </w:pPr>
      <w:r>
        <w:t>(12)</w:t>
      </w:r>
      <w:r>
        <w:tab/>
      </w:r>
      <w:r>
        <w:rPr>
          <w:noProof/>
        </w:rPr>
        <w:t xml:space="preserve"> Отказалите да участват отхвърлиха прилагането на споразумението и на протокола към него по отношение на водите около бреговете на Западна Сахара, тъй като считат по същество, че такова споразумение ще затвърди позицията на Мароко на територията на Западна Сахара. Нищо обаче в условията на това споразумение не дава основание да се счита, че с него биха били признати суверенитетът или суверенните права на Мароко над Западна Сахара и прилежащите към нея води. Впрочем Съюзът ще продължи с още по-големи усилия да подкрепя започналия и продължаващ под егидата на Организацията на обединените нации процес за мирно разрешаване на спора.</w:t>
      </w:r>
    </w:p>
    <w:p>
      <w:pPr>
        <w:pStyle w:val="ManualConsidrant"/>
        <w:rPr>
          <w:noProof/>
        </w:rPr>
      </w:pPr>
      <w:r>
        <w:t>(13)</w:t>
      </w:r>
      <w:r>
        <w:tab/>
      </w:r>
      <w:r>
        <w:rPr>
          <w:noProof/>
        </w:rPr>
        <w:t>Съгласно Решение (ЕС) 2018/xxx на Съвета</w:t>
      </w:r>
      <w:r>
        <w:rPr>
          <w:rStyle w:val="FootnoteReference"/>
          <w:noProof/>
        </w:rPr>
        <w:footnoteReference w:id="10"/>
      </w:r>
      <w:r>
        <w:rPr>
          <w:noProof/>
        </w:rPr>
        <w:t xml:space="preserve"> новото Споразумение в областта на рибарството, протоколът за прилагане към него и размяната на писма, придружаваща споразумението, бяха подписани на [да се въведе датата на подписване], при условие че посоченото споразумение и протоколът бъдат сключени на по-късна дата.</w:t>
      </w:r>
    </w:p>
    <w:p>
      <w:pPr>
        <w:pStyle w:val="ManualConsidrant"/>
        <w:rPr>
          <w:noProof/>
        </w:rPr>
      </w:pPr>
      <w:r>
        <w:t>(14)</w:t>
      </w:r>
      <w:r>
        <w:tab/>
      </w:r>
      <w:r>
        <w:rPr>
          <w:noProof/>
        </w:rPr>
        <w:t>Целесъобразно е Споразумението в областта на рибарството, протоколът за прилагане към него и размяната на писма, придружаваща посоченото споразумение, да бъдат одобрени от името на Съюза.</w:t>
      </w:r>
    </w:p>
    <w:p>
      <w:pPr>
        <w:pStyle w:val="ManualConsidrant"/>
        <w:rPr>
          <w:noProof/>
        </w:rPr>
      </w:pPr>
      <w:r>
        <w:t>(15)</w:t>
      </w:r>
      <w:r>
        <w:tab/>
      </w:r>
      <w:r>
        <w:rPr>
          <w:noProof/>
        </w:rPr>
        <w:t>По силата на член 13 от Споразумението в областта на рибарството се създава Съвместен комитет, натоварен с контрола по прилагането на споразумението. Съвместният комитет може да приема изменения в протокола за прилагане съгласно член 13 параграф 3 от Споразумението в областта на рибарството. За да се улесни одобряването на тези изменения, е целесъобразно Комисията да се оправомощи да одобрява тези изменения, при спазването на определени условия, чрез опростена процедура,</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Споразумението за партньорство в областта на устойчивото рибарство между Европейския съюз и Кралство Мароко, протоколът за прилагане към него и размяната на писма, придружаваща посоченото споразумение, се одобряват от името на Съюза.</w:t>
      </w:r>
    </w:p>
    <w:p>
      <w:pPr>
        <w:rPr>
          <w:noProof/>
        </w:rPr>
      </w:pPr>
      <w:r>
        <w:rPr>
          <w:noProof/>
        </w:rPr>
        <w:t>Текстът на Споразумението в областта на рибарството, на протокола за прилагане към него, включително приложението и допълненията към протокола, и на размяната на писма, придружаваща посоченото споразумение, се съдържа в приложение I към настоящото решение.</w:t>
      </w:r>
    </w:p>
    <w:p>
      <w:pPr>
        <w:pStyle w:val="Titrearticle"/>
        <w:rPr>
          <w:noProof/>
        </w:rPr>
      </w:pPr>
      <w:r>
        <w:rPr>
          <w:noProof/>
        </w:rPr>
        <w:t>Член 2</w:t>
      </w:r>
    </w:p>
    <w:p>
      <w:pPr>
        <w:rPr>
          <w:noProof/>
        </w:rPr>
      </w:pPr>
      <w:r>
        <w:rPr>
          <w:noProof/>
        </w:rPr>
        <w:t>В съответствие с разпоредбите и условията, посочени в приложение ІІ към настоящото решение, Комисията е оправомощена да одобрява от името на Съюза измененията на протокола, които са приети от Съвместния комитет, създаден по силата на член 13 от Споразумението в областта на рибарството.</w:t>
      </w:r>
    </w:p>
    <w:p>
      <w:pPr>
        <w:pStyle w:val="Titrearticle"/>
        <w:rPr>
          <w:noProof/>
        </w:rPr>
      </w:pPr>
      <w:r>
        <w:rPr>
          <w:noProof/>
        </w:rPr>
        <w:t>Член 3</w:t>
      </w:r>
    </w:p>
    <w:p>
      <w:pPr>
        <w:keepNext/>
        <w:rPr>
          <w:noProof/>
        </w:rPr>
      </w:pPr>
      <w:r>
        <w:rPr>
          <w:noProof/>
        </w:rPr>
        <w:t xml:space="preserve">Председателят на Съвета представя от името на Съюза уведомлението, предвидено в член 17 от Споразумението в областта на рибарството и в член 15 от протокола за прилагане към него. </w:t>
      </w:r>
    </w:p>
    <w:p>
      <w:pPr>
        <w:pStyle w:val="Titrearticle"/>
        <w:rPr>
          <w:noProof/>
        </w:rPr>
      </w:pPr>
      <w:r>
        <w:rPr>
          <w:noProof/>
        </w:rPr>
        <w:t>Член 4</w:t>
      </w:r>
    </w:p>
    <w:p>
      <w:pPr>
        <w:keepNext/>
        <w:rPr>
          <w:noProof/>
        </w:rPr>
      </w:pPr>
      <w:r>
        <w:rPr>
          <w:noProof/>
        </w:rPr>
        <w:t xml:space="preserve">Настоящото решение влиза в сила в деня след деня на публикуването му в </w:t>
      </w:r>
      <w:r>
        <w:rPr>
          <w:i/>
          <w:noProof/>
        </w:rPr>
        <w:t>Официален вестник на Европейския съюз</w:t>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b/>
          <w:noProof/>
          <w:u w:val="single"/>
        </w:rPr>
      </w:pPr>
      <w:r>
        <w:rPr>
          <w:b/>
          <w:noProof/>
          <w:u w:val="single"/>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Предложение за Решение на Съвета относно подписването от името на Съюза на Споразумението за партньорство в областта на устойчивото рибарство между Европейския съюз и Кралство Мароко, протокола за прилагане към него и размяната на писма, придружаваща споразумението. </w:t>
      </w:r>
    </w:p>
    <w:p>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11"/>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11 — Морско дело и рибарство</w:t>
      </w:r>
    </w:p>
    <w:p>
      <w:pPr>
        <w:pStyle w:val="Text1"/>
        <w:pBdr>
          <w:top w:val="single" w:sz="4" w:space="1" w:color="auto"/>
          <w:left w:val="single" w:sz="4" w:space="4" w:color="auto"/>
          <w:bottom w:val="single" w:sz="4" w:space="1" w:color="auto"/>
          <w:right w:val="single" w:sz="4" w:space="4" w:color="auto"/>
        </w:pBdr>
        <w:rPr>
          <w:noProof/>
        </w:rPr>
      </w:pPr>
      <w:r>
        <w:rPr>
          <w:noProof/>
        </w:rPr>
        <w:t>11.03 — Задължителни вноски в регионалните организации за управление на рибарството и в други международни организации и споразумения за устойчиво рибарство (СУР)</w:t>
      </w:r>
    </w:p>
    <w:p>
      <w:pPr>
        <w:pStyle w:val="Text1"/>
        <w:pBdr>
          <w:top w:val="single" w:sz="4" w:space="1" w:color="auto"/>
          <w:left w:val="single" w:sz="4" w:space="4" w:color="auto"/>
          <w:bottom w:val="single" w:sz="4" w:space="1" w:color="auto"/>
          <w:right w:val="single" w:sz="4" w:space="4" w:color="auto"/>
        </w:pBdr>
        <w:rPr>
          <w:noProof/>
        </w:rPr>
      </w:pPr>
      <w:r>
        <w:rPr>
          <w:noProof/>
        </w:rPr>
        <w:t>11.03.01 — Установяване на рамка за управление на риболовните дейности, извършвани от риболовните кораби на Съюза във водите на трети държави</w:t>
      </w:r>
    </w:p>
    <w:p>
      <w:pPr>
        <w:pStyle w:val="ManualHeading2"/>
        <w:rPr>
          <w:bCs/>
          <w:noProof/>
          <w:szCs w:val="24"/>
        </w:rPr>
      </w:pPr>
      <w:r>
        <w:t>1.3.</w:t>
      </w:r>
      <w:r>
        <w:tab/>
      </w:r>
      <w:r>
        <w:rPr>
          <w:noProof/>
        </w:rPr>
        <w:t xml:space="preserve">Естество на предложението/инициативата </w:t>
      </w:r>
    </w:p>
    <w:p>
      <w:pPr>
        <w:pStyle w:val="Text1"/>
        <w:rPr>
          <w:b/>
          <w:noProof/>
          <w:sz w:val="22"/>
        </w:rPr>
      </w:pPr>
      <w:sdt>
        <w:sdtPr>
          <w:rPr>
            <w:noProof/>
            <w:sz w:val="22"/>
          </w:rPr>
          <w:id w:val="-1913080873"/>
          <w14:checkbox>
            <w14:checked w14:val="1"/>
            <w14:checkedState w14:val="2612" w14:font="MS Gothic"/>
            <w14:uncheckedState w14:val="2610" w14:font="MS Gothic"/>
          </w14:checkbox>
        </w:sdtPr>
        <w:sdtContent>
          <w:r>
            <w:rPr>
              <w:rFonts w:ascii="MS Gothic" w:eastAsia="MS Gothic" w:hAnsi="MS Gothic" w:hint="eastAsia"/>
              <w:noProof/>
              <w:sz w:val="22"/>
            </w:rPr>
            <w:t>☒</w:t>
          </w:r>
        </w:sdtContent>
      </w:sdt>
      <w:r>
        <w:rPr>
          <w:b/>
          <w:i/>
          <w:noProof/>
          <w:sz w:val="22"/>
        </w:rPr>
        <w:t xml:space="preserve"> </w:t>
      </w:r>
      <w:r>
        <w:rPr>
          <w:noProof/>
          <w:sz w:val="22"/>
        </w:rPr>
        <w:t xml:space="preserve">Предложението/инициативата е във връзка с </w:t>
      </w:r>
      <w:r>
        <w:rPr>
          <w:b/>
          <w:noProof/>
          <w:sz w:val="22"/>
        </w:rPr>
        <w:t xml:space="preserve">нова дейност </w:t>
      </w:r>
    </w:p>
    <w:p>
      <w:pPr>
        <w:pStyle w:val="Text1"/>
        <w:rPr>
          <w:noProof/>
          <w:sz w:val="22"/>
        </w:rPr>
      </w:pPr>
      <w:r>
        <w:rPr>
          <w:noProof/>
          <w:sz w:val="22"/>
        </w:rPr>
        <w:sym w:font="Wingdings" w:char="F0A8"/>
      </w:r>
      <w:r>
        <w:rPr>
          <w:i/>
          <w:noProof/>
          <w:sz w:val="22"/>
        </w:rPr>
        <w:t xml:space="preserve"> </w:t>
      </w:r>
      <w:r>
        <w:rPr>
          <w:noProof/>
          <w:sz w:val="22"/>
        </w:rPr>
        <w:t xml:space="preserve">Предложението/инициативата е във връзка с </w:t>
      </w:r>
      <w:r>
        <w:rPr>
          <w:b/>
          <w:noProof/>
          <w:sz w:val="22"/>
        </w:rPr>
        <w:t>нова дейност след пилотен проект/подготвителна дейност</w:t>
      </w:r>
      <w:r>
        <w:rPr>
          <w:rStyle w:val="FootnoteReference"/>
          <w:b/>
          <w:noProof/>
          <w:sz w:val="22"/>
        </w:rPr>
        <w:footnoteReference w:id="12"/>
      </w:r>
      <w:r>
        <w:rPr>
          <w:noProof/>
          <w:sz w:val="22"/>
        </w:rPr>
        <w:t xml:space="preserve"> </w:t>
      </w:r>
    </w:p>
    <w:p>
      <w:pPr>
        <w:pStyle w:val="Text1"/>
        <w:rPr>
          <w:noProof/>
          <w:sz w:val="22"/>
        </w:rPr>
      </w:pPr>
      <w:r>
        <w:rPr>
          <w:noProof/>
          <w:sz w:val="22"/>
        </w:rPr>
        <w:sym w:font="Wingdings" w:char="F0A8"/>
      </w:r>
      <w:r>
        <w:rPr>
          <w:i/>
          <w:noProof/>
          <w:sz w:val="22"/>
        </w:rPr>
        <w:t xml:space="preserve"> </w:t>
      </w:r>
      <w:r>
        <w:rPr>
          <w:noProof/>
          <w:sz w:val="22"/>
        </w:rPr>
        <w:t xml:space="preserve">Предложението/инициативата е във връзка с </w:t>
      </w:r>
      <w:r>
        <w:rPr>
          <w:b/>
          <w:noProof/>
          <w:sz w:val="22"/>
        </w:rPr>
        <w:t>продължаване на съществуваща дейност</w:t>
      </w:r>
      <w:r>
        <w:rPr>
          <w:noProof/>
          <w:sz w:val="22"/>
        </w:rPr>
        <w:t xml:space="preserve"> </w:t>
      </w:r>
    </w:p>
    <w:p>
      <w:pPr>
        <w:pStyle w:val="Text1"/>
        <w:rPr>
          <w:noProof/>
        </w:rPr>
      </w:pPr>
      <w:r>
        <w:rPr>
          <w:noProof/>
          <w:sz w:val="22"/>
        </w:rPr>
        <w:sym w:font="Wingdings" w:char="F0A8"/>
      </w:r>
      <w:r>
        <w:rPr>
          <w:i/>
          <w:noProof/>
          <w:sz w:val="22"/>
        </w:rPr>
        <w:t xml:space="preserve"> </w:t>
      </w:r>
      <w:r>
        <w:rPr>
          <w:noProof/>
          <w:sz w:val="22"/>
        </w:rPr>
        <w:t xml:space="preserve">Предложението/инициативата е във връзка с </w:t>
      </w:r>
      <w:r>
        <w:rPr>
          <w:b/>
          <w:noProof/>
          <w:sz w:val="22"/>
        </w:rPr>
        <w:t>дейност, пренасочена към нова дейност</w:t>
      </w:r>
      <w:r>
        <w:rPr>
          <w:noProof/>
        </w:rPr>
        <w:t xml:space="preserve"> </w:t>
      </w:r>
    </w:p>
    <w:p>
      <w:pPr>
        <w:pStyle w:val="ManualHeading2"/>
        <w:rPr>
          <w:bCs/>
          <w:noProof/>
          <w:szCs w:val="24"/>
        </w:rPr>
      </w:pPr>
      <w:r>
        <w:t>1.4.</w:t>
      </w:r>
      <w:r>
        <w:tab/>
      </w:r>
      <w:r>
        <w:rPr>
          <w:noProof/>
        </w:rPr>
        <w:t>Цели</w:t>
      </w:r>
    </w:p>
    <w:p>
      <w:pPr>
        <w:pStyle w:val="ManualHeading3"/>
        <w:rPr>
          <w:noProof/>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Договарянето и сключването на споразумения за партньорство в областта на устойчивото рибарство (СПОУР) с трети държави отговаря на общата цел за осигуряването на достъп на риболовните кораби на Европейския съюз до риболовните зони на трети държави и за развиването на партньорство с тези държави с оглед укрепване на устойчивата експлоатация на рибните ресурси извън водите на Съюза.</w:t>
      </w:r>
    </w:p>
    <w:p>
      <w:pPr>
        <w:pStyle w:val="Text1"/>
        <w:pBdr>
          <w:top w:val="single" w:sz="4" w:space="1" w:color="auto"/>
          <w:left w:val="single" w:sz="4" w:space="4" w:color="auto"/>
          <w:bottom w:val="single" w:sz="4" w:space="1" w:color="auto"/>
          <w:right w:val="single" w:sz="4" w:space="4" w:color="auto"/>
        </w:pBdr>
        <w:rPr>
          <w:noProof/>
        </w:rPr>
      </w:pPr>
      <w:r>
        <w:rPr>
          <w:noProof/>
        </w:rPr>
        <w:t>СПОУР осигуряват също така съгласуваност между принципите, регулиращи общата политика в областта на рибарството, и залегналите в други европейски политики ангажименти (устойчиво използване на ресурсите на трети държави, борба с незаконния, недеклариран и нерегулиран риболов, интеграция на държавите партньори в глобалната икономика, както и по-добро политическо и финансово управление на рибарството).</w:t>
      </w:r>
    </w:p>
    <w:p>
      <w:pPr>
        <w:pStyle w:val="ManualHeading3"/>
        <w:rPr>
          <w:bCs/>
          <w:noProof/>
          <w:szCs w:val="24"/>
        </w:rPr>
      </w:pPr>
      <w:r>
        <w:t>1.4.2.</w:t>
      </w:r>
      <w:r>
        <w:tab/>
      </w:r>
      <w:r>
        <w:rPr>
          <w:noProof/>
        </w:rPr>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w:t>
      </w:r>
    </w:p>
    <w:p>
      <w:pPr>
        <w:pStyle w:val="Text1"/>
        <w:pBdr>
          <w:top w:val="single" w:sz="4" w:space="1" w:color="auto"/>
          <w:left w:val="single" w:sz="4" w:space="4" w:color="auto"/>
          <w:bottom w:val="single" w:sz="4" w:space="1" w:color="auto"/>
          <w:right w:val="single" w:sz="4" w:space="4" w:color="auto"/>
        </w:pBdr>
        <w:rPr>
          <w:noProof/>
        </w:rPr>
      </w:pPr>
      <w:r>
        <w:rPr>
          <w:noProof/>
        </w:rPr>
        <w:t>Да се допринесе за устойчивото рибарство извън водите на Съюза, да се поддържа европейското присъствие в отдалечените риболовни райони и да се защитят интересите на европейския сектор на рибарството и интересите на потребителите чрез договаряне и сключване на съгласувани с други европейски политики СПОУР с крайбрежни държави.</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Морско дело и рибарство, установяване на рамка за управление на риболовните дейности, извършвани от риболовни кораби на Европейския съюз във води на трети държави (СУР) (бюджетен ред 11.03.01).</w:t>
      </w:r>
    </w:p>
    <w:p>
      <w:pPr>
        <w:pStyle w:val="ManualHeading3"/>
        <w:rPr>
          <w:bCs/>
          <w:noProof/>
          <w:szCs w:val="24"/>
        </w:rPr>
      </w:pPr>
      <w:r>
        <w:t>1.4.3.</w:t>
      </w:r>
      <w:r>
        <w:tab/>
      </w:r>
      <w:r>
        <w:rPr>
          <w:noProof/>
        </w:rPr>
        <w:t>Очаквани резултати и отражение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Новото Споразумение в областта на рибарството и протокола за прилагане към него дават възможност да се създаде рамка за стратегическо партньорство между Европейския съюз и Кралство Мароко в областта на устойчивото рибарство. Прилагането на протокола ще създаде възможности за риболов за корабите на Съюза в определената риболовна зона.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Прилагането му ще допринесе също така за подобряване на управлението и опазването на рибните ресурси чрез финансова подкрепа (секторна подкрепа) за изпълнението на програмите, приети на национално равнище от държавата партньор, и по-конкретно по отношение на наблюдението и борбата срещу незаконния риболов и в подкрепа на сектора на непромишления риболов, като същевременно гарантира справедливо географско разпределение на социално-икономическите ползи от тази подкрепа. </w:t>
      </w:r>
    </w:p>
    <w:p>
      <w:pPr>
        <w:pStyle w:val="Text1"/>
        <w:pBdr>
          <w:top w:val="single" w:sz="4" w:space="1" w:color="auto"/>
          <w:left w:val="single" w:sz="4" w:space="4" w:color="auto"/>
          <w:bottom w:val="single" w:sz="4" w:space="1" w:color="auto"/>
          <w:right w:val="single" w:sz="4" w:space="4" w:color="auto"/>
        </w:pBdr>
        <w:rPr>
          <w:noProof/>
        </w:rPr>
      </w:pPr>
      <w:r>
        <w:rPr>
          <w:noProof/>
        </w:rPr>
        <w:t>И накрая, протоколът ще допринесе за синята икономика на Кралство Мароко, като насърчи растежа, свързан с морските дейности, и устойчивата експлоатация на морските ресурси на държавата.</w:t>
      </w:r>
    </w:p>
    <w:p>
      <w:pPr>
        <w:pStyle w:val="ManualHeading3"/>
        <w:rPr>
          <w:bCs/>
          <w:noProof/>
          <w:szCs w:val="24"/>
        </w:rPr>
      </w:pPr>
      <w:r>
        <w:t>1.4.4.</w:t>
      </w:r>
      <w:r>
        <w:tab/>
      </w:r>
      <w:r>
        <w:rPr>
          <w:noProof/>
        </w:rPr>
        <w:t xml:space="preserve">Показатели за резултатите и за отражението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Процент на оползотворяване на възможностите за риболов (процентен дял на годишно използваните разрешения за риболов спрямо наличните възможности съгласно протокола).</w:t>
      </w:r>
    </w:p>
    <w:p>
      <w:pPr>
        <w:pStyle w:val="Text1"/>
        <w:pBdr>
          <w:top w:val="single" w:sz="4" w:space="1" w:color="auto"/>
          <w:left w:val="single" w:sz="4" w:space="4" w:color="auto"/>
          <w:bottom w:val="single" w:sz="4" w:space="1" w:color="auto"/>
          <w:right w:val="single" w:sz="4" w:space="4" w:color="auto"/>
        </w:pBdr>
        <w:rPr>
          <w:noProof/>
        </w:rPr>
      </w:pPr>
      <w:r>
        <w:rPr>
          <w:noProof/>
        </w:rPr>
        <w:t>Данни за улова (събиране и анализ) и търговска стойност на споразумението.</w:t>
      </w:r>
    </w:p>
    <w:p>
      <w:pPr>
        <w:pStyle w:val="Text1"/>
        <w:pBdr>
          <w:top w:val="single" w:sz="4" w:space="1" w:color="auto"/>
          <w:left w:val="single" w:sz="4" w:space="4" w:color="auto"/>
          <w:bottom w:val="single" w:sz="4" w:space="1" w:color="auto"/>
          <w:right w:val="single" w:sz="4" w:space="4" w:color="auto"/>
        </w:pBdr>
        <w:rPr>
          <w:noProof/>
        </w:rPr>
      </w:pPr>
      <w:r>
        <w:rPr>
          <w:noProof/>
        </w:rPr>
        <w:t>Принос към заетостта и добавената стойност в ЕС и към стабилизиране на пазара на ЕС (заедно с други СПОУР).</w:t>
      </w:r>
    </w:p>
    <w:p>
      <w:pPr>
        <w:pStyle w:val="Text1"/>
        <w:pBdr>
          <w:top w:val="single" w:sz="4" w:space="1" w:color="auto"/>
          <w:left w:val="single" w:sz="4" w:space="4" w:color="auto"/>
          <w:bottom w:val="single" w:sz="4" w:space="1" w:color="auto"/>
          <w:right w:val="single" w:sz="4" w:space="4" w:color="auto"/>
        </w:pBdr>
        <w:rPr>
          <w:noProof/>
        </w:rPr>
      </w:pPr>
      <w:r>
        <w:rPr>
          <w:noProof/>
        </w:rPr>
        <w:t>Принос към подобряването на научните изследвания, наблюдението и контрола на риболовните дейности от държавата партньор и на развитието на нейния сектор на рибарството, по-специално непромишления риболов.</w:t>
      </w:r>
    </w:p>
    <w:p>
      <w:pPr>
        <w:pStyle w:val="ManualHeading2"/>
        <w:rPr>
          <w:bCs/>
          <w:noProof/>
          <w:szCs w:val="24"/>
        </w:rPr>
      </w:pPr>
      <w:r>
        <w:t>1.5.</w:t>
      </w:r>
      <w:r>
        <w:tab/>
      </w:r>
      <w:r>
        <w:rPr>
          <w:noProof/>
        </w:rPr>
        <w:t xml:space="preserve">Мотиви за предложението/инициативата </w:t>
      </w:r>
    </w:p>
    <w:p>
      <w:pPr>
        <w:pStyle w:val="ManualHeading3"/>
        <w:rPr>
          <w:noProof/>
        </w:rPr>
      </w:pPr>
      <w:r>
        <w:t>1.5.1.</w:t>
      </w:r>
      <w:r>
        <w:tab/>
      </w:r>
      <w:r>
        <w:rPr>
          <w:noProof/>
        </w:rPr>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Новият протокол е необходим, за да се регламентират риболовните дейности на флота на Съюза в риболовната зона, определена в протокола. След прилагането му корабособствениците от Съюза могат да подават заявления за разрешения за риболов, даващи им възможност да извършват риболов в тази зона. </w:t>
      </w:r>
    </w:p>
    <w:p>
      <w:pPr>
        <w:pStyle w:val="Text1"/>
        <w:pBdr>
          <w:top w:val="single" w:sz="4" w:space="1" w:color="auto"/>
          <w:left w:val="single" w:sz="4" w:space="4" w:color="auto"/>
          <w:bottom w:val="single" w:sz="4" w:space="1" w:color="auto"/>
          <w:right w:val="single" w:sz="4" w:space="4" w:color="auto"/>
        </w:pBdr>
        <w:rPr>
          <w:noProof/>
        </w:rPr>
      </w:pPr>
      <w:r>
        <w:rPr>
          <w:noProof/>
        </w:rPr>
        <w:t>Засилването на сътрудничеството между Съюза и Кралство Мароко дава възможност да се насърчи развитието на политика на устойчиво рибарство. В него се предвижда по-специално наблюдение на корабите чрез VMS и — в бъдеще — съобщаване на данните за улова по електронен път. Секторната подкрепа, предоставена по силата на протокола, ще подпомогне Кралство Мароко в рамките на националната му стратегия в областта на рибарството, в т.ч. борбата с незаконния, недеклариран и нерегулиран риболов.</w:t>
      </w:r>
    </w:p>
    <w:p>
      <w:pPr>
        <w:pStyle w:val="ManualHeading3"/>
        <w:rPr>
          <w:bCs/>
          <w:noProof/>
          <w:szCs w:val="24"/>
        </w:rPr>
      </w:pPr>
      <w:r>
        <w:t>1.5.2.</w:t>
      </w:r>
      <w:r>
        <w:tab/>
      </w:r>
      <w:r>
        <w:rPr>
          <w:noProof/>
        </w:rPr>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rPr>
      </w:pPr>
      <w:r>
        <w:rPr>
          <w:noProof/>
        </w:rPr>
        <w:t>Подписването и сключването на това ново споразумение и на протокола за прилагане към него са необходими, за да се осигури достъп на корабите на Съюза, както и възможност за извършване на риболовните им дейности. Предишното споразумение остава в сила към момента, но без протокол за прилагане, след като срокът на действие на протокола за периода 2014—2018 г. изтече на 14 юли 2018 г. В резултат на това се възпрепятстват риболовните дейности на корабите на Съюза в риболовната зона, тъй като Споразумението, както и член 31 от Регламент (ЕС) № 1380/2013, регламентират протокола с държавата партньор по СПОУР като единствения начин за упражняване на риболовни дейности от страна на корабите на Съюза. Следователно за флота на Съюза за далечно плаване има ясно изразена добавена стойност. Протоколът предоставя също така рамка за засилено сътрудничество със Съюза.</w:t>
      </w:r>
    </w:p>
    <w:p>
      <w:pPr>
        <w:pStyle w:val="ManualHeading3"/>
        <w:rPr>
          <w:bCs/>
          <w:noProof/>
          <w:szCs w:val="24"/>
        </w:rPr>
      </w:pPr>
      <w:r>
        <w:t>1.5.3.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Въз основа на анализа на предишния улов в риболовната зона, както и на оценките и наличните научни становища, страните решиха да определят възможностите за риболов за 128 риболовни кораба на Съюза и общ разрешен улов за категорията промишлен пелагичен риболов на 85 000 t за една година, увеличени на 90 000, а след това — на 100 000 t, като по този начин се увеличава наличността на ресурса за флота на Съюза (80 000 t при предишния протокол). </w:t>
      </w:r>
      <w:r>
        <w:rPr>
          <w:noProof/>
        </w:rPr>
        <w:tab/>
      </w:r>
      <w:r>
        <w:rPr>
          <w:noProof/>
        </w:rPr>
        <w:br/>
        <w:t xml:space="preserve">При секторната подкрепа се вземат предвид нуждите, свързани с подкрепата за икономическото развитие в сектора на рибарството и с надзора и контрола от страна на органа за управление на рибарството. </w:t>
      </w:r>
    </w:p>
    <w:p>
      <w:pPr>
        <w:pStyle w:val="ManualHeading3"/>
        <w:rPr>
          <w:bCs/>
          <w:noProof/>
          <w:szCs w:val="24"/>
        </w:rPr>
      </w:pPr>
      <w:r>
        <w:t>1.5.4.</w:t>
      </w:r>
      <w:r>
        <w:tab/>
      </w:r>
      <w:r>
        <w:rPr>
          <w:noProof/>
        </w:rPr>
        <w:t>Съвместимост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Средствата, предоставени в рамките на финансовата компенсация за достъпа до СПОУР, представляват приходи в националния бюджет на Мароко, които по принцип не са определени за конкретни цели. Все пак средствата, предназначени за секторна подкрепа, се предоставят (обикновено чрез вписване в годишния закон за държавния бюджет) на компетентното министерство по въпросите на рибарството, като това е условие за сключването и наблюдението на СПОУР. Тези финансови ресурси са съвместими с други източници на финансиране от други международни донори за осъществяването на проекти и/или програми, провеждани на национално равнище в сектора на рибарството. По отношение на наблюдението на справедливото разпределение при използването на средствата се прилагат специални разпоредби. </w:t>
      </w:r>
    </w:p>
    <w:p>
      <w:pPr>
        <w:pStyle w:val="ManualHeading2"/>
        <w:rPr>
          <w:bCs/>
          <w:noProof/>
          <w:szCs w:val="24"/>
        </w:rPr>
      </w:pPr>
      <w:r>
        <w:rPr>
          <w:noProof/>
        </w:rPr>
        <w:br w:type="page"/>
      </w:r>
      <w:r>
        <w:t>1.6.</w:t>
      </w:r>
      <w:r>
        <w:tab/>
      </w:r>
      <w:r>
        <w:rPr>
          <w:noProof/>
        </w:rPr>
        <w:t xml:space="preserve">Срок на действие и финансово отражение </w:t>
      </w:r>
    </w:p>
    <w:p>
      <w:pPr>
        <w:pStyle w:val="Text1"/>
        <w:rPr>
          <w:noProof/>
        </w:rPr>
      </w:pPr>
      <w:sdt>
        <w:sdtPr>
          <w:rPr>
            <w:noProof/>
          </w:rPr>
          <w:id w:val="-970822718"/>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b/>
          <w:i/>
          <w:noProof/>
        </w:rPr>
        <w:t xml:space="preserve"> </w:t>
      </w:r>
      <w:r>
        <w:rPr>
          <w:noProof/>
        </w:rPr>
        <w:t xml:space="preserve">Предложение/инициатива с </w:t>
      </w:r>
      <w:r>
        <w:rPr>
          <w:b/>
          <w:noProof/>
        </w:rPr>
        <w:t xml:space="preserve">ограничен срок на действие </w:t>
      </w:r>
    </w:p>
    <w:p>
      <w:pPr>
        <w:pStyle w:val="ListDash2"/>
        <w:rPr>
          <w:noProof/>
        </w:rPr>
      </w:pPr>
      <w:sdt>
        <w:sdtPr>
          <w:rPr>
            <w:noProof/>
          </w:rPr>
          <w:id w:val="-1701311695"/>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ab/>
        <w:t xml:space="preserve">Предложение/инициатива в сила от датата на влизане в сила (или според случая — на временно прилагане) в продължение на 4 години </w:t>
      </w:r>
    </w:p>
    <w:p>
      <w:pPr>
        <w:pStyle w:val="ListDash2"/>
        <w:rPr>
          <w:noProof/>
        </w:rPr>
      </w:pPr>
      <w:sdt>
        <w:sdtPr>
          <w:rPr>
            <w:noProof/>
          </w:rPr>
          <w:id w:val="42342625"/>
          <w14:checkbox>
            <w14:checked w14:val="0"/>
            <w14:checkedState w14:val="2612" w14:font="MS Gothic"/>
            <w14:uncheckedState w14:val="2610" w14:font="MS Gothic"/>
          </w14:checkbox>
        </w:sdtPr>
        <w:sdtContent>
          <w:r>
            <w:rPr>
              <w:rFonts w:ascii="MS Gothic" w:eastAsia="MS Gothic" w:hAnsi="MS Gothic" w:hint="eastAsia"/>
              <w:noProof/>
            </w:rPr>
            <w:t>☐</w:t>
          </w:r>
        </w:sdtContent>
      </w:sdt>
      <w:r>
        <w:rPr>
          <w:noProof/>
        </w:rPr>
        <w:tab/>
        <w:t xml:space="preserve">Финансово отражение от ГГГГ до ГГГГ </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неограничен срок на действие</w:t>
      </w:r>
    </w:p>
    <w:p>
      <w:pPr>
        <w:pStyle w:val="ListDash1"/>
        <w:rPr>
          <w:noProof/>
        </w:rPr>
      </w:pPr>
      <w:r>
        <w:rPr>
          <w:noProof/>
        </w:rPr>
        <w:t>Изпълнение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r>
        <w:t>1.7.</w:t>
      </w:r>
      <w:r>
        <w:tab/>
      </w:r>
      <w:r>
        <w:rPr>
          <w:noProof/>
        </w:rPr>
        <w:t>Планирани методи на управление</w:t>
      </w:r>
      <w:r>
        <w:rPr>
          <w:rStyle w:val="FootnoteReference"/>
          <w:noProof/>
        </w:rPr>
        <w:footnoteReference w:id="13"/>
      </w:r>
      <w:r>
        <w:rPr>
          <w:rStyle w:val="FootnoteReference"/>
          <w:noProof/>
        </w:rPr>
        <w:t xml:space="preserve"> </w:t>
      </w:r>
    </w:p>
    <w:p>
      <w:pPr>
        <w:pStyle w:val="Text1"/>
        <w:rPr>
          <w:noProof/>
        </w:rPr>
      </w:pPr>
      <w:sdt>
        <w:sdtPr>
          <w:rPr>
            <w:noProof/>
          </w:rPr>
          <w:id w:val="920997867"/>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i/>
          <w:noProof/>
        </w:rPr>
        <w:t xml:space="preserve"> </w:t>
      </w:r>
      <w:r>
        <w:rPr>
          <w:b/>
          <w:noProof/>
        </w:rPr>
        <w:t>Пряко управление</w:t>
      </w:r>
      <w:r>
        <w:rPr>
          <w:noProof/>
        </w:rPr>
        <w:t xml:space="preserve"> от Комисията</w:t>
      </w:r>
    </w:p>
    <w:p>
      <w:pPr>
        <w:pStyle w:val="ListDash2"/>
        <w:rPr>
          <w:rFonts w:cs="EUAlbertina"/>
          <w:noProof/>
        </w:rPr>
      </w:pPr>
      <w:sdt>
        <w:sdtPr>
          <w:rPr>
            <w:noProof/>
          </w:rPr>
          <w:id w:val="-463966036"/>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на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посочат);</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Комисията (ГД „Морско дело и рибарство“ в сътрудничество със своя аташе по риболова, установен в делегацията на Съюза в Рабат, Мароко) осигурява редовен мониторинг върху изпълнението на протокола по отношение на оползотворяването на възможностите за риболов от страна на операторите и данните за улова, както и по отношение на изискванията за секторната подкрепа. </w:t>
      </w:r>
    </w:p>
    <w:p>
      <w:pPr>
        <w:pStyle w:val="Text1"/>
        <w:pBdr>
          <w:top w:val="single" w:sz="4" w:space="1" w:color="auto"/>
          <w:left w:val="single" w:sz="4" w:space="4" w:color="auto"/>
          <w:bottom w:val="single" w:sz="4" w:space="1" w:color="auto"/>
          <w:right w:val="single" w:sz="4" w:space="4" w:color="auto"/>
        </w:pBdr>
        <w:rPr>
          <w:noProof/>
        </w:rPr>
      </w:pPr>
      <w:r>
        <w:rPr>
          <w:noProof/>
        </w:rPr>
        <w:t>Освен това в СПОУР се предвижда поне по едно ежегодно заседание на Съвместния комитет, по време на което Комисията и Кралство Мароко разглеждат изпълнението на споразумението и протокола, като при необходимост внасят корекции в планирането и, според случая, във финансовото участие.</w:t>
      </w:r>
    </w:p>
    <w:p>
      <w:pPr>
        <w:pStyle w:val="ManualHeading2"/>
        <w:rPr>
          <w:bCs/>
          <w:noProof/>
          <w:szCs w:val="24"/>
        </w:rPr>
      </w:pPr>
      <w:r>
        <w:t>2.2.</w:t>
      </w:r>
      <w:r>
        <w:tab/>
      </w:r>
      <w:r>
        <w:rPr>
          <w:noProof/>
        </w:rPr>
        <w:t xml:space="preserve">Система за управление и контрол </w:t>
      </w:r>
    </w:p>
    <w:p>
      <w:pPr>
        <w:pStyle w:val="ManualHeading3"/>
        <w:rPr>
          <w:noProof/>
        </w:rPr>
      </w:pPr>
      <w:r>
        <w:t>2.2.1.</w:t>
      </w:r>
      <w:r>
        <w:tab/>
      </w:r>
      <w:r>
        <w:rPr>
          <w:noProof/>
        </w:rPr>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Установеният риск се състои в недостатъчното използване на възможностите за риболов от корабособствениците от ЕС и в недостатъчното или забавеното използване на средствата, предназначени за финансиране на секторната политика в областта на рибарството в Кралство Мароко. </w:t>
      </w:r>
    </w:p>
    <w:p>
      <w:pPr>
        <w:pStyle w:val="ManualHeading3"/>
        <w:rPr>
          <w:bCs/>
          <w:noProof/>
          <w:szCs w:val="24"/>
        </w:rPr>
      </w:pPr>
      <w:r>
        <w:t>2.2.2.</w:t>
      </w:r>
      <w:r>
        <w:tab/>
      </w:r>
      <w:r>
        <w:rPr>
          <w:noProof/>
        </w:rPr>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Предвижда се задълбочен диалог за програмното планиране и изпълнението на секторната политика съгласно споразумението и протокола. Съвместният анализ на резултатите, посочен в член 7 от протокола, също представлява част от тези методи за контрол.</w:t>
      </w:r>
    </w:p>
    <w:p>
      <w:pPr>
        <w:pStyle w:val="Text1"/>
        <w:pBdr>
          <w:top w:val="single" w:sz="4" w:space="1" w:color="auto"/>
          <w:left w:val="single" w:sz="4" w:space="4" w:color="auto"/>
          <w:bottom w:val="single" w:sz="4" w:space="1" w:color="auto"/>
          <w:right w:val="single" w:sz="4" w:space="4" w:color="auto"/>
        </w:pBdr>
        <w:rPr>
          <w:noProof/>
        </w:rPr>
      </w:pPr>
      <w:r>
        <w:rPr>
          <w:noProof/>
        </w:rPr>
        <w:t>Освен това в споразумението и протокола се предвиждат специфични клаузи за временното им преустановяване при определени условия и дадени обстоятелства.</w:t>
      </w:r>
    </w:p>
    <w:p>
      <w:pPr>
        <w:pStyle w:val="ManualHeading3"/>
        <w:rPr>
          <w:noProof/>
        </w:rPr>
      </w:pPr>
      <w:r>
        <w:t>2.2.3.</w:t>
      </w:r>
      <w:r>
        <w:tab/>
      </w:r>
      <w:r>
        <w:rPr>
          <w:noProof/>
        </w:rPr>
        <w:t xml:space="preserve">Оценка на разходите и ползите от проверките и на очаквания риск от грешка </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предотвратяване и защита.</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поема ангажимент да установи политически диалог и редовно съгласуване с Кралство Мароко, с цел да се оцени и подобри управлението на споразумението и на протокола и да се увеличи приносът на Съюза за устойчивото управление на ресурсите. Плащанията, които Комисията извършва по СПОУР, са съобразени с нейните правила и обичайните ѝ бюджетни и финансови процедури. Това се отнася по-специално до пълното идентифициране на банковите сметки на третите държави, по които се превеждат сумите за финансово участие. Съгласно член 4, параграф 4 от протокола финансовото участие, което се изплаща от Съюза, трябва да се превежда на държавната хазна на Кралство Мароко по специална сметка.</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18"/>
              </w:rPr>
              <w:t xml:space="preserve">Вид на </w:t>
            </w:r>
            <w:r>
              <w:rPr>
                <w:b/>
                <w:noProof/>
                <w:sz w:val="18"/>
              </w:rPr>
              <w:br/>
            </w:r>
            <w:r>
              <w:rPr>
                <w:noProof/>
                <w:sz w:val="18"/>
              </w:rPr>
              <w:t>разхода</w:t>
            </w:r>
          </w:p>
        </w:tc>
        <w:tc>
          <w:tcPr>
            <w:tcW w:w="4440" w:type="dxa"/>
            <w:gridSpan w:val="4"/>
            <w:vAlign w:val="center"/>
          </w:tcPr>
          <w:p>
            <w:pPr>
              <w:spacing w:before="60" w:after="60"/>
              <w:jc w:val="center"/>
              <w:rPr>
                <w:noProof/>
                <w:sz w:val="22"/>
              </w:rPr>
            </w:pPr>
            <w:r>
              <w:rPr>
                <w:noProof/>
                <w:sz w:val="20"/>
              </w:rPr>
              <w:t xml:space="preserve">Вноска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Номер </w:t>
            </w:r>
            <w:r>
              <w:rPr>
                <w:noProof/>
                <w:sz w:val="20"/>
              </w:rPr>
              <w:br/>
              <w:t>Наименование</w:t>
            </w:r>
            <w:r>
              <w:rPr>
                <w:noProof/>
                <w:sz w:val="20"/>
              </w:rPr>
              <w:br/>
            </w:r>
          </w:p>
        </w:tc>
        <w:tc>
          <w:tcPr>
            <w:tcW w:w="1080" w:type="dxa"/>
            <w:vAlign w:val="center"/>
          </w:tcPr>
          <w:p>
            <w:pPr>
              <w:jc w:val="center"/>
              <w:rPr>
                <w:noProof/>
                <w:sz w:val="22"/>
              </w:rPr>
            </w:pPr>
            <w:r>
              <w:rPr>
                <w:noProof/>
                <w:sz w:val="18"/>
              </w:rPr>
              <w:t>Многогод./едногод.</w:t>
            </w:r>
            <w:r>
              <w:rPr>
                <w:noProof/>
                <w:sz w:val="18"/>
              </w:rPr>
              <w:br/>
            </w:r>
            <w:r>
              <w:rPr>
                <w:noProof/>
                <w:sz w:val="18"/>
                <w:vertAlign w:val="superscript"/>
              </w:rPr>
              <w:t>(</w:t>
            </w:r>
            <w:r>
              <w:rPr>
                <w:rStyle w:val="FootnoteReference"/>
                <w:noProof/>
                <w:sz w:val="18"/>
              </w:rPr>
              <w:footnoteReference w:id="14"/>
            </w:r>
            <w:r>
              <w:rPr>
                <w:noProof/>
                <w:sz w:val="18"/>
                <w:vertAlign w:val="superscript"/>
              </w:rPr>
              <w:t>)</w:t>
            </w:r>
          </w:p>
        </w:tc>
        <w:tc>
          <w:tcPr>
            <w:tcW w:w="956" w:type="dxa"/>
            <w:vAlign w:val="center"/>
          </w:tcPr>
          <w:p>
            <w:pPr>
              <w:jc w:val="center"/>
              <w:rPr>
                <w:noProof/>
                <w:sz w:val="22"/>
              </w:rPr>
            </w:pPr>
            <w:r>
              <w:rPr>
                <w:noProof/>
                <w:sz w:val="18"/>
              </w:rPr>
              <w:t>от държави от ЕАСТ</w:t>
            </w:r>
            <w:r>
              <w:rPr>
                <w:rStyle w:val="FootnoteReference"/>
                <w:noProof/>
                <w:sz w:val="18"/>
              </w:rPr>
              <w:footnoteReference w:id="15"/>
            </w:r>
          </w:p>
          <w:p>
            <w:pPr>
              <w:spacing w:before="0" w:after="0"/>
              <w:jc w:val="center"/>
              <w:rPr>
                <w:b/>
                <w:noProof/>
                <w:sz w:val="18"/>
              </w:rPr>
            </w:pPr>
          </w:p>
        </w:tc>
        <w:tc>
          <w:tcPr>
            <w:tcW w:w="1080" w:type="dxa"/>
            <w:vAlign w:val="center"/>
          </w:tcPr>
          <w:p>
            <w:pPr>
              <w:jc w:val="center"/>
              <w:rPr>
                <w:noProof/>
                <w:sz w:val="22"/>
              </w:rPr>
            </w:pPr>
            <w:r>
              <w:rPr>
                <w:noProof/>
                <w:sz w:val="18"/>
              </w:rPr>
              <w:t>от държави кандидатки</w:t>
            </w:r>
            <w:r>
              <w:rPr>
                <w:rStyle w:val="FootnoteReference"/>
                <w:noProof/>
                <w:sz w:val="18"/>
              </w:rPr>
              <w:footnoteReference w:id="16"/>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2"/>
              </w:rPr>
            </w:pPr>
            <w:r>
              <w:rPr>
                <w:noProof/>
                <w:sz w:val="22"/>
              </w:rPr>
              <w:t>2</w:t>
            </w:r>
          </w:p>
        </w:tc>
        <w:tc>
          <w:tcPr>
            <w:tcW w:w="3960" w:type="dxa"/>
            <w:vAlign w:val="center"/>
          </w:tcPr>
          <w:p>
            <w:pPr>
              <w:spacing w:before="60"/>
              <w:rPr>
                <w:noProof/>
              </w:rPr>
            </w:pPr>
            <w:r>
              <w:rPr>
                <w:noProof/>
                <w:sz w:val="20"/>
              </w:rPr>
              <w:t xml:space="preserve">Номер </w:t>
            </w:r>
            <w:r>
              <w:rPr>
                <w:noProof/>
              </w:rPr>
              <w:t>11.03.01</w:t>
            </w:r>
          </w:p>
          <w:p>
            <w:pPr>
              <w:spacing w:before="60"/>
              <w:rPr>
                <w:noProof/>
                <w:sz w:val="22"/>
              </w:rPr>
            </w:pPr>
            <w:r>
              <w:rPr>
                <w:noProof/>
              </w:rPr>
              <w:t>Установяване на рамка за управление на риболовните дейности, извършвани от риболовните кораби на Европейския съюз във водите на трети държави (СПОУР)</w:t>
            </w:r>
          </w:p>
          <w:p>
            <w:pPr>
              <w:spacing w:after="60"/>
              <w:rPr>
                <w:noProof/>
                <w:sz w:val="22"/>
              </w:rPr>
            </w:pPr>
          </w:p>
        </w:tc>
        <w:tc>
          <w:tcPr>
            <w:tcW w:w="1080" w:type="dxa"/>
            <w:vAlign w:val="center"/>
          </w:tcPr>
          <w:p>
            <w:pPr>
              <w:jc w:val="center"/>
              <w:rPr>
                <w:noProof/>
                <w:color w:val="0000FF"/>
                <w:sz w:val="22"/>
              </w:rPr>
            </w:pPr>
            <w:r>
              <w:rPr>
                <w:noProof/>
                <w:sz w:val="22"/>
              </w:rPr>
              <w:t>Многогод.</w:t>
            </w:r>
          </w:p>
        </w:tc>
        <w:tc>
          <w:tcPr>
            <w:tcW w:w="956" w:type="dxa"/>
            <w:vAlign w:val="center"/>
          </w:tcPr>
          <w:p>
            <w:pPr>
              <w:jc w:val="center"/>
              <w:rPr>
                <w:noProof/>
                <w:sz w:val="22"/>
              </w:rPr>
            </w:pPr>
            <w:r>
              <w:rPr>
                <w:noProof/>
                <w:sz w:val="22"/>
              </w:rPr>
              <w:t>НЕ</w:t>
            </w:r>
          </w:p>
        </w:tc>
        <w:tc>
          <w:tcPr>
            <w:tcW w:w="1080" w:type="dxa"/>
            <w:vAlign w:val="center"/>
          </w:tcPr>
          <w:p>
            <w:pPr>
              <w:jc w:val="center"/>
              <w:rPr>
                <w:noProof/>
                <w:sz w:val="22"/>
              </w:rPr>
            </w:pPr>
            <w:r>
              <w:rPr>
                <w:noProof/>
                <w:sz w:val="22"/>
              </w:rPr>
              <w:t>НЕ</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bl>
    <w:p>
      <w:pPr>
        <w:pStyle w:val="ListBullet1"/>
        <w:rPr>
          <w:noProof/>
        </w:rPr>
      </w:pPr>
      <w:r>
        <w:rPr>
          <w:noProof/>
        </w:rPr>
        <w:t xml:space="preserve">Поискани нови бюджетни редове </w:t>
      </w:r>
    </w:p>
    <w:p>
      <w:pPr>
        <w:pStyle w:val="Text1"/>
        <w:rPr>
          <w:i/>
          <w:noProof/>
          <w:sz w:val="20"/>
        </w:rPr>
      </w:pPr>
      <w:r>
        <w:rPr>
          <w:i/>
          <w:noProof/>
          <w:sz w:val="20"/>
          <w:u w:val="single"/>
        </w:rPr>
        <w:t>По реда</w:t>
      </w:r>
      <w:r>
        <w:rPr>
          <w:i/>
          <w:noProof/>
          <w:sz w:val="20"/>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18"/>
              </w:rPr>
              <w:t>Вид на</w:t>
            </w:r>
            <w:r>
              <w:rPr>
                <w:noProof/>
                <w:sz w:val="18"/>
              </w:rPr>
              <w:br/>
              <w:t>разхода</w:t>
            </w:r>
          </w:p>
        </w:tc>
        <w:tc>
          <w:tcPr>
            <w:tcW w:w="4440" w:type="dxa"/>
            <w:gridSpan w:val="4"/>
            <w:vAlign w:val="center"/>
          </w:tcPr>
          <w:p>
            <w:pPr>
              <w:spacing w:before="60" w:after="60"/>
              <w:jc w:val="center"/>
              <w:rPr>
                <w:noProof/>
                <w:sz w:val="22"/>
              </w:rPr>
            </w:pPr>
            <w:r>
              <w:rPr>
                <w:noProof/>
                <w:sz w:val="20"/>
              </w:rPr>
              <w:t xml:space="preserve">Вноска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Номер </w:t>
            </w:r>
            <w:r>
              <w:rPr>
                <w:noProof/>
                <w:sz w:val="20"/>
              </w:rPr>
              <w:br/>
              <w:t>[Наименование………………………………………]</w:t>
            </w:r>
          </w:p>
        </w:tc>
        <w:tc>
          <w:tcPr>
            <w:tcW w:w="1080" w:type="dxa"/>
            <w:vAlign w:val="center"/>
          </w:tcPr>
          <w:p>
            <w:pPr>
              <w:jc w:val="center"/>
              <w:rPr>
                <w:noProof/>
                <w:sz w:val="22"/>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ДА/НЕ</w:t>
            </w:r>
          </w:p>
        </w:tc>
        <w:tc>
          <w:tcPr>
            <w:tcW w:w="1080" w:type="dxa"/>
            <w:vAlign w:val="center"/>
          </w:tcPr>
          <w:p>
            <w:pPr>
              <w:jc w:val="center"/>
              <w:rPr>
                <w:noProof/>
                <w:color w:val="0000FF"/>
                <w:sz w:val="18"/>
              </w:rPr>
            </w:pPr>
            <w:r>
              <w:rPr>
                <w:noProof/>
                <w:sz w:val="22"/>
              </w:rPr>
              <w:t>ДА/НЕ</w:t>
            </w:r>
          </w:p>
        </w:tc>
        <w:tc>
          <w:tcPr>
            <w:tcW w:w="956" w:type="dxa"/>
            <w:vAlign w:val="center"/>
          </w:tcPr>
          <w:p>
            <w:pPr>
              <w:jc w:val="center"/>
              <w:rPr>
                <w:noProof/>
                <w:color w:val="0000FF"/>
                <w:sz w:val="18"/>
              </w:rPr>
            </w:pPr>
            <w:r>
              <w:rPr>
                <w:noProof/>
                <w:sz w:val="22"/>
              </w:rPr>
              <w:t>ДА/НЕ</w:t>
            </w:r>
          </w:p>
        </w:tc>
        <w:tc>
          <w:tcPr>
            <w:tcW w:w="1448" w:type="dxa"/>
            <w:vAlign w:val="center"/>
          </w:tcPr>
          <w:p>
            <w:pPr>
              <w:jc w:val="center"/>
              <w:rPr>
                <w:noProof/>
                <w:sz w:val="22"/>
              </w:rPr>
            </w:pPr>
            <w:r>
              <w:rPr>
                <w:noProof/>
                <w:sz w:val="22"/>
              </w:rPr>
              <w:t>ДА/НЕ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Очаквано отражение върху разходите </w:t>
      </w:r>
    </w:p>
    <w:p>
      <w:pPr>
        <w:pStyle w:val="Text1"/>
        <w:rPr>
          <w:noProof/>
        </w:rPr>
      </w:pPr>
      <w:r>
        <w:rPr>
          <w:noProof/>
          <w:highlight w:val="lightGray"/>
        </w:rPr>
        <w:t xml:space="preserve">[Тази част следва да бъде попълнена, като се използва </w:t>
      </w:r>
      <w:hyperlink r:id="rId18">
        <w:r>
          <w:rPr>
            <w:rStyle w:val="Hyperlink"/>
            <w:b/>
            <w:noProof/>
            <w:highlight w:val="lightGray"/>
          </w:rPr>
          <w:t>таблицата за бюджетни данни с административен характер</w:t>
        </w:r>
      </w:hyperlink>
      <w:r>
        <w:rPr>
          <w:noProof/>
          <w:highlight w:val="lightGray"/>
        </w:rPr>
        <w:t xml:space="preserve"> (вторият документ, приложен към настоящата финансова обосновка), която трябва да се качи в CISNET за провеждането на вътрешни консултации между службите]</w:t>
      </w:r>
    </w:p>
    <w:p>
      <w:pPr>
        <w:pStyle w:val="ManualHeading3"/>
        <w:rPr>
          <w:noProof/>
          <w:u w:val="single"/>
        </w:rPr>
      </w:pPr>
      <w:r>
        <w:t>3.2.1.</w:t>
      </w:r>
      <w:r>
        <w:tab/>
      </w:r>
      <w:r>
        <w:rPr>
          <w:noProof/>
        </w:rPr>
        <w:t xml:space="preserve">Обобщение на очакваното отражение върху разходите </w:t>
      </w:r>
    </w:p>
    <w:p>
      <w:pPr>
        <w:jc w:val="right"/>
        <w:rPr>
          <w:noProof/>
          <w:sz w:val="16"/>
        </w:rPr>
      </w:pPr>
      <w:r>
        <w:rPr>
          <w:noProof/>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Функция от многогодишната финансова </w:t>
            </w:r>
            <w:r>
              <w:rPr>
                <w:b/>
                <w:noProof/>
                <w:sz w:val="22"/>
              </w:rPr>
              <w:br/>
              <w:t xml:space="preserve">рамка: </w:t>
            </w:r>
          </w:p>
        </w:tc>
        <w:tc>
          <w:tcPr>
            <w:tcW w:w="1080" w:type="dxa"/>
            <w:vAlign w:val="center"/>
          </w:tcPr>
          <w:p>
            <w:pPr>
              <w:spacing w:before="60" w:after="60"/>
              <w:jc w:val="center"/>
              <w:rPr>
                <w:noProof/>
                <w:sz w:val="22"/>
              </w:rPr>
            </w:pPr>
            <w:r>
              <w:rPr>
                <w:noProof/>
                <w:sz w:val="22"/>
              </w:rPr>
              <w:t>Номер 2</w:t>
            </w:r>
          </w:p>
        </w:tc>
        <w:tc>
          <w:tcPr>
            <w:tcW w:w="7817" w:type="dxa"/>
            <w:vAlign w:val="center"/>
          </w:tcPr>
          <w:p>
            <w:pPr>
              <w:spacing w:before="60" w:after="60"/>
              <w:rPr>
                <w:noProof/>
                <w:sz w:val="22"/>
              </w:rPr>
            </w:pPr>
            <w:r>
              <w:t>Устойчив растеж: природни ресурси</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1777"/>
      </w:tblGrid>
      <w:tr>
        <w:tc>
          <w:tcPr>
            <w:tcW w:w="3960" w:type="dxa"/>
            <w:vAlign w:val="center"/>
          </w:tcPr>
          <w:p>
            <w:pPr>
              <w:jc w:val="center"/>
              <w:rPr>
                <w:noProof/>
                <w:sz w:val="22"/>
              </w:rPr>
            </w:pPr>
            <w:r>
              <w:rPr>
                <w:noProof/>
                <w:sz w:val="22"/>
              </w:rPr>
              <w:t>ГД „Морско дело и рибарство“</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Година</w:t>
            </w:r>
            <w:r>
              <w:rPr>
                <w:noProof/>
                <w:sz w:val="20"/>
              </w:rPr>
              <w:br/>
            </w:r>
            <w:r>
              <w:rPr>
                <w:b/>
                <w:noProof/>
                <w:sz w:val="20"/>
              </w:rPr>
              <w:t>2019</w:t>
            </w:r>
            <w:r>
              <w:rPr>
                <w:rStyle w:val="FootnoteReference"/>
                <w:b/>
                <w:noProof/>
                <w:sz w:val="20"/>
              </w:rPr>
              <w:footnoteReference w:id="17"/>
            </w:r>
          </w:p>
        </w:tc>
        <w:tc>
          <w:tcPr>
            <w:tcW w:w="868" w:type="dxa"/>
            <w:vAlign w:val="center"/>
          </w:tcPr>
          <w:p>
            <w:pPr>
              <w:jc w:val="center"/>
              <w:rPr>
                <w:noProof/>
                <w:sz w:val="20"/>
              </w:rPr>
            </w:pPr>
            <w:r>
              <w:rPr>
                <w:noProof/>
                <w:sz w:val="20"/>
              </w:rPr>
              <w:t>Година</w:t>
            </w:r>
            <w:r>
              <w:rPr>
                <w:noProof/>
                <w:sz w:val="20"/>
              </w:rPr>
              <w:br/>
            </w:r>
            <w:r>
              <w:rPr>
                <w:b/>
                <w:noProof/>
                <w:sz w:val="20"/>
              </w:rPr>
              <w:t>2020</w:t>
            </w:r>
          </w:p>
        </w:tc>
        <w:tc>
          <w:tcPr>
            <w:tcW w:w="868" w:type="dxa"/>
            <w:vAlign w:val="center"/>
          </w:tcPr>
          <w:p>
            <w:pPr>
              <w:jc w:val="center"/>
              <w:rPr>
                <w:noProof/>
                <w:sz w:val="20"/>
              </w:rPr>
            </w:pPr>
            <w:r>
              <w:rPr>
                <w:noProof/>
                <w:sz w:val="20"/>
              </w:rPr>
              <w:t>Година</w:t>
            </w:r>
            <w:r>
              <w:rPr>
                <w:noProof/>
                <w:sz w:val="20"/>
              </w:rPr>
              <w:br/>
            </w:r>
            <w:r>
              <w:rPr>
                <w:b/>
                <w:noProof/>
                <w:sz w:val="20"/>
              </w:rPr>
              <w:t>2021</w:t>
            </w:r>
          </w:p>
        </w:tc>
        <w:tc>
          <w:tcPr>
            <w:tcW w:w="868" w:type="dxa"/>
            <w:vAlign w:val="center"/>
          </w:tcPr>
          <w:p>
            <w:pPr>
              <w:jc w:val="center"/>
              <w:rPr>
                <w:noProof/>
                <w:sz w:val="20"/>
              </w:rPr>
            </w:pPr>
            <w:r>
              <w:rPr>
                <w:noProof/>
                <w:sz w:val="20"/>
              </w:rPr>
              <w:t>Година</w:t>
            </w:r>
            <w:r>
              <w:rPr>
                <w:noProof/>
                <w:sz w:val="20"/>
              </w:rPr>
              <w:br/>
            </w:r>
            <w:r>
              <w:rPr>
                <w:b/>
                <w:noProof/>
                <w:sz w:val="20"/>
              </w:rPr>
              <w:t>2022</w:t>
            </w:r>
          </w:p>
        </w:tc>
        <w:tc>
          <w:tcPr>
            <w:tcW w:w="1777"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Бюджетни кредити за оперативни разходи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Номер на бюджетния ред 11.0301</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37,000</w:t>
            </w:r>
          </w:p>
        </w:tc>
        <w:tc>
          <w:tcPr>
            <w:tcW w:w="868" w:type="dxa"/>
            <w:vAlign w:val="center"/>
          </w:tcPr>
          <w:p>
            <w:pPr>
              <w:spacing w:before="20" w:after="20"/>
              <w:jc w:val="right"/>
              <w:rPr>
                <w:noProof/>
                <w:sz w:val="20"/>
              </w:rPr>
            </w:pPr>
            <w:r>
              <w:rPr>
                <w:noProof/>
                <w:sz w:val="20"/>
              </w:rPr>
              <w:t>38,800</w:t>
            </w:r>
          </w:p>
        </w:tc>
        <w:tc>
          <w:tcPr>
            <w:tcW w:w="868" w:type="dxa"/>
            <w:vAlign w:val="center"/>
          </w:tcPr>
          <w:p>
            <w:pPr>
              <w:spacing w:before="20" w:after="20"/>
              <w:jc w:val="right"/>
              <w:rPr>
                <w:noProof/>
                <w:sz w:val="20"/>
              </w:rPr>
            </w:pPr>
            <w:r>
              <w:rPr>
                <w:noProof/>
                <w:sz w:val="20"/>
              </w:rPr>
              <w:t>42,400</w:t>
            </w:r>
          </w:p>
        </w:tc>
        <w:tc>
          <w:tcPr>
            <w:tcW w:w="868" w:type="dxa"/>
            <w:vAlign w:val="center"/>
          </w:tcPr>
          <w:p>
            <w:pPr>
              <w:spacing w:before="20" w:after="20"/>
              <w:jc w:val="right"/>
              <w:rPr>
                <w:noProof/>
                <w:sz w:val="20"/>
              </w:rPr>
            </w:pPr>
            <w:r>
              <w:rPr>
                <w:noProof/>
                <w:sz w:val="20"/>
              </w:rPr>
              <w:t>42,400</w:t>
            </w:r>
          </w:p>
        </w:tc>
        <w:tc>
          <w:tcPr>
            <w:tcW w:w="1777" w:type="dxa"/>
            <w:vAlign w:val="center"/>
          </w:tcPr>
          <w:p>
            <w:pPr>
              <w:spacing w:before="20" w:after="20"/>
              <w:jc w:val="right"/>
              <w:rPr>
                <w:b/>
                <w:noProof/>
                <w:sz w:val="20"/>
              </w:rPr>
            </w:pPr>
            <w:r>
              <w:rPr>
                <w:b/>
                <w:noProof/>
                <w:sz w:val="20"/>
              </w:rPr>
              <w:t>160,600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37,000</w:t>
            </w:r>
          </w:p>
        </w:tc>
        <w:tc>
          <w:tcPr>
            <w:tcW w:w="868" w:type="dxa"/>
            <w:vAlign w:val="center"/>
          </w:tcPr>
          <w:p>
            <w:pPr>
              <w:spacing w:before="20" w:after="20"/>
              <w:jc w:val="right"/>
              <w:rPr>
                <w:noProof/>
                <w:sz w:val="20"/>
              </w:rPr>
            </w:pPr>
            <w:r>
              <w:rPr>
                <w:noProof/>
                <w:sz w:val="20"/>
              </w:rPr>
              <w:t>38,800</w:t>
            </w:r>
          </w:p>
        </w:tc>
        <w:tc>
          <w:tcPr>
            <w:tcW w:w="868" w:type="dxa"/>
            <w:vAlign w:val="center"/>
          </w:tcPr>
          <w:p>
            <w:pPr>
              <w:spacing w:before="20" w:after="20"/>
              <w:jc w:val="right"/>
              <w:rPr>
                <w:noProof/>
                <w:sz w:val="20"/>
              </w:rPr>
            </w:pPr>
            <w:r>
              <w:rPr>
                <w:noProof/>
                <w:sz w:val="20"/>
              </w:rPr>
              <w:t>42,400</w:t>
            </w:r>
          </w:p>
        </w:tc>
        <w:tc>
          <w:tcPr>
            <w:tcW w:w="868" w:type="dxa"/>
            <w:vAlign w:val="center"/>
          </w:tcPr>
          <w:p>
            <w:pPr>
              <w:spacing w:before="20" w:after="20"/>
              <w:jc w:val="right"/>
              <w:rPr>
                <w:noProof/>
                <w:sz w:val="20"/>
              </w:rPr>
            </w:pPr>
            <w:r>
              <w:rPr>
                <w:noProof/>
                <w:sz w:val="20"/>
              </w:rPr>
              <w:t>42,400</w:t>
            </w:r>
          </w:p>
        </w:tc>
        <w:tc>
          <w:tcPr>
            <w:tcW w:w="1777" w:type="dxa"/>
            <w:vAlign w:val="center"/>
          </w:tcPr>
          <w:p>
            <w:pPr>
              <w:spacing w:before="20" w:after="20"/>
              <w:jc w:val="right"/>
              <w:rPr>
                <w:b/>
                <w:noProof/>
                <w:sz w:val="20"/>
              </w:rPr>
            </w:pPr>
            <w:r>
              <w:rPr>
                <w:b/>
                <w:noProof/>
                <w:sz w:val="20"/>
              </w:rPr>
              <w:t>160,600</w:t>
            </w:r>
          </w:p>
        </w:tc>
      </w:tr>
      <w:tr>
        <w:tc>
          <w:tcPr>
            <w:tcW w:w="3960" w:type="dxa"/>
            <w:vMerge w:val="restart"/>
            <w:vAlign w:val="center"/>
          </w:tcPr>
          <w:p>
            <w:pPr>
              <w:rPr>
                <w:noProof/>
                <w:sz w:val="22"/>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18"/>
            </w:r>
            <w:r>
              <w:rPr>
                <w:noProof/>
                <w:sz w:val="21"/>
              </w:rPr>
              <w:t xml:space="preserve"> </w:t>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Номер на бюджетния ред</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b/>
                <w:noProof/>
                <w:sz w:val="22"/>
              </w:rPr>
            </w:pPr>
            <w:r>
              <w:rPr>
                <w:b/>
                <w:noProof/>
                <w:sz w:val="22"/>
              </w:rPr>
              <w:t>ОБЩО бюджетни кредити</w:t>
            </w:r>
            <w:r>
              <w:rPr>
                <w:b/>
                <w:noProof/>
                <w:sz w:val="22"/>
              </w:rPr>
              <w:br/>
              <w:t>за ГД „Морско дело и рибарство“</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 1+1a +3</w:t>
            </w:r>
          </w:p>
        </w:tc>
        <w:tc>
          <w:tcPr>
            <w:tcW w:w="868" w:type="dxa"/>
            <w:vAlign w:val="center"/>
          </w:tcPr>
          <w:p>
            <w:pPr>
              <w:spacing w:before="20" w:after="20"/>
              <w:jc w:val="right"/>
              <w:rPr>
                <w:noProof/>
                <w:sz w:val="20"/>
              </w:rPr>
            </w:pPr>
            <w:r>
              <w:rPr>
                <w:noProof/>
                <w:sz w:val="20"/>
              </w:rPr>
              <w:t>37,000</w:t>
            </w:r>
          </w:p>
        </w:tc>
        <w:tc>
          <w:tcPr>
            <w:tcW w:w="868" w:type="dxa"/>
            <w:vAlign w:val="center"/>
          </w:tcPr>
          <w:p>
            <w:pPr>
              <w:spacing w:before="20" w:after="20"/>
              <w:jc w:val="right"/>
              <w:rPr>
                <w:noProof/>
                <w:sz w:val="20"/>
              </w:rPr>
            </w:pPr>
            <w:r>
              <w:rPr>
                <w:noProof/>
                <w:sz w:val="20"/>
              </w:rPr>
              <w:t>38,800</w:t>
            </w:r>
          </w:p>
        </w:tc>
        <w:tc>
          <w:tcPr>
            <w:tcW w:w="868" w:type="dxa"/>
            <w:vAlign w:val="center"/>
          </w:tcPr>
          <w:p>
            <w:pPr>
              <w:spacing w:before="20" w:after="20"/>
              <w:jc w:val="right"/>
              <w:rPr>
                <w:noProof/>
                <w:sz w:val="20"/>
              </w:rPr>
            </w:pPr>
            <w:r>
              <w:rPr>
                <w:noProof/>
                <w:sz w:val="20"/>
              </w:rPr>
              <w:t>42,400</w:t>
            </w:r>
          </w:p>
        </w:tc>
        <w:tc>
          <w:tcPr>
            <w:tcW w:w="868" w:type="dxa"/>
            <w:vAlign w:val="center"/>
          </w:tcPr>
          <w:p>
            <w:pPr>
              <w:spacing w:before="20" w:after="20"/>
              <w:jc w:val="right"/>
              <w:rPr>
                <w:noProof/>
                <w:sz w:val="20"/>
              </w:rPr>
            </w:pPr>
            <w:r>
              <w:rPr>
                <w:noProof/>
                <w:sz w:val="20"/>
              </w:rPr>
              <w:t>42,400</w:t>
            </w:r>
          </w:p>
        </w:tc>
        <w:tc>
          <w:tcPr>
            <w:tcW w:w="1777" w:type="dxa"/>
            <w:vAlign w:val="center"/>
          </w:tcPr>
          <w:p>
            <w:pPr>
              <w:spacing w:before="20" w:after="20"/>
              <w:jc w:val="right"/>
              <w:rPr>
                <w:b/>
                <w:noProof/>
                <w:sz w:val="20"/>
              </w:rPr>
            </w:pPr>
            <w:r>
              <w:rPr>
                <w:b/>
                <w:noProof/>
                <w:sz w:val="20"/>
              </w:rPr>
              <w:t>160,600</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 2+2a</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37,000</w:t>
            </w:r>
          </w:p>
        </w:tc>
        <w:tc>
          <w:tcPr>
            <w:tcW w:w="868" w:type="dxa"/>
            <w:vAlign w:val="center"/>
          </w:tcPr>
          <w:p>
            <w:pPr>
              <w:spacing w:before="20" w:after="20"/>
              <w:jc w:val="right"/>
              <w:rPr>
                <w:noProof/>
                <w:sz w:val="20"/>
              </w:rPr>
            </w:pPr>
            <w:r>
              <w:rPr>
                <w:noProof/>
                <w:sz w:val="20"/>
              </w:rPr>
              <w:t>38,800</w:t>
            </w:r>
          </w:p>
        </w:tc>
        <w:tc>
          <w:tcPr>
            <w:tcW w:w="868" w:type="dxa"/>
            <w:vAlign w:val="center"/>
          </w:tcPr>
          <w:p>
            <w:pPr>
              <w:spacing w:before="20" w:after="20"/>
              <w:jc w:val="right"/>
              <w:rPr>
                <w:noProof/>
                <w:sz w:val="20"/>
              </w:rPr>
            </w:pPr>
            <w:r>
              <w:rPr>
                <w:noProof/>
                <w:sz w:val="20"/>
              </w:rPr>
              <w:t>42,400</w:t>
            </w:r>
          </w:p>
        </w:tc>
        <w:tc>
          <w:tcPr>
            <w:tcW w:w="868" w:type="dxa"/>
            <w:vAlign w:val="center"/>
          </w:tcPr>
          <w:p>
            <w:pPr>
              <w:spacing w:before="20" w:after="20"/>
              <w:jc w:val="right"/>
              <w:rPr>
                <w:noProof/>
                <w:sz w:val="20"/>
              </w:rPr>
            </w:pPr>
            <w:r>
              <w:rPr>
                <w:noProof/>
                <w:sz w:val="20"/>
              </w:rPr>
              <w:t>42,400</w:t>
            </w:r>
          </w:p>
        </w:tc>
        <w:tc>
          <w:tcPr>
            <w:tcW w:w="1777" w:type="dxa"/>
            <w:vAlign w:val="center"/>
          </w:tcPr>
          <w:p>
            <w:pPr>
              <w:spacing w:before="20" w:after="20"/>
              <w:jc w:val="right"/>
              <w:rPr>
                <w:b/>
                <w:noProof/>
                <w:sz w:val="20"/>
              </w:rPr>
            </w:pPr>
            <w:r>
              <w:rPr>
                <w:b/>
                <w:noProof/>
                <w:sz w:val="20"/>
              </w:rPr>
              <w:t>160,600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1777"/>
      </w:tblGrid>
      <w:tr>
        <w:trPr>
          <w:trHeight w:val="277"/>
        </w:trPr>
        <w:tc>
          <w:tcPr>
            <w:tcW w:w="3960" w:type="dxa"/>
            <w:vMerge w:val="restart"/>
            <w:vAlign w:val="center"/>
          </w:tcPr>
          <w:p>
            <w:pPr>
              <w:spacing w:before="20" w:after="20"/>
              <w:rPr>
                <w:noProof/>
                <w:sz w:val="22"/>
              </w:rPr>
            </w:pPr>
            <w:r>
              <w:rPr>
                <w:noProof/>
              </w:rPr>
              <w:br w:type="page"/>
            </w:r>
            <w:r>
              <w:rPr>
                <w:noProof/>
                <w:sz w:val="21"/>
              </w:rPr>
              <w:sym w:font="Wingdings" w:char="F09F"/>
            </w:r>
            <w:r>
              <w:rPr>
                <w:noProof/>
                <w:sz w:val="21"/>
              </w:rPr>
              <w:t xml:space="preserve"> ОБЩО бюджетни кредити за оперативни разходи </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37,000</w:t>
            </w:r>
          </w:p>
        </w:tc>
        <w:tc>
          <w:tcPr>
            <w:tcW w:w="868" w:type="dxa"/>
            <w:vAlign w:val="center"/>
          </w:tcPr>
          <w:p>
            <w:pPr>
              <w:spacing w:before="20" w:after="20"/>
              <w:jc w:val="right"/>
              <w:rPr>
                <w:noProof/>
                <w:sz w:val="20"/>
              </w:rPr>
            </w:pPr>
            <w:r>
              <w:rPr>
                <w:noProof/>
                <w:sz w:val="20"/>
              </w:rPr>
              <w:t>38,800</w:t>
            </w:r>
          </w:p>
        </w:tc>
        <w:tc>
          <w:tcPr>
            <w:tcW w:w="868" w:type="dxa"/>
            <w:vAlign w:val="center"/>
          </w:tcPr>
          <w:p>
            <w:pPr>
              <w:spacing w:before="20" w:after="20"/>
              <w:jc w:val="right"/>
              <w:rPr>
                <w:noProof/>
                <w:sz w:val="20"/>
              </w:rPr>
            </w:pPr>
            <w:r>
              <w:rPr>
                <w:noProof/>
                <w:sz w:val="20"/>
              </w:rPr>
              <w:t>42,400</w:t>
            </w:r>
          </w:p>
        </w:tc>
        <w:tc>
          <w:tcPr>
            <w:tcW w:w="868" w:type="dxa"/>
            <w:vAlign w:val="center"/>
          </w:tcPr>
          <w:p>
            <w:pPr>
              <w:spacing w:before="20" w:after="20"/>
              <w:jc w:val="right"/>
              <w:rPr>
                <w:noProof/>
                <w:sz w:val="20"/>
              </w:rPr>
            </w:pPr>
            <w:r>
              <w:rPr>
                <w:noProof/>
                <w:sz w:val="20"/>
              </w:rPr>
              <w:t>42,400</w:t>
            </w:r>
          </w:p>
        </w:tc>
        <w:tc>
          <w:tcPr>
            <w:tcW w:w="1777" w:type="dxa"/>
            <w:vAlign w:val="center"/>
          </w:tcPr>
          <w:p>
            <w:pPr>
              <w:spacing w:before="20" w:after="20"/>
              <w:jc w:val="right"/>
              <w:rPr>
                <w:b/>
                <w:noProof/>
                <w:sz w:val="20"/>
              </w:rPr>
            </w:pPr>
            <w:r>
              <w:rPr>
                <w:b/>
                <w:noProof/>
                <w:sz w:val="20"/>
              </w:rPr>
              <w:t>160,600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37,000</w:t>
            </w:r>
          </w:p>
        </w:tc>
        <w:tc>
          <w:tcPr>
            <w:tcW w:w="868" w:type="dxa"/>
            <w:vAlign w:val="center"/>
          </w:tcPr>
          <w:p>
            <w:pPr>
              <w:spacing w:before="20" w:after="20"/>
              <w:jc w:val="right"/>
              <w:rPr>
                <w:noProof/>
                <w:sz w:val="20"/>
              </w:rPr>
            </w:pPr>
            <w:r>
              <w:rPr>
                <w:noProof/>
                <w:sz w:val="20"/>
              </w:rPr>
              <w:t>38,800</w:t>
            </w:r>
          </w:p>
        </w:tc>
        <w:tc>
          <w:tcPr>
            <w:tcW w:w="868" w:type="dxa"/>
            <w:vAlign w:val="center"/>
          </w:tcPr>
          <w:p>
            <w:pPr>
              <w:spacing w:before="20" w:after="20"/>
              <w:jc w:val="right"/>
              <w:rPr>
                <w:noProof/>
                <w:sz w:val="20"/>
              </w:rPr>
            </w:pPr>
            <w:r>
              <w:rPr>
                <w:noProof/>
                <w:sz w:val="20"/>
              </w:rPr>
              <w:t>42,400</w:t>
            </w:r>
          </w:p>
        </w:tc>
        <w:tc>
          <w:tcPr>
            <w:tcW w:w="868" w:type="dxa"/>
            <w:vAlign w:val="center"/>
          </w:tcPr>
          <w:p>
            <w:pPr>
              <w:spacing w:before="20" w:after="20"/>
              <w:jc w:val="right"/>
              <w:rPr>
                <w:noProof/>
                <w:sz w:val="20"/>
              </w:rPr>
            </w:pPr>
            <w:r>
              <w:rPr>
                <w:noProof/>
                <w:sz w:val="20"/>
              </w:rPr>
              <w:t>42,400</w:t>
            </w:r>
          </w:p>
        </w:tc>
        <w:tc>
          <w:tcPr>
            <w:tcW w:w="1777" w:type="dxa"/>
            <w:vAlign w:val="center"/>
          </w:tcPr>
          <w:p>
            <w:pPr>
              <w:spacing w:before="20" w:after="20"/>
              <w:jc w:val="right"/>
              <w:rPr>
                <w:b/>
                <w:noProof/>
                <w:sz w:val="20"/>
              </w:rPr>
            </w:pPr>
            <w:r>
              <w:rPr>
                <w:b/>
                <w:noProof/>
                <w:sz w:val="20"/>
              </w:rPr>
              <w:t>160,600</w:t>
            </w: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sz w:val="22"/>
              </w:rPr>
            </w:pPr>
            <w:r>
              <w:rPr>
                <w:b/>
                <w:noProof/>
                <w:sz w:val="22"/>
              </w:rPr>
              <w:t xml:space="preserve">ОБЩО бюджетни кредити </w:t>
            </w:r>
            <w:r>
              <w:rPr>
                <w:b/>
                <w:noProof/>
                <w:sz w:val="22"/>
              </w:rPr>
              <w:br/>
              <w:t>за ФУНКЦИЯ 2</w:t>
            </w:r>
            <w:r>
              <w:rPr>
                <w:b/>
                <w:noProof/>
                <w:sz w:val="22"/>
              </w:rPr>
              <w:br/>
            </w:r>
            <w:r>
              <w:rPr>
                <w:noProof/>
                <w:sz w:val="22"/>
              </w:rP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 4+ 6</w:t>
            </w:r>
          </w:p>
        </w:tc>
        <w:tc>
          <w:tcPr>
            <w:tcW w:w="868" w:type="dxa"/>
            <w:vAlign w:val="center"/>
          </w:tcPr>
          <w:p>
            <w:pPr>
              <w:spacing w:before="20" w:after="20"/>
              <w:jc w:val="right"/>
              <w:rPr>
                <w:noProof/>
                <w:sz w:val="20"/>
              </w:rPr>
            </w:pPr>
            <w:r>
              <w:rPr>
                <w:noProof/>
                <w:sz w:val="20"/>
              </w:rPr>
              <w:t>37,000</w:t>
            </w:r>
          </w:p>
        </w:tc>
        <w:tc>
          <w:tcPr>
            <w:tcW w:w="868" w:type="dxa"/>
            <w:vAlign w:val="center"/>
          </w:tcPr>
          <w:p>
            <w:pPr>
              <w:spacing w:before="20" w:after="20"/>
              <w:jc w:val="right"/>
              <w:rPr>
                <w:noProof/>
                <w:sz w:val="20"/>
              </w:rPr>
            </w:pPr>
            <w:r>
              <w:rPr>
                <w:noProof/>
                <w:sz w:val="20"/>
              </w:rPr>
              <w:t>38,800</w:t>
            </w:r>
          </w:p>
        </w:tc>
        <w:tc>
          <w:tcPr>
            <w:tcW w:w="868" w:type="dxa"/>
            <w:vAlign w:val="center"/>
          </w:tcPr>
          <w:p>
            <w:pPr>
              <w:spacing w:before="20" w:after="20"/>
              <w:jc w:val="right"/>
              <w:rPr>
                <w:noProof/>
                <w:sz w:val="20"/>
              </w:rPr>
            </w:pPr>
            <w:r>
              <w:rPr>
                <w:noProof/>
                <w:sz w:val="20"/>
              </w:rPr>
              <w:t>42,400</w:t>
            </w:r>
          </w:p>
        </w:tc>
        <w:tc>
          <w:tcPr>
            <w:tcW w:w="868" w:type="dxa"/>
            <w:vAlign w:val="center"/>
          </w:tcPr>
          <w:p>
            <w:pPr>
              <w:spacing w:before="20" w:after="20"/>
              <w:jc w:val="right"/>
              <w:rPr>
                <w:noProof/>
                <w:sz w:val="20"/>
              </w:rPr>
            </w:pPr>
            <w:r>
              <w:rPr>
                <w:noProof/>
                <w:sz w:val="20"/>
              </w:rPr>
              <w:t>42,400</w:t>
            </w:r>
          </w:p>
        </w:tc>
        <w:tc>
          <w:tcPr>
            <w:tcW w:w="1777" w:type="dxa"/>
            <w:vAlign w:val="center"/>
          </w:tcPr>
          <w:p>
            <w:pPr>
              <w:spacing w:before="20" w:after="20"/>
              <w:jc w:val="right"/>
              <w:rPr>
                <w:b/>
                <w:noProof/>
                <w:sz w:val="20"/>
              </w:rPr>
            </w:pPr>
            <w:r>
              <w:rPr>
                <w:b/>
                <w:noProof/>
                <w:sz w:val="20"/>
              </w:rPr>
              <w:t>160,600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 5+ 6</w:t>
            </w:r>
          </w:p>
        </w:tc>
        <w:tc>
          <w:tcPr>
            <w:tcW w:w="868" w:type="dxa"/>
            <w:vAlign w:val="center"/>
          </w:tcPr>
          <w:p>
            <w:pPr>
              <w:spacing w:before="20" w:after="20"/>
              <w:jc w:val="right"/>
              <w:rPr>
                <w:noProof/>
                <w:sz w:val="20"/>
              </w:rPr>
            </w:pPr>
            <w:r>
              <w:rPr>
                <w:noProof/>
                <w:sz w:val="20"/>
              </w:rPr>
              <w:t>37,000</w:t>
            </w:r>
          </w:p>
        </w:tc>
        <w:tc>
          <w:tcPr>
            <w:tcW w:w="868" w:type="dxa"/>
            <w:vAlign w:val="center"/>
          </w:tcPr>
          <w:p>
            <w:pPr>
              <w:spacing w:before="20" w:after="20"/>
              <w:jc w:val="right"/>
              <w:rPr>
                <w:noProof/>
                <w:sz w:val="20"/>
              </w:rPr>
            </w:pPr>
            <w:r>
              <w:rPr>
                <w:noProof/>
                <w:sz w:val="20"/>
              </w:rPr>
              <w:t>38,800</w:t>
            </w:r>
          </w:p>
        </w:tc>
        <w:tc>
          <w:tcPr>
            <w:tcW w:w="868" w:type="dxa"/>
            <w:vAlign w:val="center"/>
          </w:tcPr>
          <w:p>
            <w:pPr>
              <w:spacing w:before="20" w:after="20"/>
              <w:jc w:val="right"/>
              <w:rPr>
                <w:noProof/>
                <w:sz w:val="20"/>
              </w:rPr>
            </w:pPr>
            <w:r>
              <w:rPr>
                <w:noProof/>
                <w:sz w:val="20"/>
              </w:rPr>
              <w:t>42,400</w:t>
            </w:r>
          </w:p>
        </w:tc>
        <w:tc>
          <w:tcPr>
            <w:tcW w:w="868" w:type="dxa"/>
            <w:vAlign w:val="center"/>
          </w:tcPr>
          <w:p>
            <w:pPr>
              <w:spacing w:before="20" w:after="20"/>
              <w:jc w:val="right"/>
              <w:rPr>
                <w:noProof/>
                <w:sz w:val="20"/>
              </w:rPr>
            </w:pPr>
            <w:r>
              <w:rPr>
                <w:noProof/>
                <w:sz w:val="20"/>
              </w:rPr>
              <w:t>42,400</w:t>
            </w:r>
          </w:p>
        </w:tc>
        <w:tc>
          <w:tcPr>
            <w:tcW w:w="1777" w:type="dxa"/>
            <w:vAlign w:val="center"/>
          </w:tcPr>
          <w:p>
            <w:pPr>
              <w:spacing w:before="20" w:after="20"/>
              <w:jc w:val="right"/>
              <w:rPr>
                <w:b/>
                <w:noProof/>
                <w:sz w:val="20"/>
              </w:rPr>
            </w:pPr>
            <w:r>
              <w:rPr>
                <w:b/>
                <w:noProof/>
                <w:sz w:val="20"/>
              </w:rPr>
              <w:t>160,600</w:t>
            </w:r>
          </w:p>
        </w:tc>
      </w:tr>
    </w:tbl>
    <w:p>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 xml:space="preserve"> ОБЩО бюджетни кредити за оперативни разходи </w:t>
            </w:r>
          </w:p>
        </w:tc>
        <w:tc>
          <w:tcPr>
            <w:tcW w:w="1440" w:type="dxa"/>
            <w:tcBorders>
              <w:top w:val="single" w:sz="4" w:space="0" w:color="FF0000"/>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 xml:space="preserve">ОБЩО бюджетни кредити </w:t>
            </w:r>
            <w:r>
              <w:rPr>
                <w:b/>
                <w:noProof/>
                <w:sz w:val="22"/>
              </w:rPr>
              <w:br/>
              <w:t>за ФУНКЦИИ 1—4</w:t>
            </w:r>
            <w:r>
              <w:rPr>
                <w:b/>
                <w:noProof/>
                <w:sz w:val="22"/>
              </w:rPr>
              <w:br/>
            </w:r>
            <w:r>
              <w:rPr>
                <w:noProof/>
                <w:sz w:val="22"/>
              </w:rPr>
              <w:t>от многогодишната финансова рамка</w:t>
            </w:r>
            <w:r>
              <w:rPr>
                <w:noProof/>
                <w:sz w:val="22"/>
              </w:rPr>
              <w:br/>
            </w:r>
            <w:r>
              <w:rPr>
                <w:noProof/>
                <w:sz w:val="20"/>
              </w:rPr>
              <w:t>(Референтна стойност)</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 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Плащания</w:t>
            </w:r>
          </w:p>
        </w:tc>
        <w:tc>
          <w:tcPr>
            <w:tcW w:w="654" w:type="dxa"/>
            <w:tcBorders>
              <w:bottom w:val="single" w:sz="4" w:space="0" w:color="FF0000"/>
            </w:tcBorders>
            <w:vAlign w:val="center"/>
          </w:tcPr>
          <w:p>
            <w:pPr>
              <w:jc w:val="center"/>
              <w:rPr>
                <w:noProof/>
                <w:sz w:val="14"/>
              </w:rPr>
            </w:pPr>
            <w:r>
              <w:rPr>
                <w:noProof/>
                <w:sz w:val="14"/>
              </w:rPr>
              <w:t>= 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 xml:space="preserve">Функция от многогодишната финансова </w:t>
            </w:r>
            <w:r>
              <w:rPr>
                <w:b/>
                <w:noProof/>
                <w:sz w:val="22"/>
              </w:rPr>
              <w:br/>
              <w:t xml:space="preserve">рамка: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„Административни разходи“</w:t>
            </w:r>
          </w:p>
        </w:tc>
      </w:tr>
    </w:tbl>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0"/>
              </w:rPr>
              <w:br/>
            </w:r>
            <w:r>
              <w:rPr>
                <w:b/>
                <w:noProof/>
                <w:sz w:val="20"/>
              </w:rPr>
              <w:t>N</w:t>
            </w:r>
          </w:p>
        </w:tc>
        <w:tc>
          <w:tcPr>
            <w:tcW w:w="868" w:type="dxa"/>
            <w:vAlign w:val="center"/>
          </w:tcPr>
          <w:p>
            <w:pPr>
              <w:jc w:val="center"/>
              <w:rPr>
                <w:noProof/>
                <w:sz w:val="20"/>
              </w:rPr>
            </w:pPr>
            <w:r>
              <w:rPr>
                <w:noProof/>
                <w:sz w:val="20"/>
              </w:rPr>
              <w:t>Година</w:t>
            </w:r>
            <w:r>
              <w:rPr>
                <w:noProof/>
                <w:sz w:val="20"/>
              </w:rPr>
              <w:br/>
            </w:r>
            <w:r>
              <w:rPr>
                <w:b/>
                <w:noProof/>
                <w:sz w:val="20"/>
              </w:rPr>
              <w:t>N+1</w:t>
            </w:r>
          </w:p>
        </w:tc>
        <w:tc>
          <w:tcPr>
            <w:tcW w:w="868" w:type="dxa"/>
            <w:vAlign w:val="center"/>
          </w:tcPr>
          <w:p>
            <w:pPr>
              <w:jc w:val="center"/>
              <w:rPr>
                <w:noProof/>
                <w:sz w:val="20"/>
              </w:rPr>
            </w:pPr>
            <w:r>
              <w:rPr>
                <w:noProof/>
                <w:sz w:val="20"/>
              </w:rPr>
              <w:t>Година</w:t>
            </w:r>
            <w:r>
              <w:rPr>
                <w:noProof/>
                <w:sz w:val="20"/>
              </w:rPr>
              <w:br/>
            </w:r>
            <w:r>
              <w:rPr>
                <w:b/>
                <w:noProof/>
                <w:sz w:val="20"/>
              </w:rPr>
              <w:t>N+2</w:t>
            </w:r>
          </w:p>
        </w:tc>
        <w:tc>
          <w:tcPr>
            <w:tcW w:w="868" w:type="dxa"/>
            <w:vAlign w:val="center"/>
          </w:tcPr>
          <w:p>
            <w:pPr>
              <w:jc w:val="center"/>
              <w:rPr>
                <w:noProof/>
                <w:sz w:val="20"/>
              </w:rPr>
            </w:pPr>
            <w:r>
              <w:rPr>
                <w:noProof/>
                <w:sz w:val="20"/>
              </w:rPr>
              <w:t>Година</w:t>
            </w:r>
            <w:r>
              <w:rPr>
                <w:noProof/>
                <w:sz w:val="20"/>
              </w:rPr>
              <w:br/>
            </w:r>
            <w:r>
              <w:rPr>
                <w:b/>
                <w:noProof/>
                <w:sz w:val="20"/>
              </w:rPr>
              <w:t>N+3</w:t>
            </w:r>
          </w:p>
        </w:tc>
        <w:tc>
          <w:tcPr>
            <w:tcW w:w="1777" w:type="dxa"/>
            <w:vAlign w:val="center"/>
          </w:tcPr>
          <w:p>
            <w:pPr>
              <w:jc w:val="center"/>
              <w:rPr>
                <w:b/>
                <w:noProof/>
                <w:sz w:val="20"/>
              </w:rPr>
            </w:pPr>
            <w:r>
              <w:rPr>
                <w:b/>
                <w:noProof/>
                <w:sz w:val="20"/>
              </w:rPr>
              <w:t>ОБЩО</w:t>
            </w:r>
          </w:p>
        </w:tc>
      </w:tr>
      <w:tr>
        <w:trPr>
          <w:gridAfter w:val="7"/>
          <w:wAfter w:w="7343" w:type="dxa"/>
        </w:trPr>
        <w:tc>
          <w:tcPr>
            <w:tcW w:w="3960" w:type="dxa"/>
            <w:vAlign w:val="center"/>
          </w:tcPr>
          <w:p>
            <w:pPr>
              <w:spacing w:before="60" w:after="60"/>
              <w:jc w:val="center"/>
              <w:rPr>
                <w:noProof/>
                <w:sz w:val="22"/>
              </w:rPr>
            </w:pPr>
            <w:r>
              <w:rPr>
                <w:noProof/>
                <w:sz w:val="22"/>
              </w:rPr>
              <w:t>ГД: &lt;…….&gt;</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 Човешки ресурси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 xml:space="preserve"> Други административни разходи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sz w:val="22"/>
              </w:rPr>
            </w:pPr>
            <w:r>
              <w:rPr>
                <w:b/>
                <w:noProof/>
                <w:sz w:val="22"/>
              </w:rPr>
              <w:t xml:space="preserve">ОБЩО ГД </w:t>
            </w:r>
            <w:r>
              <w:rPr>
                <w:noProof/>
                <w:sz w:val="22"/>
              </w:rPr>
              <w:t>&lt;…….&gt;</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1777"/>
      </w:tblGrid>
      <w:tr>
        <w:tc>
          <w:tcPr>
            <w:tcW w:w="3960" w:type="dxa"/>
            <w:shd w:val="thinDiagStripe" w:color="C0C0C0" w:fill="auto"/>
            <w:vAlign w:val="center"/>
          </w:tcPr>
          <w:p>
            <w:pPr>
              <w:jc w:val="center"/>
              <w:rPr>
                <w:b/>
                <w:noProof/>
                <w:sz w:val="22"/>
              </w:rPr>
            </w:pPr>
            <w:r>
              <w:rPr>
                <w:b/>
                <w:noProof/>
                <w:sz w:val="22"/>
              </w:rPr>
              <w:t>ОБЩО бюджетни кредити</w:t>
            </w:r>
            <w:r>
              <w:rPr>
                <w:b/>
                <w:noProof/>
                <w:sz w:val="22"/>
              </w:rPr>
              <w:br/>
              <w:t>за ФУНКЦИЯ 5</w:t>
            </w:r>
            <w:r>
              <w:rPr>
                <w:b/>
                <w:noProof/>
                <w:sz w:val="22"/>
              </w:rPr>
              <w:br/>
            </w:r>
            <w:r>
              <w:rPr>
                <w:noProof/>
                <w:sz w:val="22"/>
              </w:rPr>
              <w:t>от многогодишната финансова рамка</w:t>
            </w:r>
            <w:r>
              <w:rPr>
                <w:b/>
                <w:noProof/>
                <w:sz w:val="22"/>
              </w:rPr>
              <w:t xml:space="preserve"> </w:t>
            </w:r>
          </w:p>
        </w:tc>
        <w:tc>
          <w:tcPr>
            <w:tcW w:w="2094" w:type="dxa"/>
            <w:vAlign w:val="center"/>
          </w:tcPr>
          <w:p>
            <w:pPr>
              <w:spacing w:before="40" w:after="40"/>
              <w:rPr>
                <w:noProof/>
                <w:sz w:val="22"/>
              </w:rPr>
            </w:pPr>
            <w:r>
              <w:rPr>
                <w:noProof/>
                <w:sz w:val="18"/>
              </w:rPr>
              <w:t>(Общо поети задължения = Общо плащания)</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0"/>
              </w:rPr>
              <w:br/>
            </w:r>
            <w:r>
              <w:rPr>
                <w:b/>
                <w:noProof/>
                <w:sz w:val="20"/>
              </w:rPr>
              <w:t>2019</w:t>
            </w:r>
            <w:r>
              <w:rPr>
                <w:rStyle w:val="FootnoteReference"/>
                <w:b/>
                <w:noProof/>
                <w:sz w:val="20"/>
              </w:rPr>
              <w:footnoteReference w:id="19"/>
            </w:r>
          </w:p>
        </w:tc>
        <w:tc>
          <w:tcPr>
            <w:tcW w:w="868" w:type="dxa"/>
            <w:vAlign w:val="center"/>
          </w:tcPr>
          <w:p>
            <w:pPr>
              <w:jc w:val="center"/>
              <w:rPr>
                <w:noProof/>
                <w:sz w:val="20"/>
              </w:rPr>
            </w:pPr>
            <w:r>
              <w:rPr>
                <w:noProof/>
                <w:sz w:val="20"/>
              </w:rPr>
              <w:t>Година</w:t>
            </w:r>
            <w:r>
              <w:rPr>
                <w:noProof/>
                <w:sz w:val="20"/>
              </w:rPr>
              <w:br/>
            </w:r>
            <w:r>
              <w:rPr>
                <w:b/>
                <w:noProof/>
                <w:sz w:val="20"/>
              </w:rPr>
              <w:t>2020</w:t>
            </w:r>
          </w:p>
        </w:tc>
        <w:tc>
          <w:tcPr>
            <w:tcW w:w="868" w:type="dxa"/>
            <w:vAlign w:val="center"/>
          </w:tcPr>
          <w:p>
            <w:pPr>
              <w:jc w:val="center"/>
              <w:rPr>
                <w:noProof/>
                <w:sz w:val="20"/>
              </w:rPr>
            </w:pPr>
            <w:r>
              <w:rPr>
                <w:noProof/>
                <w:sz w:val="20"/>
              </w:rPr>
              <w:t>Година</w:t>
            </w:r>
            <w:r>
              <w:rPr>
                <w:noProof/>
                <w:sz w:val="20"/>
              </w:rPr>
              <w:br/>
            </w:r>
            <w:r>
              <w:rPr>
                <w:b/>
                <w:noProof/>
                <w:sz w:val="20"/>
              </w:rPr>
              <w:t>2021</w:t>
            </w:r>
          </w:p>
        </w:tc>
        <w:tc>
          <w:tcPr>
            <w:tcW w:w="868" w:type="dxa"/>
            <w:vAlign w:val="center"/>
          </w:tcPr>
          <w:p>
            <w:pPr>
              <w:jc w:val="center"/>
              <w:rPr>
                <w:noProof/>
                <w:sz w:val="20"/>
              </w:rPr>
            </w:pPr>
            <w:r>
              <w:rPr>
                <w:noProof/>
                <w:sz w:val="20"/>
              </w:rPr>
              <w:t>Година</w:t>
            </w:r>
            <w:r>
              <w:rPr>
                <w:noProof/>
                <w:sz w:val="20"/>
              </w:rPr>
              <w:br/>
            </w:r>
            <w:r>
              <w:rPr>
                <w:b/>
                <w:noProof/>
                <w:sz w:val="20"/>
              </w:rPr>
              <w:t>2022</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sz w:val="22"/>
              </w:rPr>
            </w:pPr>
            <w:r>
              <w:rPr>
                <w:b/>
                <w:noProof/>
                <w:sz w:val="22"/>
              </w:rPr>
              <w:t xml:space="preserve">ОБЩО бюджетни кредити </w:t>
            </w:r>
            <w:r>
              <w:rPr>
                <w:b/>
                <w:noProof/>
                <w:sz w:val="22"/>
              </w:rPr>
              <w:br/>
              <w:t>за ФУНКЦИИ 1—5</w:t>
            </w:r>
            <w:r>
              <w:rPr>
                <w:b/>
                <w:noProof/>
                <w:sz w:val="22"/>
              </w:rPr>
              <w:br/>
            </w:r>
            <w:r>
              <w:rPr>
                <w:noProof/>
                <w:sz w:val="22"/>
              </w:rP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20" w:after="20"/>
              <w:jc w:val="right"/>
              <w:rPr>
                <w:noProof/>
                <w:sz w:val="20"/>
              </w:rPr>
            </w:pPr>
            <w:r>
              <w:rPr>
                <w:noProof/>
                <w:sz w:val="20"/>
              </w:rPr>
              <w:t>37,000</w:t>
            </w:r>
          </w:p>
        </w:tc>
        <w:tc>
          <w:tcPr>
            <w:tcW w:w="868" w:type="dxa"/>
            <w:vAlign w:val="center"/>
          </w:tcPr>
          <w:p>
            <w:pPr>
              <w:spacing w:before="20" w:after="20"/>
              <w:jc w:val="right"/>
              <w:rPr>
                <w:noProof/>
                <w:sz w:val="20"/>
              </w:rPr>
            </w:pPr>
            <w:r>
              <w:rPr>
                <w:noProof/>
                <w:sz w:val="20"/>
              </w:rPr>
              <w:t>38,800</w:t>
            </w:r>
          </w:p>
        </w:tc>
        <w:tc>
          <w:tcPr>
            <w:tcW w:w="868" w:type="dxa"/>
            <w:vAlign w:val="center"/>
          </w:tcPr>
          <w:p>
            <w:pPr>
              <w:spacing w:before="20" w:after="20"/>
              <w:jc w:val="right"/>
              <w:rPr>
                <w:noProof/>
                <w:sz w:val="20"/>
              </w:rPr>
            </w:pPr>
            <w:r>
              <w:rPr>
                <w:noProof/>
                <w:sz w:val="20"/>
              </w:rPr>
              <w:t>42,400</w:t>
            </w:r>
          </w:p>
        </w:tc>
        <w:tc>
          <w:tcPr>
            <w:tcW w:w="868" w:type="dxa"/>
            <w:vAlign w:val="center"/>
          </w:tcPr>
          <w:p>
            <w:pPr>
              <w:spacing w:before="20" w:after="20"/>
              <w:jc w:val="right"/>
              <w:rPr>
                <w:noProof/>
                <w:sz w:val="20"/>
              </w:rPr>
            </w:pPr>
            <w:r>
              <w:rPr>
                <w:noProof/>
                <w:sz w:val="20"/>
              </w:rPr>
              <w:t>42,400</w:t>
            </w:r>
          </w:p>
        </w:tc>
        <w:tc>
          <w:tcPr>
            <w:tcW w:w="1777" w:type="dxa"/>
            <w:vAlign w:val="center"/>
          </w:tcPr>
          <w:p>
            <w:pPr>
              <w:spacing w:before="20" w:after="20"/>
              <w:jc w:val="right"/>
              <w:rPr>
                <w:b/>
                <w:noProof/>
                <w:sz w:val="20"/>
              </w:rPr>
            </w:pPr>
            <w:r>
              <w:rPr>
                <w:b/>
                <w:noProof/>
                <w:sz w:val="20"/>
              </w:rPr>
              <w:t>160,600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20" w:after="20"/>
              <w:jc w:val="right"/>
              <w:rPr>
                <w:noProof/>
                <w:sz w:val="20"/>
              </w:rPr>
            </w:pPr>
            <w:r>
              <w:rPr>
                <w:noProof/>
                <w:sz w:val="20"/>
              </w:rPr>
              <w:t>37,000</w:t>
            </w:r>
          </w:p>
        </w:tc>
        <w:tc>
          <w:tcPr>
            <w:tcW w:w="868" w:type="dxa"/>
            <w:vAlign w:val="center"/>
          </w:tcPr>
          <w:p>
            <w:pPr>
              <w:spacing w:before="20" w:after="20"/>
              <w:jc w:val="right"/>
              <w:rPr>
                <w:noProof/>
                <w:sz w:val="20"/>
              </w:rPr>
            </w:pPr>
            <w:r>
              <w:rPr>
                <w:noProof/>
                <w:sz w:val="20"/>
              </w:rPr>
              <w:t>38,800</w:t>
            </w:r>
          </w:p>
        </w:tc>
        <w:tc>
          <w:tcPr>
            <w:tcW w:w="868" w:type="dxa"/>
            <w:vAlign w:val="center"/>
          </w:tcPr>
          <w:p>
            <w:pPr>
              <w:spacing w:before="20" w:after="20"/>
              <w:jc w:val="right"/>
              <w:rPr>
                <w:noProof/>
                <w:sz w:val="20"/>
              </w:rPr>
            </w:pPr>
            <w:r>
              <w:rPr>
                <w:noProof/>
                <w:sz w:val="20"/>
              </w:rPr>
              <w:t>42,400</w:t>
            </w:r>
          </w:p>
        </w:tc>
        <w:tc>
          <w:tcPr>
            <w:tcW w:w="868" w:type="dxa"/>
            <w:vAlign w:val="center"/>
          </w:tcPr>
          <w:p>
            <w:pPr>
              <w:spacing w:before="20" w:after="20"/>
              <w:jc w:val="right"/>
              <w:rPr>
                <w:noProof/>
                <w:sz w:val="20"/>
              </w:rPr>
            </w:pPr>
            <w:r>
              <w:rPr>
                <w:noProof/>
                <w:sz w:val="20"/>
              </w:rPr>
              <w:t>42,400</w:t>
            </w:r>
          </w:p>
        </w:tc>
        <w:tc>
          <w:tcPr>
            <w:tcW w:w="1777" w:type="dxa"/>
            <w:vAlign w:val="center"/>
          </w:tcPr>
          <w:p>
            <w:pPr>
              <w:spacing w:before="20" w:after="20"/>
              <w:jc w:val="right"/>
              <w:rPr>
                <w:b/>
                <w:noProof/>
                <w:sz w:val="20"/>
              </w:rPr>
            </w:pPr>
            <w:r>
              <w:rPr>
                <w:b/>
                <w:noProof/>
                <w:sz w:val="20"/>
              </w:rPr>
              <w:t>160,600</w:t>
            </w:r>
          </w:p>
        </w:tc>
      </w:tr>
    </w:tbl>
    <w:p>
      <w:pPr>
        <w:rPr>
          <w:noProof/>
        </w:rPr>
        <w:sectPr>
          <w:headerReference w:type="default" r:id="rId19"/>
          <w:footerReference w:type="default" r:id="rId20"/>
          <w:headerReference w:type="first" r:id="rId21"/>
          <w:footerReference w:type="first" r:id="rId22"/>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Очаквано отражение върху бюджетните кредити за оперативни разходи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sdt>
        <w:sdtPr>
          <w:rPr>
            <w:noProof/>
          </w:rPr>
          <w:id w:val="489064476"/>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евро (до 3-тия знак след десетичната запетая)</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834"/>
        <w:gridCol w:w="606"/>
        <w:gridCol w:w="720"/>
        <w:gridCol w:w="900"/>
        <w:gridCol w:w="51"/>
        <w:gridCol w:w="669"/>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szCs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Година</w:t>
            </w:r>
            <w:r>
              <w:rPr>
                <w:noProof/>
                <w:sz w:val="18"/>
                <w:szCs w:val="18"/>
              </w:rPr>
              <w:br/>
            </w:r>
            <w:r>
              <w:rPr>
                <w:b/>
                <w:noProof/>
                <w:sz w:val="18"/>
              </w:rPr>
              <w:t>2019</w:t>
            </w:r>
          </w:p>
        </w:tc>
        <w:tc>
          <w:tcPr>
            <w:tcW w:w="1374" w:type="dxa"/>
            <w:gridSpan w:val="2"/>
            <w:vAlign w:val="center"/>
          </w:tcPr>
          <w:p>
            <w:pPr>
              <w:ind w:right="-29"/>
              <w:jc w:val="center"/>
              <w:rPr>
                <w:noProof/>
                <w:sz w:val="18"/>
                <w:szCs w:val="18"/>
              </w:rPr>
            </w:pPr>
            <w:r>
              <w:rPr>
                <w:noProof/>
                <w:sz w:val="18"/>
              </w:rPr>
              <w:t>Година</w:t>
            </w:r>
            <w:r>
              <w:rPr>
                <w:noProof/>
                <w:sz w:val="18"/>
                <w:szCs w:val="18"/>
              </w:rPr>
              <w:br/>
            </w:r>
            <w:r>
              <w:rPr>
                <w:b/>
                <w:noProof/>
                <w:sz w:val="18"/>
              </w:rPr>
              <w:t>2020</w:t>
            </w:r>
          </w:p>
        </w:tc>
        <w:tc>
          <w:tcPr>
            <w:tcW w:w="1326" w:type="dxa"/>
            <w:gridSpan w:val="2"/>
            <w:vAlign w:val="center"/>
          </w:tcPr>
          <w:p>
            <w:pPr>
              <w:ind w:right="-29"/>
              <w:jc w:val="center"/>
              <w:rPr>
                <w:noProof/>
                <w:sz w:val="18"/>
                <w:szCs w:val="18"/>
              </w:rPr>
            </w:pPr>
            <w:r>
              <w:rPr>
                <w:noProof/>
                <w:sz w:val="18"/>
              </w:rPr>
              <w:t>Година</w:t>
            </w:r>
            <w:r>
              <w:rPr>
                <w:noProof/>
                <w:sz w:val="18"/>
                <w:szCs w:val="18"/>
              </w:rPr>
              <w:br/>
            </w:r>
            <w:r>
              <w:rPr>
                <w:b/>
                <w:noProof/>
                <w:sz w:val="18"/>
              </w:rPr>
              <w:t>2021</w:t>
            </w:r>
          </w:p>
        </w:tc>
        <w:tc>
          <w:tcPr>
            <w:tcW w:w="1620" w:type="dxa"/>
            <w:gridSpan w:val="3"/>
            <w:vAlign w:val="center"/>
          </w:tcPr>
          <w:p>
            <w:pPr>
              <w:ind w:right="-29"/>
              <w:jc w:val="center"/>
              <w:rPr>
                <w:noProof/>
                <w:sz w:val="18"/>
                <w:szCs w:val="18"/>
              </w:rPr>
            </w:pPr>
            <w:r>
              <w:rPr>
                <w:noProof/>
                <w:sz w:val="18"/>
              </w:rPr>
              <w:t>Година</w:t>
            </w:r>
            <w:r>
              <w:rPr>
                <w:noProof/>
                <w:sz w:val="18"/>
                <w:szCs w:val="18"/>
              </w:rPr>
              <w:br/>
            </w:r>
            <w:r>
              <w:rPr>
                <w:b/>
                <w:noProof/>
                <w:sz w:val="18"/>
              </w:rPr>
              <w:t>2022</w:t>
            </w:r>
          </w:p>
        </w:tc>
        <w:tc>
          <w:tcPr>
            <w:tcW w:w="1620" w:type="dxa"/>
            <w:gridSpan w:val="2"/>
            <w:tcBorders>
              <w:left w:val="nil"/>
              <w:bottom w:val="nil"/>
            </w:tcBorders>
            <w:vAlign w:val="center"/>
          </w:tcPr>
          <w:p>
            <w:pPr>
              <w:ind w:right="-29"/>
              <w:jc w:val="center"/>
              <w:rPr>
                <w:noProof/>
                <w:sz w:val="18"/>
                <w:szCs w:val="18"/>
              </w:rPr>
            </w:pPr>
            <w:r>
              <w:rPr>
                <w:b/>
                <w:noProof/>
                <w:sz w:val="18"/>
              </w:rPr>
              <w:t>ОБЩО</w:t>
            </w:r>
          </w:p>
        </w:tc>
      </w:tr>
      <w:tr>
        <w:trPr>
          <w:gridAfter w:val="13"/>
          <w:wAfter w:w="8585" w:type="dxa"/>
          <w:trHeight w:val="465"/>
          <w:jc w:val="center"/>
        </w:trPr>
        <w:tc>
          <w:tcPr>
            <w:tcW w:w="1423" w:type="dxa"/>
            <w:vMerge/>
            <w:vAlign w:val="center"/>
          </w:tcPr>
          <w:p>
            <w:pPr>
              <w:ind w:right="-29"/>
              <w:jc w:val="center"/>
              <w:rPr>
                <w:noProof/>
                <w:sz w:val="18"/>
                <w:szCs w:val="18"/>
              </w:rPr>
            </w:pP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Вид</w:t>
            </w:r>
            <w:r>
              <w:rPr>
                <w:rStyle w:val="FootnoteReference"/>
                <w:noProof/>
                <w:sz w:val="18"/>
              </w:rPr>
              <w:footnoteReference w:id="20"/>
            </w:r>
          </w:p>
          <w:p>
            <w:pPr>
              <w:spacing w:before="0" w:after="0"/>
              <w:jc w:val="center"/>
              <w:rPr>
                <w:noProof/>
                <w:sz w:val="18"/>
                <w:szCs w:val="18"/>
              </w:rPr>
            </w:pPr>
          </w:p>
        </w:tc>
        <w:tc>
          <w:tcPr>
            <w:tcW w:w="701" w:type="dxa"/>
            <w:vAlign w:val="center"/>
          </w:tcPr>
          <w:p>
            <w:pPr>
              <w:jc w:val="center"/>
              <w:rPr>
                <w:noProof/>
                <w:sz w:val="18"/>
                <w:szCs w:val="18"/>
              </w:rPr>
            </w:pPr>
            <w:r>
              <w:rPr>
                <w:noProof/>
                <w:sz w:val="18"/>
              </w:rPr>
              <w:t>Среден разход за резултата</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834"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60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Общ брой на резултатите</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1</w:t>
            </w:r>
            <w:r>
              <w:rPr>
                <w:rStyle w:val="FootnoteReference"/>
                <w:noProof/>
                <w:sz w:val="18"/>
              </w:rPr>
              <w:footnoteReference w:id="21"/>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834" w:type="dxa"/>
            <w:tcBorders>
              <w:top w:val="nil"/>
              <w:left w:val="nil"/>
              <w:bottom w:val="nil"/>
              <w:right w:val="nil"/>
            </w:tcBorders>
          </w:tcPr>
          <w:p>
            <w:pPr>
              <w:spacing w:before="60" w:after="60"/>
              <w:ind w:right="-29"/>
              <w:jc w:val="center"/>
              <w:rPr>
                <w:noProof/>
                <w:sz w:val="18"/>
                <w:szCs w:val="18"/>
              </w:rPr>
            </w:pPr>
          </w:p>
        </w:tc>
        <w:tc>
          <w:tcPr>
            <w:tcW w:w="606"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Достъп</w:t>
            </w:r>
          </w:p>
        </w:tc>
        <w:tc>
          <w:tcPr>
            <w:tcW w:w="720" w:type="dxa"/>
          </w:tcPr>
          <w:p>
            <w:pPr>
              <w:ind w:right="-29"/>
              <w:jc w:val="center"/>
              <w:rPr>
                <w:noProof/>
                <w:sz w:val="18"/>
                <w:szCs w:val="18"/>
              </w:rPr>
            </w:pPr>
            <w:r>
              <w:rPr>
                <w:noProof/>
                <w:sz w:val="18"/>
              </w:rPr>
              <w:t>Годишно</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19,100</w:t>
            </w:r>
          </w:p>
        </w:tc>
        <w:tc>
          <w:tcPr>
            <w:tcW w:w="540" w:type="dxa"/>
            <w:tcBorders>
              <w:right w:val="dashSmallGap" w:sz="4" w:space="0" w:color="auto"/>
            </w:tcBorders>
          </w:tcPr>
          <w:p>
            <w:pPr>
              <w:ind w:right="-29"/>
              <w:jc w:val="center"/>
              <w:rPr>
                <w:noProof/>
                <w:sz w:val="18"/>
                <w:szCs w:val="18"/>
              </w:rPr>
            </w:pPr>
          </w:p>
        </w:tc>
        <w:tc>
          <w:tcPr>
            <w:tcW w:w="834" w:type="dxa"/>
            <w:tcBorders>
              <w:left w:val="dashSmallGap" w:sz="4" w:space="0" w:color="auto"/>
            </w:tcBorders>
          </w:tcPr>
          <w:p>
            <w:pPr>
              <w:ind w:right="-29"/>
              <w:jc w:val="center"/>
              <w:rPr>
                <w:noProof/>
                <w:sz w:val="18"/>
                <w:szCs w:val="18"/>
              </w:rPr>
            </w:pPr>
            <w:r>
              <w:rPr>
                <w:noProof/>
                <w:sz w:val="18"/>
              </w:rPr>
              <w:t>20,000</w:t>
            </w:r>
          </w:p>
        </w:tc>
        <w:tc>
          <w:tcPr>
            <w:tcW w:w="606"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21,900</w:t>
            </w: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rPr>
              <w:t>21,900</w:t>
            </w: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rPr>
              <w:t>82,900</w:t>
            </w:r>
          </w:p>
        </w:tc>
      </w:tr>
      <w:tr>
        <w:trPr>
          <w:trHeight w:hRule="exact" w:val="369"/>
          <w:jc w:val="center"/>
        </w:trPr>
        <w:tc>
          <w:tcPr>
            <w:tcW w:w="1423" w:type="dxa"/>
          </w:tcPr>
          <w:p>
            <w:pPr>
              <w:ind w:right="-29"/>
              <w:jc w:val="center"/>
              <w:rPr>
                <w:noProof/>
                <w:sz w:val="18"/>
                <w:szCs w:val="18"/>
              </w:rPr>
            </w:pPr>
            <w:r>
              <w:rPr>
                <w:noProof/>
                <w:sz w:val="18"/>
              </w:rPr>
              <w:t>— Секторна подкрепа</w:t>
            </w:r>
          </w:p>
        </w:tc>
        <w:tc>
          <w:tcPr>
            <w:tcW w:w="720" w:type="dxa"/>
          </w:tcPr>
          <w:p>
            <w:pPr>
              <w:ind w:right="-29"/>
              <w:jc w:val="center"/>
              <w:rPr>
                <w:noProof/>
                <w:sz w:val="18"/>
                <w:szCs w:val="18"/>
              </w:rPr>
            </w:pPr>
            <w:r>
              <w:rPr>
                <w:noProof/>
                <w:sz w:val="18"/>
              </w:rPr>
              <w:t>Годишно</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17,900</w:t>
            </w:r>
          </w:p>
        </w:tc>
        <w:tc>
          <w:tcPr>
            <w:tcW w:w="540" w:type="dxa"/>
            <w:tcBorders>
              <w:right w:val="dashSmallGap" w:sz="4" w:space="0" w:color="auto"/>
            </w:tcBorders>
          </w:tcPr>
          <w:p>
            <w:pPr>
              <w:ind w:right="-29"/>
              <w:jc w:val="center"/>
              <w:rPr>
                <w:noProof/>
                <w:sz w:val="18"/>
                <w:szCs w:val="18"/>
              </w:rPr>
            </w:pPr>
          </w:p>
        </w:tc>
        <w:tc>
          <w:tcPr>
            <w:tcW w:w="834" w:type="dxa"/>
            <w:tcBorders>
              <w:left w:val="dashSmallGap" w:sz="4" w:space="0" w:color="auto"/>
            </w:tcBorders>
          </w:tcPr>
          <w:p>
            <w:pPr>
              <w:ind w:right="-29"/>
              <w:jc w:val="center"/>
              <w:rPr>
                <w:noProof/>
                <w:sz w:val="18"/>
                <w:szCs w:val="18"/>
              </w:rPr>
            </w:pPr>
            <w:r>
              <w:rPr>
                <w:noProof/>
                <w:sz w:val="18"/>
              </w:rPr>
              <w:t>18,800</w:t>
            </w:r>
          </w:p>
        </w:tc>
        <w:tc>
          <w:tcPr>
            <w:tcW w:w="606"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20,500</w:t>
            </w: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rPr>
              <w:t>20,500</w:t>
            </w: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rPr>
              <w:t>77,700</w:t>
            </w: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834" w:type="dxa"/>
          </w:tcPr>
          <w:p>
            <w:pPr>
              <w:ind w:right="-29"/>
              <w:jc w:val="center"/>
              <w:rPr>
                <w:noProof/>
                <w:sz w:val="18"/>
                <w:szCs w:val="18"/>
              </w:rPr>
            </w:pPr>
          </w:p>
        </w:tc>
        <w:tc>
          <w:tcPr>
            <w:tcW w:w="606"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rPr>
              <w:t>37,000</w:t>
            </w:r>
          </w:p>
        </w:tc>
        <w:tc>
          <w:tcPr>
            <w:tcW w:w="540" w:type="dxa"/>
            <w:tcBorders>
              <w:bottom w:val="single" w:sz="12" w:space="0" w:color="auto"/>
            </w:tcBorders>
          </w:tcPr>
          <w:p>
            <w:pPr>
              <w:ind w:right="-29"/>
              <w:jc w:val="center"/>
              <w:rPr>
                <w:noProof/>
                <w:sz w:val="18"/>
                <w:szCs w:val="18"/>
              </w:rPr>
            </w:pPr>
          </w:p>
        </w:tc>
        <w:tc>
          <w:tcPr>
            <w:tcW w:w="834" w:type="dxa"/>
            <w:tcBorders>
              <w:bottom w:val="single" w:sz="12" w:space="0" w:color="auto"/>
            </w:tcBorders>
          </w:tcPr>
          <w:p>
            <w:pPr>
              <w:ind w:right="-29"/>
              <w:jc w:val="center"/>
              <w:rPr>
                <w:noProof/>
                <w:sz w:val="18"/>
                <w:szCs w:val="18"/>
              </w:rPr>
            </w:pPr>
            <w:r>
              <w:rPr>
                <w:noProof/>
                <w:sz w:val="18"/>
              </w:rPr>
              <w:t>38,800</w:t>
            </w:r>
          </w:p>
        </w:tc>
        <w:tc>
          <w:tcPr>
            <w:tcW w:w="606"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rPr>
              <w:t>42,400</w:t>
            </w: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r>
              <w:rPr>
                <w:noProof/>
                <w:sz w:val="18"/>
              </w:rPr>
              <w:t>42,400</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rPr>
              <w:t>160,600</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834" w:type="dxa"/>
            <w:tcBorders>
              <w:top w:val="nil"/>
              <w:left w:val="nil"/>
              <w:bottom w:val="nil"/>
              <w:right w:val="nil"/>
            </w:tcBorders>
          </w:tcPr>
          <w:p>
            <w:pPr>
              <w:spacing w:before="60" w:after="60"/>
              <w:ind w:right="-29"/>
              <w:jc w:val="center"/>
              <w:rPr>
                <w:noProof/>
                <w:sz w:val="18"/>
                <w:szCs w:val="18"/>
              </w:rPr>
            </w:pPr>
          </w:p>
        </w:tc>
        <w:tc>
          <w:tcPr>
            <w:tcW w:w="606"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834" w:type="dxa"/>
          </w:tcPr>
          <w:p>
            <w:pPr>
              <w:ind w:right="-29"/>
              <w:jc w:val="center"/>
              <w:rPr>
                <w:noProof/>
                <w:sz w:val="18"/>
                <w:szCs w:val="18"/>
              </w:rPr>
            </w:pPr>
          </w:p>
        </w:tc>
        <w:tc>
          <w:tcPr>
            <w:tcW w:w="606"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834" w:type="dxa"/>
            <w:tcBorders>
              <w:bottom w:val="single" w:sz="12" w:space="0" w:color="auto"/>
            </w:tcBorders>
          </w:tcPr>
          <w:p>
            <w:pPr>
              <w:ind w:right="-29"/>
              <w:jc w:val="center"/>
              <w:rPr>
                <w:noProof/>
                <w:sz w:val="18"/>
                <w:szCs w:val="18"/>
              </w:rPr>
            </w:pPr>
          </w:p>
        </w:tc>
        <w:tc>
          <w:tcPr>
            <w:tcW w:w="606"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ind w:right="-29"/>
              <w:jc w:val="center"/>
              <w:rPr>
                <w:noProof/>
                <w:sz w:val="18"/>
                <w:szCs w:val="18"/>
              </w:rPr>
            </w:pPr>
            <w:r>
              <w:rPr>
                <w:noProof/>
                <w:sz w:val="18"/>
              </w:rPr>
              <w:t>37,000</w:t>
            </w:r>
          </w:p>
        </w:tc>
        <w:tc>
          <w:tcPr>
            <w:tcW w:w="540" w:type="dxa"/>
            <w:tcBorders>
              <w:top w:val="single" w:sz="12" w:space="0" w:color="auto"/>
              <w:bottom w:val="single" w:sz="12" w:space="0" w:color="auto"/>
            </w:tcBorders>
          </w:tcPr>
          <w:p>
            <w:pPr>
              <w:ind w:right="-29"/>
              <w:jc w:val="center"/>
              <w:rPr>
                <w:noProof/>
                <w:sz w:val="18"/>
                <w:szCs w:val="18"/>
              </w:rPr>
            </w:pPr>
          </w:p>
        </w:tc>
        <w:tc>
          <w:tcPr>
            <w:tcW w:w="834" w:type="dxa"/>
            <w:tcBorders>
              <w:top w:val="single" w:sz="12" w:space="0" w:color="auto"/>
              <w:bottom w:val="single" w:sz="12" w:space="0" w:color="auto"/>
            </w:tcBorders>
          </w:tcPr>
          <w:p>
            <w:pPr>
              <w:ind w:right="-29"/>
              <w:jc w:val="center"/>
              <w:rPr>
                <w:noProof/>
                <w:sz w:val="18"/>
                <w:szCs w:val="18"/>
              </w:rPr>
            </w:pPr>
            <w:r>
              <w:rPr>
                <w:noProof/>
                <w:sz w:val="18"/>
              </w:rPr>
              <w:t>38,800</w:t>
            </w:r>
          </w:p>
        </w:tc>
        <w:tc>
          <w:tcPr>
            <w:tcW w:w="606" w:type="dxa"/>
            <w:tcBorders>
              <w:top w:val="single" w:sz="12" w:space="0" w:color="auto"/>
              <w:bottom w:val="single" w:sz="12" w:space="0" w:color="auto"/>
            </w:tcBorders>
          </w:tcPr>
          <w:p>
            <w:pPr>
              <w:ind w:right="-29"/>
              <w:jc w:val="center"/>
              <w:rPr>
                <w:noProof/>
                <w:sz w:val="18"/>
                <w:szCs w:val="18"/>
              </w:rPr>
            </w:pPr>
          </w:p>
        </w:tc>
        <w:tc>
          <w:tcPr>
            <w:tcW w:w="720" w:type="dxa"/>
            <w:tcBorders>
              <w:top w:val="single" w:sz="12" w:space="0" w:color="auto"/>
              <w:bottom w:val="single" w:sz="12" w:space="0" w:color="auto"/>
            </w:tcBorders>
          </w:tcPr>
          <w:p>
            <w:pPr>
              <w:ind w:right="-29"/>
              <w:jc w:val="center"/>
              <w:rPr>
                <w:noProof/>
                <w:sz w:val="18"/>
                <w:szCs w:val="18"/>
              </w:rPr>
            </w:pPr>
            <w:r>
              <w:rPr>
                <w:noProof/>
                <w:sz w:val="18"/>
              </w:rPr>
              <w:t>42,400</w:t>
            </w:r>
          </w:p>
        </w:tc>
        <w:tc>
          <w:tcPr>
            <w:tcW w:w="900" w:type="dxa"/>
            <w:tcBorders>
              <w:top w:val="single" w:sz="12" w:space="0" w:color="auto"/>
              <w:bottom w:val="single" w:sz="12" w:space="0" w:color="auto"/>
            </w:tcBorders>
          </w:tcPr>
          <w:p>
            <w:pPr>
              <w:ind w:right="-29"/>
              <w:jc w:val="center"/>
              <w:rPr>
                <w:noProof/>
                <w:sz w:val="18"/>
                <w:szCs w:val="18"/>
              </w:rPr>
            </w:pPr>
          </w:p>
        </w:tc>
        <w:tc>
          <w:tcPr>
            <w:tcW w:w="720" w:type="dxa"/>
            <w:gridSpan w:val="2"/>
            <w:tcBorders>
              <w:top w:val="single" w:sz="12" w:space="0" w:color="auto"/>
              <w:bottom w:val="single" w:sz="12" w:space="0" w:color="auto"/>
            </w:tcBorders>
          </w:tcPr>
          <w:p>
            <w:pPr>
              <w:ind w:right="-29"/>
              <w:jc w:val="center"/>
              <w:rPr>
                <w:noProof/>
                <w:sz w:val="18"/>
                <w:szCs w:val="18"/>
              </w:rPr>
            </w:pPr>
            <w:r>
              <w:rPr>
                <w:noProof/>
                <w:sz w:val="18"/>
              </w:rPr>
              <w:t>42,400</w:t>
            </w:r>
          </w:p>
        </w:tc>
        <w:tc>
          <w:tcPr>
            <w:tcW w:w="720" w:type="dxa"/>
            <w:tcBorders>
              <w:top w:val="single" w:sz="12" w:space="0" w:color="auto"/>
              <w:bottom w:val="single" w:sz="12" w:space="0" w:color="auto"/>
            </w:tcBorders>
          </w:tcPr>
          <w:p>
            <w:pPr>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ind w:right="-29"/>
              <w:jc w:val="center"/>
              <w:rPr>
                <w:noProof/>
                <w:sz w:val="18"/>
                <w:szCs w:val="18"/>
              </w:rPr>
            </w:pPr>
            <w:r>
              <w:rPr>
                <w:noProof/>
                <w:sz w:val="18"/>
              </w:rPr>
              <w:t>160,600</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Очаквано отражение върху бюджетните кредити за административни разходи</w:t>
      </w:r>
    </w:p>
    <w:p>
      <w:pPr>
        <w:pStyle w:val="ManualHeading4"/>
        <w:rPr>
          <w:noProof/>
        </w:rPr>
      </w:pPr>
      <w:r>
        <w:t>3.2.3.1.</w:t>
      </w:r>
      <w:r>
        <w:tab/>
      </w:r>
      <w:r>
        <w:rPr>
          <w:noProof/>
        </w:rPr>
        <w:t xml:space="preserve">Обобщение </w:t>
      </w:r>
    </w:p>
    <w:p>
      <w:pPr>
        <w:pStyle w:val="ListDash1"/>
        <w:rPr>
          <w:noProof/>
        </w:rPr>
      </w:pPr>
      <w:sdt>
        <w:sdtPr>
          <w:rPr>
            <w:noProof/>
          </w:rPr>
          <w:id w:val="-2120977410"/>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A8"/>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Година</w:t>
            </w:r>
            <w:r>
              <w:rPr>
                <w:noProof/>
                <w:sz w:val="16"/>
                <w:szCs w:val="16"/>
              </w:rPr>
              <w:br/>
            </w:r>
            <w:r>
              <w:rPr>
                <w:b/>
                <w:noProof/>
                <w:sz w:val="16"/>
              </w:rPr>
              <w:t>N</w:t>
            </w:r>
            <w:r>
              <w:rPr>
                <w:rStyle w:val="FootnoteReference"/>
                <w:b/>
                <w:noProof/>
                <w:sz w:val="16"/>
              </w:rPr>
              <w:footnoteReference w:id="22"/>
            </w:r>
          </w:p>
        </w:tc>
        <w:tc>
          <w:tcPr>
            <w:tcW w:w="1080" w:type="dxa"/>
            <w:vAlign w:val="center"/>
          </w:tcPr>
          <w:p>
            <w:pPr>
              <w:spacing w:before="60" w:after="60" w:line="200" w:lineRule="exact"/>
              <w:jc w:val="center"/>
              <w:rPr>
                <w:noProof/>
                <w:sz w:val="16"/>
                <w:szCs w:val="16"/>
              </w:rPr>
            </w:pPr>
            <w:r>
              <w:rPr>
                <w:noProof/>
                <w:sz w:val="16"/>
              </w:rPr>
              <w:t>Година</w:t>
            </w:r>
            <w:r>
              <w:rPr>
                <w:noProof/>
                <w:sz w:val="16"/>
                <w:szCs w:val="16"/>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Година</w:t>
            </w:r>
            <w:r>
              <w:rPr>
                <w:noProof/>
                <w:sz w:val="16"/>
                <w:szCs w:val="16"/>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Година</w:t>
            </w:r>
            <w:r>
              <w:rPr>
                <w:noProof/>
                <w:sz w:val="16"/>
                <w:szCs w:val="16"/>
              </w:rPr>
              <w:br/>
            </w:r>
            <w:r>
              <w:rPr>
                <w:b/>
                <w:noProof/>
                <w:sz w:val="16"/>
              </w:rPr>
              <w:t>N+3</w:t>
            </w:r>
          </w:p>
        </w:tc>
        <w:tc>
          <w:tcPr>
            <w:tcW w:w="3240" w:type="dxa"/>
            <w:vAlign w:val="center"/>
          </w:tcPr>
          <w:p>
            <w:pPr>
              <w:spacing w:line="200" w:lineRule="exact"/>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w:t>
            </w:r>
            <w:r>
              <w:rPr>
                <w:b/>
                <w:noProof/>
                <w:sz w:val="16"/>
                <w:szCs w:val="16"/>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5</w:t>
            </w:r>
            <w:r>
              <w:rPr>
                <w:b/>
                <w:noProof/>
                <w:sz w:val="16"/>
                <w:szCs w:val="16"/>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23"/>
            </w:r>
            <w:r>
              <w:rPr>
                <w:b/>
                <w:noProof/>
                <w:sz w:val="16"/>
                <w:szCs w:val="16"/>
              </w:rPr>
              <w:br/>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разходи </w:t>
            </w:r>
            <w:r>
              <w:rPr>
                <w:noProof/>
                <w:sz w:val="16"/>
                <w:szCs w:val="16"/>
              </w:rPr>
              <w:br/>
            </w:r>
            <w:r>
              <w:rPr>
                <w:noProof/>
                <w:sz w:val="16"/>
              </w:rPr>
              <w:t>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w:t>
            </w:r>
            <w:r>
              <w:rPr>
                <w:b/>
                <w:noProof/>
                <w:sz w:val="16"/>
                <w:szCs w:val="16"/>
              </w:rPr>
              <w:br/>
            </w:r>
            <w:r>
              <w:rPr>
                <w:b/>
                <w:noProof/>
                <w:sz w:val="16"/>
              </w:rPr>
              <w:t>извън ФУНКЦИЯ 5</w:t>
            </w:r>
            <w:r>
              <w:rPr>
                <w:b/>
                <w:noProof/>
                <w:sz w:val="16"/>
                <w:szCs w:val="16"/>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u w:val="single"/>
        </w:rPr>
        <w:sectPr>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ManualHeading4"/>
        <w:rPr>
          <w:bCs/>
          <w:noProof/>
          <w:szCs w:val="24"/>
        </w:rPr>
      </w:pPr>
      <w:r>
        <w:t>3.2.3.2.</w:t>
      </w:r>
      <w:r>
        <w:tab/>
      </w:r>
      <w:r>
        <w:rPr>
          <w:b/>
          <w:noProof/>
        </w:rPr>
        <w:t xml:space="preserve"> </w:t>
      </w:r>
      <w:r>
        <w:rPr>
          <w:noProof/>
        </w:rPr>
        <w:t xml:space="preserve">Очаквани нужди от човешки ресурси </w:t>
      </w:r>
    </w:p>
    <w:p>
      <w:pPr>
        <w:pStyle w:val="ListDash1"/>
        <w:rPr>
          <w:noProof/>
        </w:rPr>
      </w:pPr>
      <w:sdt>
        <w:sdtPr>
          <w:rPr>
            <w:noProof/>
          </w:rPr>
          <w:id w:val="1674296490"/>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A8"/>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Година</w:t>
            </w:r>
            <w:r>
              <w:rPr>
                <w:noProof/>
                <w:sz w:val="16"/>
                <w:szCs w:val="16"/>
              </w:rPr>
              <w:br/>
            </w:r>
            <w:r>
              <w:rPr>
                <w:b/>
                <w:noProof/>
                <w:sz w:val="16"/>
              </w:rPr>
              <w:t>N</w:t>
            </w:r>
          </w:p>
        </w:tc>
        <w:tc>
          <w:tcPr>
            <w:tcW w:w="318" w:type="pct"/>
            <w:shd w:val="clear" w:color="auto" w:fill="auto"/>
            <w:vAlign w:val="center"/>
          </w:tcPr>
          <w:p>
            <w:pPr>
              <w:spacing w:before="20" w:after="20"/>
              <w:jc w:val="center"/>
              <w:rPr>
                <w:noProof/>
                <w:sz w:val="16"/>
                <w:szCs w:val="16"/>
              </w:rPr>
            </w:pPr>
            <w:r>
              <w:rPr>
                <w:noProof/>
                <w:sz w:val="16"/>
              </w:rPr>
              <w:t>Година</w:t>
            </w:r>
            <w:r>
              <w:rPr>
                <w:noProof/>
                <w:sz w:val="16"/>
                <w:szCs w:val="16"/>
              </w:rPr>
              <w:br/>
            </w:r>
            <w:r>
              <w:rPr>
                <w:b/>
                <w:noProof/>
                <w:sz w:val="16"/>
              </w:rPr>
              <w:t>N+1</w:t>
            </w:r>
          </w:p>
        </w:tc>
        <w:tc>
          <w:tcPr>
            <w:tcW w:w="1891" w:type="pct"/>
            <w:shd w:val="clear" w:color="auto" w:fill="auto"/>
            <w:vAlign w:val="center"/>
          </w:tcPr>
          <w:p>
            <w:pPr>
              <w:spacing w:before="20" w:after="20"/>
              <w:jc w:val="center"/>
              <w:rPr>
                <w:noProof/>
                <w:sz w:val="16"/>
                <w:szCs w:val="16"/>
              </w:rPr>
            </w:pPr>
            <w:r>
              <w:rPr>
                <w:noProof/>
                <w:sz w:val="16"/>
              </w:rPr>
              <w:t xml:space="preserve">Година </w:t>
            </w:r>
            <w:r>
              <w:rPr>
                <w:b/>
                <w:noProof/>
                <w:sz w:val="16"/>
              </w:rPr>
              <w:t>N+2</w:t>
            </w:r>
          </w:p>
        </w:tc>
        <w:tc>
          <w:tcPr>
            <w:tcW w:w="226" w:type="pct"/>
            <w:shd w:val="clear" w:color="auto" w:fill="auto"/>
            <w:vAlign w:val="center"/>
          </w:tcPr>
          <w:p>
            <w:pPr>
              <w:spacing w:before="20" w:after="20"/>
              <w:jc w:val="center"/>
              <w:rPr>
                <w:noProof/>
                <w:sz w:val="16"/>
                <w:szCs w:val="16"/>
              </w:rPr>
            </w:pPr>
            <w:r>
              <w:rPr>
                <w:noProof/>
                <w:sz w:val="16"/>
              </w:rPr>
              <w:t xml:space="preserve">Година </w:t>
            </w:r>
            <w:r>
              <w:rPr>
                <w:b/>
                <w:noProof/>
                <w:sz w:val="16"/>
              </w:rPr>
              <w:t>N+3</w:t>
            </w:r>
          </w:p>
        </w:tc>
        <w:tc>
          <w:tcPr>
            <w:tcW w:w="345" w:type="pct"/>
            <w:gridSpan w:val="3"/>
            <w:shd w:val="clear" w:color="auto" w:fill="auto"/>
            <w:vAlign w:val="center"/>
          </w:tcPr>
          <w:p>
            <w:pPr>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szCs w:val="16"/>
              </w:rPr>
              <w:sym w:font="Wingdings" w:char="F09F"/>
            </w:r>
            <w:r>
              <w:rPr>
                <w:b/>
                <w:noProof/>
                <w:sz w:val="16"/>
              </w:rPr>
              <w:t xml:space="preserve"> Длъжности в щатното разписание (длъжностни лица и временно наети лица)</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pStyle w:val="Text1"/>
              <w:spacing w:before="60" w:after="60"/>
              <w:ind w:left="0"/>
              <w:jc w:val="left"/>
              <w:rPr>
                <w:b/>
                <w:noProof/>
                <w:sz w:val="16"/>
                <w:szCs w:val="16"/>
              </w:rPr>
            </w:pPr>
            <w:r>
              <w:rPr>
                <w:b/>
                <w:noProof/>
                <w:sz w:val="16"/>
                <w:szCs w:val="16"/>
              </w:rPr>
              <w:sym w:font="Wingdings" w:char="F09F"/>
            </w:r>
            <w:r>
              <w:rPr>
                <w:b/>
                <w:noProof/>
                <w:sz w:val="16"/>
              </w:rPr>
              <w:t xml:space="preserve"> Външен персонал (в еквивалент на пълно работно време — ЕПРВ)</w:t>
            </w:r>
            <w:r>
              <w:rPr>
                <w:rStyle w:val="FootnoteReference"/>
                <w:b/>
                <w:noProof/>
                <w:sz w:val="16"/>
              </w:rPr>
              <w:footnoteReference w:id="24"/>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i/>
                <w:noProof/>
                <w:sz w:val="16"/>
              </w:rPr>
              <w:t xml:space="preserve">yy </w:t>
            </w:r>
            <w:r>
              <w:rPr>
                <w:rStyle w:val="FootnoteReference"/>
                <w:b/>
                <w:i/>
                <w:noProof/>
                <w:sz w:val="16"/>
              </w:rPr>
              <w:footnoteReference w:id="25"/>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 (ДНП, КНЕ, ПНА —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КНЕ, ПНА —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sz w:val="18"/>
        </w:rPr>
        <w:t xml:space="preserve"> е съответната област на политика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временно наети лица</w:t>
            </w:r>
          </w:p>
        </w:tc>
        <w:tc>
          <w:tcPr>
            <w:tcW w:w="7200" w:type="dxa"/>
          </w:tcPr>
          <w:p>
            <w:pPr>
              <w:rPr>
                <w:noProof/>
                <w:sz w:val="20"/>
              </w:rPr>
            </w:pP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Съвместимост с настоящата многогодишна финансова рамка </w:t>
      </w:r>
    </w:p>
    <w:p>
      <w:pPr>
        <w:pStyle w:val="ListDash1"/>
        <w:rPr>
          <w:noProof/>
        </w:rPr>
      </w:pPr>
      <w:sdt>
        <w:sdtPr>
          <w:rPr>
            <w:noProof/>
          </w:rPr>
          <w:id w:val="750771097"/>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ab/>
        <w:t>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ManualHeading3"/>
        <w:rPr>
          <w:bCs/>
          <w:noProof/>
          <w:szCs w:val="24"/>
        </w:rPr>
      </w:pPr>
      <w:r>
        <w:t>3.2.5.</w:t>
      </w:r>
      <w:r>
        <w:tab/>
      </w:r>
      <w:r>
        <w:rPr>
          <w:noProof/>
        </w:rPr>
        <w:t xml:space="preserve">Участие на трети страни във финансирането </w:t>
      </w:r>
    </w:p>
    <w:p>
      <w:pPr>
        <w:pStyle w:val="ListDash1"/>
        <w:rPr>
          <w:noProof/>
        </w:rPr>
      </w:pPr>
      <w:r>
        <w:rPr>
          <w:noProof/>
        </w:rPr>
        <w:t xml:space="preserve">Предложението/инициативата не предвижда съфинансиране от трети страни. </w:t>
      </w:r>
    </w:p>
    <w:p>
      <w:pPr>
        <w:pStyle w:val="ListDash1"/>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Бюджетни кредити в млн. евро (до 3-тия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sz w:val="20"/>
              </w:rPr>
              <w:br/>
            </w:r>
            <w:r>
              <w:rPr>
                <w:b/>
                <w:noProof/>
                <w:sz w:val="20"/>
              </w:rPr>
              <w:t>N</w:t>
            </w:r>
          </w:p>
        </w:tc>
        <w:tc>
          <w:tcPr>
            <w:tcW w:w="964" w:type="dxa"/>
            <w:vAlign w:val="center"/>
          </w:tcPr>
          <w:p>
            <w:pPr>
              <w:jc w:val="center"/>
              <w:rPr>
                <w:noProof/>
                <w:sz w:val="20"/>
              </w:rPr>
            </w:pPr>
            <w:r>
              <w:rPr>
                <w:noProof/>
                <w:sz w:val="20"/>
              </w:rPr>
              <w:t>Година</w:t>
            </w:r>
            <w:r>
              <w:rPr>
                <w:noProof/>
                <w:sz w:val="20"/>
              </w:rPr>
              <w:br/>
            </w:r>
            <w:r>
              <w:rPr>
                <w:b/>
                <w:noProof/>
                <w:sz w:val="20"/>
              </w:rPr>
              <w:t>N+1</w:t>
            </w:r>
          </w:p>
        </w:tc>
        <w:tc>
          <w:tcPr>
            <w:tcW w:w="964" w:type="dxa"/>
            <w:vAlign w:val="center"/>
          </w:tcPr>
          <w:p>
            <w:pPr>
              <w:jc w:val="center"/>
              <w:rPr>
                <w:noProof/>
                <w:sz w:val="20"/>
              </w:rPr>
            </w:pPr>
            <w:r>
              <w:rPr>
                <w:noProof/>
                <w:sz w:val="20"/>
              </w:rPr>
              <w:t>Година</w:t>
            </w:r>
            <w:r>
              <w:rPr>
                <w:noProof/>
                <w:sz w:val="20"/>
              </w:rPr>
              <w:br/>
            </w:r>
            <w:r>
              <w:rPr>
                <w:b/>
                <w:noProof/>
                <w:sz w:val="20"/>
              </w:rPr>
              <w:t>N+2</w:t>
            </w:r>
          </w:p>
        </w:tc>
        <w:tc>
          <w:tcPr>
            <w:tcW w:w="964" w:type="dxa"/>
            <w:vAlign w:val="center"/>
          </w:tcPr>
          <w:p>
            <w:pPr>
              <w:jc w:val="center"/>
              <w:rPr>
                <w:noProof/>
                <w:sz w:val="20"/>
              </w:rPr>
            </w:pPr>
            <w:r>
              <w:rPr>
                <w:noProof/>
                <w:sz w:val="20"/>
              </w:rPr>
              <w:t>Година</w:t>
            </w:r>
            <w:r>
              <w:rPr>
                <w:noProof/>
                <w:sz w:val="20"/>
              </w:rPr>
              <w:br/>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sz w:val="22"/>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Очаквано отражение върху приходите </w:t>
      </w:r>
    </w:p>
    <w:p>
      <w:pPr>
        <w:pStyle w:val="ListDash1"/>
        <w:rPr>
          <w:noProof/>
        </w:rPr>
      </w:pPr>
      <w:sdt>
        <w:sdtPr>
          <w:rPr>
            <w:noProof/>
          </w:rPr>
          <w:id w:val="786398795"/>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tabs>
          <w:tab w:val="clear" w:pos="2126"/>
        </w:tabs>
        <w:rPr>
          <w:noProof/>
        </w:rPr>
      </w:pPr>
      <w:r>
        <w:rPr>
          <w:noProof/>
        </w:rPr>
        <w:sym w:font="Wingdings" w:char="F0A8"/>
      </w:r>
      <w:r>
        <w:rPr>
          <w:noProof/>
        </w:rPr>
        <w:tab/>
        <w:t xml:space="preserve">върху собствените ресурси </w:t>
      </w:r>
    </w:p>
    <w:p>
      <w:pPr>
        <w:pStyle w:val="ListNumberLevel3"/>
        <w:tabs>
          <w:tab w:val="clear" w:pos="2126"/>
        </w:tabs>
        <w:rPr>
          <w:noProof/>
        </w:rPr>
      </w:pPr>
      <w:r>
        <w:rPr>
          <w:noProof/>
        </w:rPr>
        <w:sym w:font="Wingdings" w:char="F0A8"/>
      </w:r>
      <w:r>
        <w:rPr>
          <w:noProof/>
        </w:rPr>
        <w:tab/>
        <w:t xml:space="preserve">върху разните приходи </w:t>
      </w:r>
    </w:p>
    <w:p>
      <w:pPr>
        <w:jc w:val="right"/>
        <w:rPr>
          <w:i/>
          <w:noProof/>
          <w:sz w:val="20"/>
        </w:rPr>
      </w:pPr>
      <w:r>
        <w:rPr>
          <w:noProof/>
          <w:sz w:val="20"/>
        </w:rPr>
        <w:t>млн. евро (до 3-тия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26"/>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Година</w:t>
            </w:r>
            <w:r>
              <w:rPr>
                <w:noProof/>
                <w:sz w:val="18"/>
              </w:rPr>
              <w:br/>
            </w:r>
            <w:r>
              <w:rPr>
                <w:b/>
                <w:noProof/>
                <w:sz w:val="18"/>
              </w:rPr>
              <w:t>N</w:t>
            </w:r>
          </w:p>
        </w:tc>
        <w:tc>
          <w:tcPr>
            <w:tcW w:w="900" w:type="dxa"/>
            <w:vAlign w:val="center"/>
          </w:tcPr>
          <w:p>
            <w:pPr>
              <w:jc w:val="center"/>
              <w:rPr>
                <w:noProof/>
                <w:sz w:val="18"/>
              </w:rPr>
            </w:pPr>
            <w:r>
              <w:rPr>
                <w:noProof/>
                <w:sz w:val="18"/>
              </w:rPr>
              <w:t>Година</w:t>
            </w:r>
            <w:r>
              <w:rPr>
                <w:noProof/>
                <w:sz w:val="18"/>
              </w:rPr>
              <w:br/>
            </w:r>
            <w:r>
              <w:rPr>
                <w:b/>
                <w:noProof/>
                <w:sz w:val="18"/>
              </w:rPr>
              <w:t>N+1</w:t>
            </w:r>
          </w:p>
        </w:tc>
        <w:tc>
          <w:tcPr>
            <w:tcW w:w="900" w:type="dxa"/>
            <w:vAlign w:val="center"/>
          </w:tcPr>
          <w:p>
            <w:pPr>
              <w:jc w:val="center"/>
              <w:rPr>
                <w:noProof/>
                <w:sz w:val="18"/>
              </w:rPr>
            </w:pPr>
            <w:r>
              <w:rPr>
                <w:noProof/>
                <w:sz w:val="18"/>
              </w:rPr>
              <w:t>Година</w:t>
            </w:r>
            <w:r>
              <w:rPr>
                <w:noProof/>
                <w:sz w:val="18"/>
              </w:rPr>
              <w:br/>
            </w:r>
            <w:r>
              <w:rPr>
                <w:b/>
                <w:noProof/>
                <w:sz w:val="18"/>
              </w:rPr>
              <w:t>N+2</w:t>
            </w:r>
          </w:p>
        </w:tc>
        <w:tc>
          <w:tcPr>
            <w:tcW w:w="1080" w:type="dxa"/>
            <w:vAlign w:val="center"/>
          </w:tcPr>
          <w:p>
            <w:pPr>
              <w:jc w:val="center"/>
              <w:rPr>
                <w:noProof/>
                <w:sz w:val="18"/>
              </w:rPr>
            </w:pPr>
            <w:r>
              <w:rPr>
                <w:noProof/>
                <w:sz w:val="18"/>
              </w:rPr>
              <w:t>Година</w:t>
            </w:r>
            <w:r>
              <w:rPr>
                <w:noProof/>
                <w:sz w:val="18"/>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L 141, 29.5.2006 г., стр. 1; OВ L 78, 17.3.2007 г., стр. 31.</w:t>
      </w:r>
    </w:p>
  </w:footnote>
  <w:footnote w:id="2">
    <w:p>
      <w:pPr>
        <w:pStyle w:val="FootnoteText"/>
      </w:pPr>
      <w:r>
        <w:rPr>
          <w:rStyle w:val="FootnoteReference"/>
        </w:rPr>
        <w:footnoteRef/>
      </w:r>
      <w:r>
        <w:tab/>
        <w:t>OВ L 328, 7.12.2013 г., стр. 2; OВ L 228, 31.7.2014 г., стр. 1.</w:t>
      </w:r>
    </w:p>
  </w:footnote>
  <w:footnote w:id="3">
    <w:p>
      <w:pPr>
        <w:pStyle w:val="FootnoteText"/>
        <w:rPr>
          <w:lang w:val="ru-RU"/>
        </w:rPr>
      </w:pPr>
      <w:r>
        <w:rPr>
          <w:rStyle w:val="FootnoteReference"/>
        </w:rPr>
        <w:footnoteRef/>
      </w:r>
      <w:r>
        <w:tab/>
        <w:t>OВ L 70, 18.3.2000 г., стр. 2.</w:t>
      </w:r>
    </w:p>
  </w:footnote>
  <w:footnote w:id="4">
    <w:p>
      <w:pPr>
        <w:pStyle w:val="FootnoteText"/>
        <w:rPr>
          <w:lang w:val="ru-RU"/>
        </w:rPr>
      </w:pPr>
      <w:r>
        <w:rPr>
          <w:rStyle w:val="FootnoteReference"/>
        </w:rPr>
        <w:footnoteRef/>
      </w:r>
      <w:r>
        <w:tab/>
        <w:t>Приети на 3612-ото заседание на Съвета по селско стопанство и рибарство на 16 април 2018 г.</w:t>
      </w:r>
    </w:p>
  </w:footnote>
  <w:footnote w:id="5">
    <w:p>
      <w:pPr>
        <w:pStyle w:val="FootnoteText"/>
        <w:rPr>
          <w:lang w:val="ru-RU"/>
        </w:rPr>
      </w:pPr>
      <w:r>
        <w:rPr>
          <w:rStyle w:val="FootnoteReference"/>
        </w:rPr>
        <w:footnoteRef/>
      </w:r>
      <w:r>
        <w:tab/>
        <w:t>Решение на Съда от 27 февруари 2018 г., Western Sahara Campaign UK, C-266/16, EU:C:2018:118.</w:t>
      </w:r>
    </w:p>
  </w:footnote>
  <w:footnote w:id="6">
    <w:p>
      <w:pPr>
        <w:pStyle w:val="FootnoteText"/>
      </w:pPr>
      <w:r>
        <w:rPr>
          <w:rStyle w:val="FootnoteReference"/>
        </w:rPr>
        <w:footnoteRef/>
      </w:r>
      <w:r>
        <w:tab/>
        <w:t>OВ L 354, 28.12.2013 г., стр. 22.</w:t>
      </w:r>
    </w:p>
  </w:footnote>
  <w:footnote w:id="7">
    <w:p>
      <w:pPr>
        <w:pStyle w:val="FootnoteText"/>
        <w:ind w:left="0" w:firstLine="0"/>
        <w:jc w:val="left"/>
      </w:pPr>
      <w:r>
        <w:rPr>
          <w:rStyle w:val="FootnoteReference"/>
        </w:rPr>
        <w:footnoteRef/>
      </w:r>
      <w:r>
        <w:tab/>
      </w:r>
      <w:hyperlink r:id="rId1">
        <w:r>
          <w:rPr>
            <w:rStyle w:val="Hyperlink"/>
          </w:rPr>
          <w:t>https://ec.europa.eu/fisheries/sites/fisheries/files/docs/publications/evaluation-report-morocco_fr.pdf</w:t>
        </w:r>
      </w:hyperlink>
      <w:r>
        <w:t xml:space="preserve"> SWD(2018) 1 final: </w:t>
      </w:r>
      <w:hyperlink r:id="rId2">
        <w:r>
          <w:rPr>
            <w:rStyle w:val="Hyperlink"/>
          </w:rPr>
          <w:t>https://eur-lex.europa.eu/legal-content/FR/TXT/?qid=1535624240760&amp;uri=CELEX:52018SC0001</w:t>
        </w:r>
      </w:hyperlink>
    </w:p>
  </w:footnote>
  <w:footnote w:id="8">
    <w:p>
      <w:pPr>
        <w:pStyle w:val="FootnoteText"/>
      </w:pPr>
      <w:r>
        <w:rPr>
          <w:rStyle w:val="FootnoteReference"/>
        </w:rPr>
        <w:footnoteRef/>
      </w:r>
      <w:r>
        <w:tab/>
      </w:r>
      <w:r>
        <w:rPr>
          <w:sz w:val="23"/>
        </w:rPr>
        <w:t xml:space="preserve">Одобрение от… (все още непубликувано в </w:t>
      </w:r>
      <w:r>
        <w:rPr>
          <w:i/>
          <w:sz w:val="23"/>
        </w:rPr>
        <w:t>Официален вестник</w:t>
      </w:r>
      <w:r>
        <w:rPr>
          <w:sz w:val="23"/>
        </w:rPr>
        <w:t xml:space="preserve">). </w:t>
      </w:r>
      <w:r>
        <w:t xml:space="preserve"> </w:t>
      </w:r>
    </w:p>
  </w:footnote>
  <w:footnote w:id="9">
    <w:p>
      <w:pPr>
        <w:pStyle w:val="FootnoteText"/>
        <w:rPr>
          <w:lang w:val="ru-RU"/>
        </w:rPr>
      </w:pPr>
      <w:r>
        <w:rPr>
          <w:rStyle w:val="FootnoteReference"/>
        </w:rPr>
        <w:footnoteRef/>
      </w:r>
      <w:r>
        <w:tab/>
        <w:t>Решение на Съда от 27 февруари 2018 г., Western Sahara Watch, C-266/16, EU:C:2018:118.</w:t>
      </w:r>
    </w:p>
  </w:footnote>
  <w:footnote w:id="10">
    <w:p>
      <w:pPr>
        <w:pStyle w:val="FootnoteText"/>
      </w:pPr>
      <w:r>
        <w:rPr>
          <w:rStyle w:val="FootnoteReference"/>
        </w:rPr>
        <w:footnoteRef/>
      </w:r>
      <w:r>
        <w:tab/>
        <w:t>ОВ L ,  г., стр. .</w:t>
      </w:r>
    </w:p>
  </w:footnote>
  <w:footnote w:id="11">
    <w:p>
      <w:pPr>
        <w:pStyle w:val="FootnoteText"/>
        <w:rPr>
          <w:szCs w:val="24"/>
        </w:rPr>
      </w:pPr>
      <w:r>
        <w:rPr>
          <w:rStyle w:val="FootnoteReference"/>
        </w:rPr>
        <w:footnoteRef/>
      </w:r>
      <w:r>
        <w:tab/>
        <w:t xml:space="preserve">УД: </w:t>
      </w:r>
      <w:r>
        <w:rPr>
          <w:i/>
        </w:rPr>
        <w:t>управление по дейности</w:t>
      </w:r>
      <w:r>
        <w:t xml:space="preserve"> — БД: </w:t>
      </w:r>
      <w:r>
        <w:rPr>
          <w:i/>
        </w:rPr>
        <w:t>бюджетиране по дейности</w:t>
      </w:r>
      <w:r>
        <w:t>.</w:t>
      </w:r>
    </w:p>
  </w:footnote>
  <w:footnote w:id="12">
    <w:p>
      <w:pPr>
        <w:pStyle w:val="FootnoteText"/>
        <w:rPr>
          <w:szCs w:val="24"/>
        </w:rPr>
      </w:pPr>
      <w:r>
        <w:rPr>
          <w:rStyle w:val="FootnoteReference"/>
        </w:rPr>
        <w:footnoteRef/>
      </w:r>
      <w:r>
        <w:tab/>
        <w:t>Съгласно член 54, параграф 2, буква а) или б) от Финансовия регламент.</w:t>
      </w:r>
    </w:p>
  </w:footnote>
  <w:footnote w:id="13">
    <w:p>
      <w:pPr>
        <w:pStyle w:val="FootnoteTex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3">
        <w:r>
          <w:rPr>
            <w:rStyle w:val="Hyperlink"/>
            <w:noProof/>
            <w:sz w:val="18"/>
          </w:rPr>
          <w:t>http://www.cc.cec/budg/man/budgmanag/budgmanag_en.html</w:t>
        </w:r>
      </w:hyperlink>
    </w:p>
  </w:footnote>
  <w:footnote w:id="14">
    <w:p>
      <w:pPr>
        <w:pStyle w:val="FootnoteText"/>
        <w:rPr>
          <w:szCs w:val="24"/>
        </w:rPr>
      </w:pPr>
      <w:r>
        <w:rPr>
          <w:rStyle w:val="FootnoteReference"/>
        </w:rPr>
        <w:footnoteRef/>
      </w:r>
      <w:r>
        <w:tab/>
        <w:t>Многогод. = многогодишни бюджетни кредити/едногод. = едногодишни бюджетни кредити.</w:t>
      </w:r>
    </w:p>
  </w:footnote>
  <w:footnote w:id="15">
    <w:p>
      <w:pPr>
        <w:pStyle w:val="FootnoteText"/>
        <w:rPr>
          <w:szCs w:val="24"/>
        </w:rPr>
      </w:pPr>
      <w:r>
        <w:rPr>
          <w:rStyle w:val="FootnoteReference"/>
        </w:rPr>
        <w:footnoteRef/>
      </w:r>
      <w:r>
        <w:tab/>
        <w:t xml:space="preserve">ЕАСТ: Европейска асоциация за свободна търговия. </w:t>
      </w:r>
    </w:p>
  </w:footnote>
  <w:footnote w:id="16">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17">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18">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9">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20">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21">
    <w:p>
      <w:pPr>
        <w:pStyle w:val="FootnoteText"/>
        <w:rPr>
          <w:szCs w:val="24"/>
        </w:rPr>
      </w:pPr>
      <w:r>
        <w:rPr>
          <w:rStyle w:val="FootnoteReference"/>
        </w:rPr>
        <w:footnoteRef/>
      </w:r>
      <w:r>
        <w:tab/>
        <w:t xml:space="preserve">Съгласно описанието в част 1.4.2. „Конкретни цели…“. </w:t>
      </w:r>
    </w:p>
  </w:footnote>
  <w:footnote w:id="22">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23">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4">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5">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26">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0D83D0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7D45A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C4283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59E53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20A852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F90192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B2A0BA6"/>
    <w:lvl w:ilvl="0">
      <w:start w:val="1"/>
      <w:numFmt w:val="decimal"/>
      <w:pStyle w:val="ListNumber"/>
      <w:lvlText w:val="%1."/>
      <w:lvlJc w:val="left"/>
      <w:pPr>
        <w:tabs>
          <w:tab w:val="num" w:pos="360"/>
        </w:tabs>
        <w:ind w:left="360" w:hanging="360"/>
      </w:pPr>
    </w:lvl>
  </w:abstractNum>
  <w:abstractNum w:abstractNumId="7">
    <w:nsid w:val="FFFFFF89"/>
    <w:multiLevelType w:val="singleLevel"/>
    <w:tmpl w:val="BB94B5B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4"/>
    <w:lvlOverride w:ilvl="0">
      <w:startOverride w:val="1"/>
    </w:lvlOverride>
  </w:num>
  <w:num w:numId="6">
    <w:abstractNumId w:val="6"/>
  </w:num>
  <w:num w:numId="7">
    <w:abstractNumId w:val="2"/>
  </w:num>
  <w:num w:numId="8">
    <w:abstractNumId w:val="1"/>
  </w:num>
  <w:num w:numId="9">
    <w:abstractNumId w:val="0"/>
  </w:num>
  <w:num w:numId="10">
    <w:abstractNumId w:val="8"/>
  </w:num>
  <w:num w:numId="11">
    <w:abstractNumId w:val="17"/>
  </w:num>
  <w:num w:numId="12">
    <w:abstractNumId w:val="16"/>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3"/>
  </w:num>
  <w:num w:numId="16">
    <w:abstractNumId w:val="23"/>
  </w:num>
  <w:num w:numId="17">
    <w:abstractNumId w:val="12"/>
  </w:num>
  <w:num w:numId="18">
    <w:abstractNumId w:val="14"/>
  </w:num>
  <w:num w:numId="19">
    <w:abstractNumId w:val="10"/>
  </w:num>
  <w:num w:numId="20">
    <w:abstractNumId w:val="22"/>
  </w:num>
  <w:num w:numId="21">
    <w:abstractNumId w:val="9"/>
  </w:num>
  <w:num w:numId="22">
    <w:abstractNumId w:val="15"/>
  </w:num>
  <w:num w:numId="23">
    <w:abstractNumId w:val="19"/>
  </w:num>
  <w:num w:numId="24">
    <w:abstractNumId w:val="20"/>
  </w:num>
  <w:num w:numId="25">
    <w:abstractNumId w:val="11"/>
  </w:num>
  <w:num w:numId="26">
    <w:abstractNumId w:val="18"/>
  </w:num>
  <w:num w:numId="27">
    <w:abstractNumId w:val="24"/>
  </w:num>
  <w:num w:numId="28">
    <w:abstractNumId w:val="21"/>
  </w:num>
  <w:num w:numId="29">
    <w:abstractNumId w:val="13"/>
  </w:num>
  <w:num w:numId="30">
    <w:abstractNumId w:val="23"/>
  </w:num>
  <w:num w:numId="31">
    <w:abstractNumId w:val="12"/>
  </w:num>
  <w:num w:numId="32">
    <w:abstractNumId w:val="14"/>
  </w:num>
  <w:num w:numId="33">
    <w:abstractNumId w:val="10"/>
  </w:num>
  <w:num w:numId="34">
    <w:abstractNumId w:val="22"/>
  </w:num>
  <w:num w:numId="35">
    <w:abstractNumId w:val="9"/>
  </w:num>
  <w:num w:numId="36">
    <w:abstractNumId w:val="15"/>
  </w:num>
  <w:num w:numId="37">
    <w:abstractNumId w:val="19"/>
  </w:num>
  <w:num w:numId="38">
    <w:abstractNumId w:val="20"/>
  </w:num>
  <w:num w:numId="39">
    <w:abstractNumId w:val="11"/>
  </w:num>
  <w:num w:numId="40">
    <w:abstractNumId w:val="18"/>
  </w:num>
  <w:num w:numId="4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08 10:35:1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142455A-2698-4BC6-AC84-22729E885EC5"/>
    <w:docVar w:name="LW_COVERPAGE_TYPE" w:val="1"/>
    <w:docVar w:name="LW_CROSSREFERENCE" w:val="&lt;UNUSED&gt;"/>
    <w:docVar w:name="LW_DocType" w:val="COM"/>
    <w:docVar w:name="LW_EMISSION" w:val="8.10.2018"/>
    <w:docVar w:name="LW_EMISSION_ISODATE" w:val="2018-10-08"/>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49"/>
    <w:docVar w:name="LW_REF.II.NEW.CP_YEAR" w:val="2018"/>
    <w:docVar w:name="LW_REF.INST.NEW" w:val="COM"/>
    <w:docVar w:name="LW_REF.INST.NEW_ADOPTED" w:val="final"/>
    <w:docVar w:name="LW_REF.INST.NEW_TEXT" w:val="(2018) 6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9?\u1082?\u1083?\u1102?\u1095?\u1074?\u1072?\u1085?\u1077?\u1090?\u1086? \u1085?\u1072? \u1057?\u1087?\u1086?\u1088?\u1072?\u1079?\u1091?\u1084?\u1077?\u1085?\u1080?\u1077?\u1090?\u1086? \u1079?\u1072? \u1087?\u1072?\u1088?\u1090?\u1085?\u1100?\u1086?\u1088?\u1089?\u1090?\u1074?\u1086? \u1074? \u1086?\u1073?\u1083?\u1072?\u1089?\u1090?\u1090?\u1072? \u1085?\u1072? \u1091?\u1089?\u1090?\u1086?\u1081?\u1095?\u1080?\u1074?\u1086?\u1090?\u1086? \u1088?\u1080?\u1073?\u1072?\u1088?\u1089?\u1090?\u1074?\u1086? \u1084?\u1077?\u1078?\u1076?\u1091? \u1045?\u1074?\u1088?\u1086?\u1087?\u1077?\u1081?\u1089?\u1082?\u1080?\u1103? \u1089?\u1098?\u1102?\u1079? \u1080? \u1050?\u1088?\u1072?\u1083?\u1089?\u1090?\u1074?\u1086? \u1052?\u1072?\u1088?\u1086?\u1082?\u1086?, \u1087?\u1088?\u1086?\u1090?\u1086?\u1082?\u1086?\u1083?\u1072? \u1079?\u1072? \u1087?\u1088?\u1080?\u1083?\u1072?\u1075?\u1072?\u1085?\u1077? \u1082?\u1098?\u1084? \u1085?\u1077?\u1075?\u1086? \u1080? \u1088?\u1072?\u1079?\u1084?\u1103?\u1085?\u1072?\u1090?\u1072? \u1085?\u1072? \u1087?\u1080?\u1089?\u1084?\u1072?, \u1087?\u1088?\u1080?\u1076?\u1088?\u1091?\u1078?\u1072?\u1074?\u1072?\u1097?\u1072? \u1087?\u1086?\u1089?\u1086?\u1095?\u1077?\u1085?\u1086?\u1090?\u1086? \u1089?\u1087?\u1086?\u1088?\u1072?\u1079?\u1091?\u1084?\u1077?\u1085?\u1080?\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ListBullet1">
    <w:name w:val="List Bullet 1"/>
    <w:basedOn w:val="Normal"/>
    <w:pPr>
      <w:numPr>
        <w:numId w:val="10"/>
      </w:numPr>
    </w:pPr>
    <w:rPr>
      <w:rFonts w:eastAsia="Times New Roman"/>
    </w:rPr>
  </w:style>
  <w:style w:type="paragraph" w:customStyle="1" w:styleId="ListDash1">
    <w:name w:val="List Dash 1"/>
    <w:basedOn w:val="Normal"/>
    <w:pPr>
      <w:numPr>
        <w:numId w:val="11"/>
      </w:numPr>
    </w:pPr>
    <w:rPr>
      <w:rFonts w:eastAsia="Times New Roman"/>
    </w:rPr>
  </w:style>
  <w:style w:type="paragraph" w:customStyle="1" w:styleId="ListDash2">
    <w:name w:val="List Dash 2"/>
    <w:basedOn w:val="Normal"/>
    <w:pPr>
      <w:numPr>
        <w:numId w:val="12"/>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ListBullet1">
    <w:name w:val="List Bullet 1"/>
    <w:basedOn w:val="Normal"/>
    <w:pPr>
      <w:numPr>
        <w:numId w:val="10"/>
      </w:numPr>
    </w:pPr>
    <w:rPr>
      <w:rFonts w:eastAsia="Times New Roman"/>
    </w:rPr>
  </w:style>
  <w:style w:type="paragraph" w:customStyle="1" w:styleId="ListDash1">
    <w:name w:val="List Dash 1"/>
    <w:basedOn w:val="Normal"/>
    <w:pPr>
      <w:numPr>
        <w:numId w:val="11"/>
      </w:numPr>
    </w:pPr>
    <w:rPr>
      <w:rFonts w:eastAsia="Times New Roman"/>
    </w:rPr>
  </w:style>
  <w:style w:type="paragraph" w:customStyle="1" w:styleId="ListDash2">
    <w:name w:val="List Dash 2"/>
    <w:basedOn w:val="Normal"/>
    <w:pPr>
      <w:numPr>
        <w:numId w:val="12"/>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c.cec/budg/leg/internal/leg-070_internal_fr.html"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c.cec/budg/man/budgmanag/budgmanag_en.html" TargetMode="External"/><Relationship Id="rId2" Type="http://schemas.openxmlformats.org/officeDocument/2006/relationships/hyperlink" Target="https://eur-lex.europa.eu/legal-content/FR/TXT/?qid=1535624240760&amp;uri=CELEX:52018SC0001" TargetMode="External"/><Relationship Id="rId1" Type="http://schemas.openxmlformats.org/officeDocument/2006/relationships/hyperlink" Target="https://ec.europa.eu/fisheries/sites/fisheries/files/docs/publications/evaluation-report-morocco_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DDC3E-3E4E-494C-B370-F9ACFC5EC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30</Pages>
  <Words>6520</Words>
  <Characters>38864</Characters>
  <Application>Microsoft Office Word</Application>
  <DocSecurity>0</DocSecurity>
  <Lines>1554</Lines>
  <Paragraphs>581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18</cp:revision>
  <cp:lastPrinted>2018-10-02T09:30:00Z</cp:lastPrinted>
  <dcterms:created xsi:type="dcterms:W3CDTF">2018-10-05T12:28:00Z</dcterms:created>
  <dcterms:modified xsi:type="dcterms:W3CDTF">2018-10-08T08:35:00Z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