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56026166"/>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59F2F5DC-7906-490C-A7E3-E587533B17D0" style="width:450.45pt;height:307.6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fmt="numberInDash" w:start="1"/>
          <w:cols w:space="720"/>
          <w:docGrid w:linePitch="326"/>
        </w:sectPr>
      </w:pPr>
    </w:p>
    <w:p>
      <w:pPr>
        <w:pStyle w:val="Heading1"/>
        <w:numPr>
          <w:ilvl w:val="0"/>
          <w:numId w:val="21"/>
        </w:numPr>
        <w:tabs>
          <w:tab w:val="left" w:pos="720"/>
        </w:tabs>
        <w:spacing w:before="0" w:after="120" w:line="276" w:lineRule="auto"/>
        <w:rPr>
          <w:noProof/>
        </w:rPr>
      </w:pPr>
      <w:bookmarkStart w:id="2" w:name="_Toc494974436"/>
      <w:bookmarkStart w:id="3" w:name="_Toc524523057"/>
      <w:bookmarkStart w:id="4" w:name="_GoBack"/>
      <w:bookmarkEnd w:id="0"/>
      <w:bookmarkEnd w:id="4"/>
      <w:r>
        <w:rPr>
          <w:noProof/>
        </w:rPr>
        <w:lastRenderedPageBreak/>
        <w:t>Introduction</w:t>
      </w:r>
      <w:bookmarkEnd w:id="2"/>
      <w:bookmarkEnd w:id="3"/>
    </w:p>
    <w:p>
      <w:pPr>
        <w:spacing w:after="120" w:line="276" w:lineRule="auto"/>
        <w:jc w:val="both"/>
        <w:rPr>
          <w:noProof/>
        </w:rPr>
      </w:pPr>
      <w:r>
        <w:rPr>
          <w:noProof/>
        </w:rPr>
        <w:t>This report provides a long-term forecast of future inflows and outflows covering the next five years (2019-2023) as required by Article 247(1)(c) of the Financial Regulation</w:t>
      </w:r>
      <w:r>
        <w:rPr>
          <w:rStyle w:val="FootnoteReference"/>
          <w:noProof/>
        </w:rPr>
        <w:footnoteReference w:id="2"/>
      </w:r>
      <w:r>
        <w:rPr>
          <w:noProof/>
        </w:rPr>
        <w:t xml:space="preserve">. </w:t>
      </w:r>
      <w:r>
        <w:rPr>
          <w:noProof/>
          <w:lang w:eastAsia="ko-KR"/>
        </w:rPr>
        <w:t>The analysis takes into account the principles and terms set out in the draft Withdrawal Agreement</w:t>
      </w:r>
      <w:r>
        <w:rPr>
          <w:rStyle w:val="FootnoteReference"/>
          <w:noProof/>
          <w:lang w:eastAsia="ko-KR"/>
        </w:rPr>
        <w:footnoteReference w:id="3"/>
      </w:r>
      <w:r>
        <w:rPr>
          <w:noProof/>
          <w:lang w:eastAsia="ko-KR"/>
        </w:rPr>
        <w:t xml:space="preserve"> between the EU and the United </w:t>
      </w:r>
      <w:r>
        <w:rPr>
          <w:noProof/>
        </w:rPr>
        <w:t>Kingdom. It does not assess the impact on the long-term forecast of a failure to conclude or ratify the Withdrawal Agreement.</w:t>
      </w:r>
    </w:p>
    <w:p>
      <w:pPr>
        <w:spacing w:after="120" w:line="276" w:lineRule="auto"/>
        <w:jc w:val="both"/>
        <w:rPr>
          <w:noProof/>
        </w:rPr>
      </w:pPr>
      <w:r>
        <w:rPr>
          <w:noProof/>
        </w:rPr>
        <w:t>The scope of the forecast captures the elements of the current and the next financial frameworks. It is based on the level of commitment appropriations for 2019 and 2020 as included in the Draft Budget 2019 and the accompanying financial programming for 2020. For the years 2021-2023 the commitments presented in the Commission’s proposal for the next Multiannual Financial Framework (MFF)</w:t>
      </w:r>
      <w:r>
        <w:rPr>
          <w:rStyle w:val="FootnoteReference"/>
          <w:noProof/>
        </w:rPr>
        <w:footnoteReference w:id="4"/>
      </w:r>
      <w:r>
        <w:rPr>
          <w:noProof/>
        </w:rPr>
        <w:t xml:space="preserve"> are taken into account. </w:t>
      </w:r>
    </w:p>
    <w:p>
      <w:pPr>
        <w:spacing w:after="120" w:line="276" w:lineRule="auto"/>
        <w:jc w:val="both"/>
        <w:rPr>
          <w:noProof/>
        </w:rPr>
      </w:pPr>
      <w:r>
        <w:rPr>
          <w:noProof/>
        </w:rPr>
        <w:t>New information, following the MFF proposal of 2 May 2018, is also reflected as follows: the Member States’ updated forecasts for the implementation of the 2014-2020 European Structural and Investment Funds</w:t>
      </w:r>
      <w:r>
        <w:rPr>
          <w:rStyle w:val="FootnoteReference"/>
          <w:noProof/>
        </w:rPr>
        <w:footnoteReference w:id="5"/>
      </w:r>
      <w:r>
        <w:rPr>
          <w:noProof/>
        </w:rPr>
        <w:t xml:space="preserve"> (ESI Funds) provided by 31</w:t>
      </w:r>
      <w:r>
        <w:rPr>
          <w:noProof/>
          <w:vertAlign w:val="superscript"/>
        </w:rPr>
        <w:t>st</w:t>
      </w:r>
      <w:r>
        <w:rPr>
          <w:noProof/>
        </w:rPr>
        <w:t xml:space="preserve"> July 2018; amendments to the 2018 budget (i.e. the Draft Amending Budget N°5</w:t>
      </w:r>
      <w:r>
        <w:rPr>
          <w:rStyle w:val="FootnoteReference"/>
          <w:noProof/>
        </w:rPr>
        <w:footnoteReference w:id="6"/>
      </w:r>
      <w:r>
        <w:rPr>
          <w:noProof/>
        </w:rPr>
        <w:t xml:space="preserve"> and the results of the global transfer exercise) and the Amending Letter No.1 to the Draft Budget 2019. The initiatives announced on 12 September 2018</w:t>
      </w:r>
      <w:r>
        <w:rPr>
          <w:rStyle w:val="FootnoteReference"/>
          <w:noProof/>
        </w:rPr>
        <w:footnoteReference w:id="7"/>
      </w:r>
      <w:r>
        <w:rPr>
          <w:noProof/>
        </w:rPr>
        <w:t xml:space="preserve"> to further strengthen the European Border and Coast Guard Agency and the European Asylum Agency have been taken into consideration, as well.</w:t>
      </w:r>
    </w:p>
    <w:p>
      <w:pPr>
        <w:pStyle w:val="Heading1"/>
        <w:numPr>
          <w:ilvl w:val="0"/>
          <w:numId w:val="21"/>
        </w:numPr>
        <w:tabs>
          <w:tab w:val="left" w:pos="720"/>
        </w:tabs>
        <w:spacing w:before="0" w:after="120" w:line="276" w:lineRule="auto"/>
        <w:rPr>
          <w:noProof/>
        </w:rPr>
      </w:pPr>
      <w:bookmarkStart w:id="5" w:name="_Toc494974438"/>
      <w:bookmarkStart w:id="6" w:name="_Toc524523058"/>
      <w:r>
        <w:rPr>
          <w:noProof/>
        </w:rPr>
        <w:t>Results of the Forecast</w:t>
      </w:r>
      <w:bookmarkEnd w:id="5"/>
      <w:bookmarkEnd w:id="6"/>
    </w:p>
    <w:p>
      <w:pPr>
        <w:pStyle w:val="Heading2"/>
        <w:keepNext w:val="0"/>
        <w:numPr>
          <w:ilvl w:val="1"/>
          <w:numId w:val="21"/>
        </w:numPr>
        <w:tabs>
          <w:tab w:val="left" w:pos="720"/>
        </w:tabs>
        <w:spacing w:after="120" w:line="276" w:lineRule="auto"/>
        <w:ind w:left="788" w:hanging="431"/>
        <w:rPr>
          <w:noProof/>
        </w:rPr>
      </w:pPr>
      <w:r>
        <w:rPr>
          <w:noProof/>
        </w:rPr>
        <w:t xml:space="preserve"> </w:t>
      </w:r>
      <w:bookmarkStart w:id="7" w:name="_Toc524523059"/>
      <w:r>
        <w:rPr>
          <w:noProof/>
        </w:rPr>
        <w:t>Payments</w:t>
      </w:r>
      <w:bookmarkEnd w:id="7"/>
    </w:p>
    <w:p>
      <w:pPr>
        <w:pStyle w:val="Heading2"/>
        <w:keepNext w:val="0"/>
        <w:numPr>
          <w:ilvl w:val="2"/>
          <w:numId w:val="21"/>
        </w:numPr>
        <w:tabs>
          <w:tab w:val="left" w:pos="720"/>
        </w:tabs>
        <w:spacing w:after="120" w:line="276" w:lineRule="auto"/>
        <w:rPr>
          <w:noProof/>
        </w:rPr>
      </w:pPr>
      <w:bookmarkStart w:id="8" w:name="_Toc524523061"/>
      <w:r>
        <w:rPr>
          <w:noProof/>
        </w:rPr>
        <w:t>Payments until the end of the current MFF</w:t>
      </w:r>
      <w:bookmarkEnd w:id="8"/>
      <w:r>
        <w:rPr>
          <w:noProof/>
        </w:rPr>
        <w:t xml:space="preserve"> (2019-2020)</w:t>
      </w:r>
    </w:p>
    <w:p>
      <w:pPr>
        <w:spacing w:after="120" w:line="276" w:lineRule="auto"/>
        <w:jc w:val="both"/>
        <w:rPr>
          <w:noProof/>
        </w:rPr>
      </w:pPr>
      <w:bookmarkStart w:id="9" w:name="_Toc494974447"/>
      <w:r>
        <w:rPr>
          <w:noProof/>
        </w:rPr>
        <w:t>For the year 2019, the forecast payments follow the levels proposed in the Draft Budget 2019, (including the Amending Letter No.1). The payments for 2020 have been assessed taking into account the implementation in 2014-2017 and the first half of 2018, the information made available at the time of the Draft Budget 2019 preparation, as well as the Member States’ updated forecasts for the implementation of the 2014-2020 ESI Funds. For the final year of the current MFF, it is expected that all spending programmes will reach cruising speed. The bulk of the 2007-2013 programmes under the cohesion policy is expected to be closed by the end of 2019.</w:t>
      </w:r>
      <w:bookmarkEnd w:id="9"/>
    </w:p>
    <w:p>
      <w:pPr>
        <w:pStyle w:val="Heading2"/>
        <w:keepNext w:val="0"/>
        <w:numPr>
          <w:ilvl w:val="2"/>
          <w:numId w:val="21"/>
        </w:numPr>
        <w:tabs>
          <w:tab w:val="left" w:pos="720"/>
        </w:tabs>
        <w:spacing w:after="120" w:line="276" w:lineRule="auto"/>
        <w:rPr>
          <w:noProof/>
        </w:rPr>
      </w:pPr>
      <w:bookmarkStart w:id="10" w:name="_Toc524523062"/>
      <w:r>
        <w:rPr>
          <w:noProof/>
        </w:rPr>
        <w:t>Payments in the next MFF (2021-2023)</w:t>
      </w:r>
      <w:bookmarkEnd w:id="10"/>
    </w:p>
    <w:p>
      <w:pPr>
        <w:spacing w:after="120" w:line="276" w:lineRule="auto"/>
        <w:jc w:val="both"/>
        <w:rPr>
          <w:noProof/>
        </w:rPr>
      </w:pPr>
      <w:r>
        <w:rPr>
          <w:noProof/>
        </w:rPr>
        <w:t xml:space="preserve">The forecast payments in 2021-2022 ensure compatibility with the Own Resources ceiling of 1.20% of EU GNI. While the Commission has proposed to increase the Own Resources ceiling to take account of the GNI base for 27 Member States, the current level may still be applicable due to the lengthy ratification process of the new Own Resources Decision. </w:t>
      </w:r>
    </w:p>
    <w:p>
      <w:pPr>
        <w:spacing w:after="120" w:line="276" w:lineRule="auto"/>
        <w:jc w:val="both"/>
        <w:rPr>
          <w:noProof/>
        </w:rPr>
      </w:pPr>
      <w:r>
        <w:rPr>
          <w:noProof/>
        </w:rPr>
        <w:t xml:space="preserve">At the start of the next programming period (2021-2022) half of all payments (51%) would cover the outstanding commitments of the previous financial frameworks (RAL for </w:t>
      </w:r>
      <w:r>
        <w:rPr>
          <w:i/>
          <w:noProof/>
        </w:rPr>
        <w:t>'Reste à liquider'</w:t>
      </w:r>
      <w:r>
        <w:rPr>
          <w:noProof/>
        </w:rPr>
        <w:t>). Further 35% of the payments would cover non-differentiated appropriations where payments immediately follow commitments (i.e. the 1</w:t>
      </w:r>
      <w:r>
        <w:rPr>
          <w:noProof/>
          <w:vertAlign w:val="superscript"/>
        </w:rPr>
        <w:t>st</w:t>
      </w:r>
      <w:r>
        <w:rPr>
          <w:noProof/>
        </w:rPr>
        <w:t xml:space="preserve"> Pillar of the Common Agricultural Policy, expenditure under Heading 7 "European Public Administration", the subsidy to decentralised agencies). The remaining 14% would result from the launch of the new generation of spending programmes.</w:t>
      </w:r>
    </w:p>
    <w:p>
      <w:pPr>
        <w:spacing w:after="120" w:line="276" w:lineRule="auto"/>
        <w:jc w:val="both"/>
        <w:rPr>
          <w:noProof/>
        </w:rPr>
      </w:pPr>
      <w:r>
        <w:rPr>
          <w:noProof/>
        </w:rPr>
        <w:t>As of 2023, more than half of the outstanding commitments of the period pre-2021 would be paid out and thus the share of payments on pre-2021 commitments will decrease. In parallel, the implementation of the 2021-2027 programmes is expected to enter into cruising speed with a substantial increase in payment levels in 2023 compared to the first two starting years (68% of the total payments up from 45% in 2021).</w:t>
      </w:r>
    </w:p>
    <w:p>
      <w:pPr>
        <w:pStyle w:val="Heading2"/>
        <w:keepNext w:val="0"/>
        <w:numPr>
          <w:ilvl w:val="2"/>
          <w:numId w:val="21"/>
        </w:numPr>
        <w:tabs>
          <w:tab w:val="left" w:pos="720"/>
        </w:tabs>
        <w:spacing w:after="120" w:line="276" w:lineRule="auto"/>
        <w:rPr>
          <w:noProof/>
        </w:rPr>
      </w:pPr>
      <w:bookmarkStart w:id="11" w:name="_Toc524523063"/>
      <w:r>
        <w:rPr>
          <w:noProof/>
        </w:rPr>
        <w:t>De-commitments</w:t>
      </w:r>
      <w:bookmarkEnd w:id="11"/>
    </w:p>
    <w:p>
      <w:pPr>
        <w:snapToGrid w:val="0"/>
        <w:spacing w:after="120" w:line="276" w:lineRule="auto"/>
        <w:jc w:val="both"/>
        <w:rPr>
          <w:noProof/>
          <w:color w:val="000000"/>
        </w:rPr>
      </w:pPr>
      <w:r>
        <w:rPr>
          <w:noProof/>
        </w:rPr>
        <w:t xml:space="preserve">The overall amount of de-commitments forecast for 2019-2023 is EUR 6.4 billion. Around two thirds of the de-commitments relate to the programmes of the 2014-2020 period (EUR 4.3 billion) while the de-commitments of the RAL originating before 2014 are gradually phasing out as is the case for the payments on that RAL. </w:t>
      </w:r>
      <w:r>
        <w:rPr>
          <w:noProof/>
          <w:color w:val="000000"/>
        </w:rPr>
        <w:t>No de-commitments are anticipated for the commitments of the 2021-2027 MFF proposal.</w:t>
      </w:r>
    </w:p>
    <w:p>
      <w:pPr>
        <w:snapToGrid w:val="0"/>
        <w:spacing w:after="120" w:line="276" w:lineRule="auto"/>
        <w:jc w:val="both"/>
        <w:rPr>
          <w:noProof/>
          <w:color w:val="000000"/>
        </w:rPr>
      </w:pPr>
      <w:r>
        <w:rPr>
          <w:noProof/>
          <w:color w:val="000000"/>
        </w:rPr>
        <w:t>The de-commitment levels vary across headings as the forecast is built taking into account de-commitments already made and de-commitments identified at the time of the Draft Budget 2019 preparation. In principle, de-commitments are forecast for the entire duration of the programming period. Since for most programmes and actions no automatic de-commitment rules exist, any annual breakdown of de-commitments would be highly approximate. To estimate the size of the de-commitments up until 2023 only, the de-commitments on the end-2018 RAL were broken down proportionally to the related annual payments.  Potential de-commitments for the 2019 and 2020 commitments would mostly take place after 2023, in line with the general closure cycle of programmes.</w:t>
      </w:r>
    </w:p>
    <w:p>
      <w:pPr>
        <w:snapToGrid w:val="0"/>
        <w:spacing w:after="120" w:line="276" w:lineRule="auto"/>
        <w:jc w:val="both"/>
        <w:rPr>
          <w:noProof/>
          <w:color w:val="000000"/>
        </w:rPr>
      </w:pPr>
      <w:r>
        <w:rPr>
          <w:noProof/>
          <w:color w:val="000000"/>
        </w:rPr>
        <w:t xml:space="preserve">A specific forecast is made for the 2014-2020 ESI funds – it takes account of the experience with the 2007-2013 programmes’ closure and also the expected de-commitment timing. As the actual year of de-commitment depends on the specific closure dates for each Member State and given the n+3 de-commitment rules in place, the de-commitments are likely to be spread over 2024-2026. Therefore, there is no impact on the forecasting period of this report. </w:t>
      </w:r>
    </w:p>
    <w:p>
      <w:pPr>
        <w:pStyle w:val="Heading2"/>
        <w:keepNext w:val="0"/>
        <w:numPr>
          <w:ilvl w:val="2"/>
          <w:numId w:val="21"/>
        </w:numPr>
        <w:tabs>
          <w:tab w:val="left" w:pos="720"/>
        </w:tabs>
        <w:spacing w:after="120" w:line="276" w:lineRule="auto"/>
        <w:rPr>
          <w:noProof/>
        </w:rPr>
      </w:pPr>
      <w:bookmarkStart w:id="12" w:name="_Toc524523064"/>
      <w:r>
        <w:rPr>
          <w:noProof/>
        </w:rPr>
        <w:t>Evolution of the level of outstanding commitments (RAL</w:t>
      </w:r>
      <w:bookmarkEnd w:id="12"/>
      <w:r>
        <w:rPr>
          <w:noProof/>
        </w:rPr>
        <w:t>)</w:t>
      </w:r>
    </w:p>
    <w:p>
      <w:pPr>
        <w:spacing w:after="120" w:line="276" w:lineRule="auto"/>
        <w:jc w:val="both"/>
        <w:rPr>
          <w:noProof/>
        </w:rPr>
      </w:pPr>
      <w:r>
        <w:rPr>
          <w:noProof/>
        </w:rPr>
        <w:t xml:space="preserve">The RAL at the start of the reporting period is expected to stand at around EUR 276 billion and to reach EUR 295 billion at the end of the current financial framework. By the end of 2023 it is projected at around 314 billion, which results in a 14% increase in nominal value over the 5 analysed years. However, the annual evolution of the RAL volume is not even as the RAL develops in function of the ratio of the annual payment to the annual commitments. This ratio is 90% for the year 2019 and increases to 99% in 2023. Payments come close to the commitments in 2023 mostly </w:t>
      </w:r>
      <w:r>
        <w:rPr>
          <w:noProof/>
          <w:color w:val="000000"/>
        </w:rPr>
        <w:t>due to the combination of the first automatic de-commitment target for the new programmes under the Common Provision Regulation and the n+3 de-commitment target for the last tranche of the 2014-2020 ESI Funds and the closure of these programmes</w:t>
      </w:r>
      <w:r>
        <w:rPr>
          <w:noProof/>
        </w:rPr>
        <w:t>. As a result, the growth of the RAL volume in 2023 compared to the previous year would be limited to below 1%.</w:t>
      </w:r>
    </w:p>
    <w:p>
      <w:pPr>
        <w:pStyle w:val="Heading2"/>
        <w:keepNext w:val="0"/>
        <w:numPr>
          <w:ilvl w:val="1"/>
          <w:numId w:val="21"/>
        </w:numPr>
        <w:tabs>
          <w:tab w:val="left" w:pos="720"/>
        </w:tabs>
        <w:spacing w:after="120" w:line="276" w:lineRule="auto"/>
        <w:ind w:left="788" w:hanging="431"/>
        <w:rPr>
          <w:noProof/>
        </w:rPr>
      </w:pPr>
      <w:r>
        <w:rPr>
          <w:noProof/>
        </w:rPr>
        <w:t xml:space="preserve"> </w:t>
      </w:r>
      <w:bookmarkStart w:id="13" w:name="_Toc524523065"/>
      <w:r>
        <w:rPr>
          <w:noProof/>
        </w:rPr>
        <w:t>Revenue</w:t>
      </w:r>
      <w:bookmarkEnd w:id="13"/>
    </w:p>
    <w:p>
      <w:pPr>
        <w:spacing w:after="120" w:line="276" w:lineRule="auto"/>
        <w:jc w:val="both"/>
        <w:rPr>
          <w:noProof/>
          <w:lang w:eastAsia="en-US"/>
        </w:rPr>
      </w:pPr>
      <w:r>
        <w:rPr>
          <w:noProof/>
          <w:lang w:eastAsia="en-US"/>
        </w:rPr>
        <w:t xml:space="preserve">The EU </w:t>
      </w:r>
      <w:r>
        <w:rPr>
          <w:noProof/>
        </w:rPr>
        <w:t>budget</w:t>
      </w:r>
      <w:r>
        <w:rPr>
          <w:noProof/>
          <w:lang w:eastAsia="en-US"/>
        </w:rPr>
        <w:t xml:space="preserve"> is financed by own resources and other revenue. The overall amount of own resources needed to finance the budget is determined by total expenditure less other revenue. Accordingly, the forecast of the EU budget revenue for 2019-2023 is based on the principle that expenditure must be matched by revenue; therefore total revenue must equal total expenditure.</w:t>
      </w:r>
    </w:p>
    <w:p>
      <w:pPr>
        <w:pStyle w:val="Heading1"/>
        <w:numPr>
          <w:ilvl w:val="0"/>
          <w:numId w:val="21"/>
        </w:numPr>
        <w:tabs>
          <w:tab w:val="left" w:pos="720"/>
        </w:tabs>
        <w:spacing w:before="0" w:after="120" w:line="276" w:lineRule="auto"/>
        <w:rPr>
          <w:noProof/>
        </w:rPr>
      </w:pPr>
      <w:bookmarkStart w:id="14" w:name="_Toc524523066"/>
      <w:r>
        <w:rPr>
          <w:noProof/>
        </w:rPr>
        <w:t xml:space="preserve">Forecast Assumptions </w:t>
      </w:r>
      <w:bookmarkEnd w:id="14"/>
    </w:p>
    <w:p>
      <w:pPr>
        <w:pStyle w:val="Heading2"/>
        <w:keepNext w:val="0"/>
        <w:numPr>
          <w:ilvl w:val="1"/>
          <w:numId w:val="21"/>
        </w:numPr>
        <w:tabs>
          <w:tab w:val="left" w:pos="720"/>
        </w:tabs>
        <w:spacing w:after="120" w:line="276" w:lineRule="auto"/>
        <w:ind w:left="788" w:hanging="431"/>
        <w:rPr>
          <w:noProof/>
        </w:rPr>
      </w:pPr>
      <w:bookmarkStart w:id="15" w:name="_Toc494974439"/>
      <w:r>
        <w:rPr>
          <w:noProof/>
        </w:rPr>
        <w:t xml:space="preserve"> </w:t>
      </w:r>
      <w:bookmarkStart w:id="16" w:name="_Toc524523068"/>
      <w:r>
        <w:rPr>
          <w:noProof/>
        </w:rPr>
        <w:t>Specific assumptions by main spending elements</w:t>
      </w:r>
      <w:bookmarkEnd w:id="16"/>
      <w:r>
        <w:rPr>
          <w:noProof/>
        </w:rPr>
        <w:t xml:space="preserve"> </w:t>
      </w:r>
      <w:bookmarkEnd w:id="15"/>
    </w:p>
    <w:p>
      <w:pPr>
        <w:pStyle w:val="Heading2"/>
        <w:keepNext w:val="0"/>
        <w:numPr>
          <w:ilvl w:val="2"/>
          <w:numId w:val="21"/>
        </w:numPr>
        <w:tabs>
          <w:tab w:val="left" w:pos="720"/>
        </w:tabs>
        <w:spacing w:after="120" w:line="276" w:lineRule="auto"/>
        <w:rPr>
          <w:noProof/>
        </w:rPr>
      </w:pPr>
      <w:bookmarkStart w:id="17" w:name="_Toc494974440"/>
      <w:bookmarkStart w:id="18" w:name="_Toc524523069"/>
      <w:r>
        <w:rPr>
          <w:noProof/>
        </w:rPr>
        <w:t>2014-2020 ESI funds</w:t>
      </w:r>
      <w:bookmarkEnd w:id="17"/>
      <w:bookmarkEnd w:id="18"/>
      <w:r>
        <w:rPr>
          <w:noProof/>
        </w:rPr>
        <w:t xml:space="preserve"> and cohesion policy funds 2021-2027</w:t>
      </w:r>
    </w:p>
    <w:p>
      <w:pPr>
        <w:pStyle w:val="Text1"/>
        <w:spacing w:after="120" w:line="276" w:lineRule="auto"/>
        <w:ind w:left="0"/>
        <w:rPr>
          <w:noProof/>
        </w:rPr>
      </w:pPr>
      <w:r>
        <w:rPr>
          <w:noProof/>
        </w:rPr>
        <w:t>The payments forecast for the 2014-2020 ESI funds is based on the past experience of interim payment claims submitted as a percentage of the overall envelope. The performance review will take place in 2019 and the related commitments set aside since 2014 would only lead to first payments in 2020. Specific payment profiles are used for each of the funds. Some acceleration in the implementation speed compared to the current levels is still assumed for the last year of the 2014-2020 MFF as the cruising speed is achieved.</w:t>
      </w:r>
    </w:p>
    <w:p>
      <w:pPr>
        <w:pStyle w:val="Text1"/>
        <w:spacing w:after="120" w:line="276" w:lineRule="auto"/>
        <w:ind w:left="0"/>
        <w:rPr>
          <w:noProof/>
        </w:rPr>
      </w:pPr>
      <w:r>
        <w:rPr>
          <w:noProof/>
        </w:rPr>
        <w:t xml:space="preserve">For the 2021-2027 cohesion policy funds, </w:t>
      </w:r>
      <w:r>
        <w:rPr>
          <w:noProof/>
          <w:color w:val="000000"/>
        </w:rPr>
        <w:t>all the relevant provisions of the Common Provisions Regulation have been taken into account (pre-financing, clearance, no performance reserve). The interim payment claims’ profiles were estimated on the basis of statistics on the amounts claimed per year in the 2007-2013 programmes with n+2 de-commitment rules.</w:t>
      </w:r>
    </w:p>
    <w:p>
      <w:pPr>
        <w:pStyle w:val="Heading2"/>
        <w:keepNext w:val="0"/>
        <w:numPr>
          <w:ilvl w:val="2"/>
          <w:numId w:val="21"/>
        </w:numPr>
        <w:tabs>
          <w:tab w:val="left" w:pos="720"/>
        </w:tabs>
        <w:spacing w:after="120" w:line="276" w:lineRule="auto"/>
        <w:rPr>
          <w:noProof/>
        </w:rPr>
      </w:pPr>
      <w:bookmarkStart w:id="19" w:name="_Toc494974442"/>
      <w:bookmarkStart w:id="20" w:name="_Toc524523070"/>
      <w:r>
        <w:rPr>
          <w:noProof/>
        </w:rPr>
        <w:t>Direct payments and market measures</w:t>
      </w:r>
      <w:bookmarkEnd w:id="19"/>
      <w:bookmarkEnd w:id="20"/>
      <w:r>
        <w:rPr>
          <w:noProof/>
        </w:rPr>
        <w:t xml:space="preserve"> under the Common Agricultural Policy</w:t>
      </w:r>
    </w:p>
    <w:p>
      <w:pPr>
        <w:pStyle w:val="Text1"/>
        <w:spacing w:after="120" w:line="276" w:lineRule="auto"/>
        <w:ind w:left="0"/>
        <w:rPr>
          <w:noProof/>
        </w:rPr>
      </w:pPr>
      <w:r>
        <w:rPr>
          <w:noProof/>
        </w:rPr>
        <w:t>As regards the appropriations for the European Agricultural Guarantee Fund, they are mostly non-differentiated and the bulk related to direct payments to farmers is usually reimbursed to Member States during the first months of the budget year.</w:t>
      </w:r>
    </w:p>
    <w:p>
      <w:pPr>
        <w:pStyle w:val="Heading2"/>
        <w:numPr>
          <w:ilvl w:val="2"/>
          <w:numId w:val="2"/>
        </w:numPr>
        <w:spacing w:after="120" w:line="276" w:lineRule="auto"/>
        <w:rPr>
          <w:noProof/>
        </w:rPr>
      </w:pPr>
      <w:r>
        <w:rPr>
          <w:noProof/>
        </w:rPr>
        <w:t>Other programmes and funds</w:t>
      </w:r>
    </w:p>
    <w:p>
      <w:pPr>
        <w:spacing w:after="120" w:line="276" w:lineRule="auto"/>
        <w:jc w:val="both"/>
        <w:rPr>
          <w:noProof/>
        </w:rPr>
      </w:pPr>
      <w:r>
        <w:rPr>
          <w:noProof/>
        </w:rPr>
        <w:t>For all other spending items (e.g. research and innovation, large scale infrastructure projects, internal and external policies) the forecasts for the payments on the commitments authorised in the current financial framework are based on the Draft Budget 2019 and the accompanying schedules of payments by individual budget lines (as presented in Working document Part XII</w:t>
      </w:r>
      <w:r>
        <w:rPr>
          <w:rStyle w:val="FootnoteReference"/>
          <w:noProof/>
        </w:rPr>
        <w:footnoteReference w:id="8"/>
      </w:r>
      <w:r>
        <w:rPr>
          <w:noProof/>
        </w:rPr>
        <w:t xml:space="preserve">). </w:t>
      </w:r>
    </w:p>
    <w:p>
      <w:pPr>
        <w:spacing w:after="120" w:line="276" w:lineRule="auto"/>
        <w:jc w:val="both"/>
        <w:rPr>
          <w:noProof/>
        </w:rPr>
      </w:pPr>
      <w:r>
        <w:rPr>
          <w:noProof/>
          <w:color w:val="000000"/>
        </w:rPr>
        <w:t>For the new generation of spending programmes, the annual payment needs have been calculated using statistical data for the actual implementation over the last 10 years (from 2007 until 2017) of the corresponding current programmes and their related 2007-2013 legacy. For programmes with no legacy, the payment estimate is established on the implementation experience of similar type of activities adjusted for the specific elements of the new programme.</w:t>
      </w:r>
    </w:p>
    <w:p>
      <w:pPr>
        <w:pStyle w:val="Heading2"/>
        <w:numPr>
          <w:ilvl w:val="2"/>
          <w:numId w:val="2"/>
        </w:numPr>
        <w:spacing w:after="120" w:line="276" w:lineRule="auto"/>
        <w:ind w:left="1225" w:hanging="505"/>
        <w:rPr>
          <w:noProof/>
        </w:rPr>
      </w:pPr>
      <w:r>
        <w:rPr>
          <w:noProof/>
        </w:rPr>
        <w:t>Administration</w:t>
      </w:r>
    </w:p>
    <w:p>
      <w:pPr>
        <w:spacing w:after="120" w:line="276" w:lineRule="auto"/>
        <w:jc w:val="both"/>
        <w:rPr>
          <w:noProof/>
        </w:rPr>
      </w:pPr>
      <w:r>
        <w:rPr>
          <w:noProof/>
        </w:rPr>
        <w:t>Administrative expenditure (2014-2020 Heading 5, 2021-2027 Heading 7) is based on non-differentiated appropriations; the amounts for commitments as presented in the Draft Budget 2019, the 2020 financial programming and the proposed expenditure ceilings for Heading 7 in 2021-2023 are fully transformed into payments.</w:t>
      </w:r>
    </w:p>
    <w:p>
      <w:pPr>
        <w:spacing w:after="120" w:line="276" w:lineRule="auto"/>
        <w:jc w:val="both"/>
        <w:rPr>
          <w:noProof/>
        </w:rPr>
      </w:pPr>
      <w:r>
        <w:rPr>
          <w:noProof/>
        </w:rPr>
        <w:t>The same applies also for the subsidy to the decentralised agencies, funded outside the administrative heading.</w:t>
      </w:r>
    </w:p>
    <w:p>
      <w:pPr>
        <w:pStyle w:val="Heading2"/>
        <w:keepNext w:val="0"/>
        <w:numPr>
          <w:ilvl w:val="1"/>
          <w:numId w:val="2"/>
        </w:numPr>
        <w:spacing w:after="120" w:line="276" w:lineRule="auto"/>
        <w:rPr>
          <w:noProof/>
        </w:rPr>
      </w:pPr>
      <w:bookmarkStart w:id="21" w:name="_Toc524523072"/>
      <w:bookmarkStart w:id="22" w:name="_Toc494974450"/>
      <w:r>
        <w:rPr>
          <w:noProof/>
        </w:rPr>
        <w:t>Assumptions for forecasting revenue</w:t>
      </w:r>
      <w:bookmarkEnd w:id="21"/>
    </w:p>
    <w:p>
      <w:pPr>
        <w:pStyle w:val="Heading2"/>
        <w:numPr>
          <w:ilvl w:val="2"/>
          <w:numId w:val="2"/>
        </w:numPr>
        <w:spacing w:after="120" w:line="276" w:lineRule="auto"/>
        <w:ind w:left="1225" w:hanging="505"/>
        <w:rPr>
          <w:noProof/>
        </w:rPr>
      </w:pPr>
      <w:r>
        <w:rPr>
          <w:noProof/>
        </w:rPr>
        <w:t>Traditional own resources and national contributions</w:t>
      </w:r>
    </w:p>
    <w:p>
      <w:pPr>
        <w:spacing w:after="120" w:line="276" w:lineRule="auto"/>
        <w:jc w:val="both"/>
        <w:rPr>
          <w:noProof/>
        </w:rPr>
      </w:pPr>
      <w:r>
        <w:rPr>
          <w:noProof/>
        </w:rPr>
        <w:t xml:space="preserve">From 2018, traditional own resources include only customs duties as the collection of the sugar production charge ended in 2017. Starting from the level included in the Draft Budget 2019, customs duties are projected to grow over the period 2020-2023 at the same rate as nominal GNI of each Member State. </w:t>
      </w:r>
    </w:p>
    <w:p>
      <w:pPr>
        <w:spacing w:after="120" w:line="276" w:lineRule="auto"/>
        <w:jc w:val="both"/>
        <w:rPr>
          <w:noProof/>
        </w:rPr>
      </w:pPr>
      <w:r>
        <w:rPr>
          <w:noProof/>
        </w:rPr>
        <w:t xml:space="preserve">National contributions (in the form of the Gross National Income-based own resource, the VAT-based own resource and new own resources included in the Commission proposal for the MFF 2021-2027) fill the gap to balance revenue and forecasted expenditure. </w:t>
      </w:r>
    </w:p>
    <w:p>
      <w:pPr>
        <w:pStyle w:val="Heading2"/>
        <w:numPr>
          <w:ilvl w:val="2"/>
          <w:numId w:val="2"/>
        </w:numPr>
        <w:spacing w:after="120" w:line="276" w:lineRule="auto"/>
        <w:rPr>
          <w:noProof/>
        </w:rPr>
      </w:pPr>
      <w:r>
        <w:rPr>
          <w:noProof/>
        </w:rPr>
        <w:t>Other revenue</w:t>
      </w:r>
    </w:p>
    <w:p>
      <w:pPr>
        <w:spacing w:after="120" w:line="276" w:lineRule="auto"/>
        <w:jc w:val="both"/>
        <w:rPr>
          <w:noProof/>
          <w:lang w:eastAsia="en-US"/>
        </w:rPr>
      </w:pPr>
      <w:r>
        <w:rPr>
          <w:noProof/>
        </w:rPr>
        <w:t>Most of the components of ‘other revenue’ – including staff contributions, revenue accruing from the administrative operation of the institutions, contributions and refunds in connection with Union agreements and programmes, interest on late payments and fines, revenue from EU borrowing and lending operations, and miscellaneous revenue – as well as surpluses from previous years are difficult to project, given their inherent volatility. Therefore, the amount budgeted for other revenue in the Draft Budget 2019 is assumed to remain nominally constant over the period 2020-2023.</w:t>
      </w:r>
    </w:p>
    <w:p>
      <w:pPr>
        <w:pStyle w:val="Heading1"/>
        <w:numPr>
          <w:ilvl w:val="0"/>
          <w:numId w:val="2"/>
        </w:numPr>
        <w:spacing w:before="0" w:after="120" w:line="276" w:lineRule="auto"/>
        <w:rPr>
          <w:noProof/>
        </w:rPr>
      </w:pPr>
      <w:bookmarkStart w:id="23" w:name="_Toc524523073"/>
      <w:bookmarkEnd w:id="22"/>
      <w:r>
        <w:rPr>
          <w:noProof/>
        </w:rPr>
        <w:t>Conclusions</w:t>
      </w:r>
      <w:bookmarkEnd w:id="23"/>
    </w:p>
    <w:p>
      <w:pPr>
        <w:pStyle w:val="Text1"/>
        <w:spacing w:after="120" w:line="276" w:lineRule="auto"/>
        <w:ind w:left="0"/>
        <w:rPr>
          <w:noProof/>
        </w:rPr>
      </w:pPr>
      <w:r>
        <w:rPr>
          <w:noProof/>
        </w:rPr>
        <w:t xml:space="preserve">The present forecast shows that the payment ceilings in 2019-2020 as well as in the MFF proposal for the years 2021-2023 are compatible with the expected payment needs for the 2014-2020 programmes on the one hand, and the smooth phasing in of the 2021-2027 spending programmes on the other hand. </w:t>
      </w:r>
    </w:p>
    <w:p>
      <w:pPr>
        <w:pStyle w:val="Text1"/>
        <w:spacing w:after="120" w:line="276" w:lineRule="auto"/>
        <w:ind w:left="0"/>
        <w:rPr>
          <w:noProof/>
        </w:rPr>
      </w:pPr>
      <w:r>
        <w:rPr>
          <w:noProof/>
        </w:rPr>
        <w:t xml:space="preserve">The main driver influencing the forecast of budget payments is the pace of implementation of the 2014-2020 ESI funds. Even if the implementation is expected to be at a cruising speed in 2020, the delays accumulated since the start of the current programming period have an impact on the level of outstanding commitments (the so-called </w:t>
      </w:r>
      <w:r>
        <w:rPr>
          <w:i/>
          <w:noProof/>
        </w:rPr>
        <w:t>reste à liquider</w:t>
      </w:r>
      <w:r>
        <w:rPr>
          <w:noProof/>
        </w:rPr>
        <w:t xml:space="preserve"> or RAL) at the start of the new period. </w:t>
      </w:r>
    </w:p>
    <w:p>
      <w:pPr>
        <w:pStyle w:val="Text1"/>
        <w:spacing w:after="120" w:line="276" w:lineRule="auto"/>
        <w:ind w:left="0"/>
        <w:rPr>
          <w:noProof/>
        </w:rPr>
      </w:pPr>
      <w:r>
        <w:rPr>
          <w:noProof/>
        </w:rPr>
        <w:t>Therefore, the implementation of the ESI Fund in 2019-2020 will continue to be carefully monitored as any further delays may increase the payment needs post-2020, to be covered within the proposed ceilings for payments, which have to cover also the payment requirements of the new generation of spending programmes at the start of the next financial framework.</w:t>
      </w:r>
    </w:p>
    <w:p>
      <w:pPr>
        <w:jc w:val="right"/>
        <w:rPr>
          <w:b/>
          <w:noProof/>
          <w:sz w:val="20"/>
          <w:szCs w:val="20"/>
        </w:rPr>
      </w:pPr>
      <w:r>
        <w:rPr>
          <w:noProof/>
        </w:rPr>
        <w:br w:type="page"/>
      </w:r>
      <w:bookmarkStart w:id="24" w:name="_Toc524523074"/>
      <w:r>
        <w:rPr>
          <w:b/>
          <w:noProof/>
          <w:sz w:val="20"/>
          <w:szCs w:val="20"/>
        </w:rPr>
        <w:t>Annex</w:t>
      </w:r>
      <w:bookmarkEnd w:id="24"/>
      <w:r>
        <w:rPr>
          <w:b/>
          <w:noProof/>
          <w:sz w:val="20"/>
          <w:szCs w:val="20"/>
        </w:rPr>
        <w:t xml:space="preserve"> 1</w:t>
      </w:r>
    </w:p>
    <w:p>
      <w:pPr>
        <w:rPr>
          <w:noProof/>
        </w:rPr>
      </w:pP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 Long-term forecast of future inflows and outflows of the EU budget over 2019-2023 </w:t>
      </w:r>
    </w:p>
    <w:tbl>
      <w:tblPr>
        <w:tblW w:w="10149" w:type="dxa"/>
        <w:tblInd w:w="93" w:type="dxa"/>
        <w:tblLook w:val="04A0" w:firstRow="1" w:lastRow="0" w:firstColumn="1" w:lastColumn="0" w:noHBand="0" w:noVBand="1"/>
      </w:tblPr>
      <w:tblGrid>
        <w:gridCol w:w="4479"/>
        <w:gridCol w:w="1134"/>
        <w:gridCol w:w="1134"/>
        <w:gridCol w:w="1134"/>
        <w:gridCol w:w="1134"/>
        <w:gridCol w:w="1134"/>
      </w:tblGrid>
      <w:tr>
        <w:trPr>
          <w:trHeight w:val="227"/>
        </w:trPr>
        <w:tc>
          <w:tcPr>
            <w:tcW w:w="4479" w:type="dxa"/>
            <w:tcBorders>
              <w:top w:val="single" w:sz="8" w:space="0" w:color="auto"/>
              <w:left w:val="single" w:sz="8" w:space="0" w:color="auto"/>
              <w:bottom w:val="nil"/>
              <w:right w:val="single" w:sz="8" w:space="0" w:color="auto"/>
            </w:tcBorders>
            <w:shd w:val="clear" w:color="auto" w:fill="auto"/>
            <w:noWrap/>
            <w:vAlign w:val="center"/>
            <w:hideMark/>
          </w:tcPr>
          <w:p>
            <w:pPr>
              <w:spacing w:before="40" w:after="40"/>
              <w:rPr>
                <w:i/>
                <w:iCs/>
                <w:noProof/>
                <w:color w:val="000000"/>
                <w:sz w:val="20"/>
                <w:szCs w:val="22"/>
              </w:rPr>
            </w:pPr>
            <w:r>
              <w:rPr>
                <w:i/>
                <w:iCs/>
                <w:noProof/>
                <w:color w:val="000000"/>
                <w:sz w:val="20"/>
                <w:szCs w:val="22"/>
              </w:rPr>
              <w:t>In EUR billion, current prices</w:t>
            </w:r>
          </w:p>
        </w:tc>
        <w:tc>
          <w:tcPr>
            <w:tcW w:w="226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pPr>
              <w:spacing w:before="40" w:after="40"/>
              <w:jc w:val="center"/>
              <w:rPr>
                <w:b/>
                <w:bCs/>
                <w:noProof/>
                <w:color w:val="000000"/>
                <w:sz w:val="20"/>
                <w:szCs w:val="22"/>
              </w:rPr>
            </w:pPr>
            <w:r>
              <w:rPr>
                <w:b/>
                <w:bCs/>
                <w:noProof/>
                <w:color w:val="000000"/>
                <w:sz w:val="20"/>
                <w:szCs w:val="22"/>
              </w:rPr>
              <w:t>MFF 2014-2020 (EU28)</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pPr>
              <w:spacing w:before="40" w:after="40"/>
              <w:jc w:val="center"/>
              <w:rPr>
                <w:b/>
                <w:bCs/>
                <w:noProof/>
                <w:color w:val="000000"/>
                <w:sz w:val="20"/>
                <w:szCs w:val="22"/>
              </w:rPr>
            </w:pPr>
            <w:r>
              <w:rPr>
                <w:b/>
                <w:bCs/>
                <w:noProof/>
                <w:color w:val="000000"/>
                <w:sz w:val="20"/>
                <w:szCs w:val="22"/>
              </w:rPr>
              <w:t>COM proposal MFF 2021-2027 (EU27)</w:t>
            </w:r>
          </w:p>
        </w:tc>
      </w:tr>
      <w:tr>
        <w:trPr>
          <w:trHeight w:val="227"/>
        </w:trPr>
        <w:tc>
          <w:tcPr>
            <w:tcW w:w="4479"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rPr>
                <w:i/>
                <w:iCs/>
                <w:noProof/>
                <w:color w:val="000000"/>
                <w:sz w:val="20"/>
                <w:szCs w:val="22"/>
              </w:rPr>
            </w:pPr>
            <w:r>
              <w:rPr>
                <w:i/>
                <w:iCs/>
                <w:noProof/>
                <w:color w:val="000000"/>
                <w:sz w:val="20"/>
                <w:szCs w:val="22"/>
              </w:rPr>
              <w:t> </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jc w:val="center"/>
              <w:rPr>
                <w:b/>
                <w:bCs/>
                <w:noProof/>
                <w:color w:val="000000"/>
                <w:sz w:val="20"/>
                <w:szCs w:val="22"/>
              </w:rPr>
            </w:pPr>
            <w:r>
              <w:rPr>
                <w:b/>
                <w:bCs/>
                <w:noProof/>
                <w:color w:val="000000"/>
                <w:sz w:val="20"/>
                <w:szCs w:val="22"/>
              </w:rPr>
              <w:t>DB 2019</w:t>
            </w:r>
          </w:p>
        </w:tc>
        <w:tc>
          <w:tcPr>
            <w:tcW w:w="1134" w:type="dxa"/>
            <w:tcBorders>
              <w:top w:val="nil"/>
              <w:left w:val="nil"/>
              <w:bottom w:val="single" w:sz="8" w:space="0" w:color="auto"/>
              <w:right w:val="single" w:sz="8" w:space="0" w:color="auto"/>
            </w:tcBorders>
            <w:shd w:val="clear" w:color="auto" w:fill="auto"/>
            <w:vAlign w:val="center"/>
            <w:hideMark/>
          </w:tcPr>
          <w:p>
            <w:pPr>
              <w:spacing w:before="40" w:after="40"/>
              <w:jc w:val="center"/>
              <w:rPr>
                <w:b/>
                <w:bCs/>
                <w:noProof/>
                <w:color w:val="000000"/>
                <w:sz w:val="20"/>
                <w:szCs w:val="22"/>
              </w:rPr>
            </w:pPr>
            <w:r>
              <w:rPr>
                <w:b/>
                <w:bCs/>
                <w:noProof/>
                <w:color w:val="000000"/>
                <w:sz w:val="20"/>
                <w:szCs w:val="22"/>
              </w:rPr>
              <w:t>2020</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center"/>
              <w:rPr>
                <w:b/>
                <w:bCs/>
                <w:noProof/>
                <w:color w:val="000000"/>
                <w:sz w:val="20"/>
                <w:szCs w:val="22"/>
              </w:rPr>
            </w:pPr>
            <w:r>
              <w:rPr>
                <w:b/>
                <w:bCs/>
                <w:noProof/>
                <w:color w:val="000000"/>
                <w:sz w:val="20"/>
                <w:szCs w:val="22"/>
              </w:rPr>
              <w:t>2021</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center"/>
              <w:rPr>
                <w:b/>
                <w:bCs/>
                <w:noProof/>
                <w:color w:val="000000"/>
                <w:sz w:val="20"/>
                <w:szCs w:val="22"/>
              </w:rPr>
            </w:pPr>
            <w:r>
              <w:rPr>
                <w:b/>
                <w:bCs/>
                <w:noProof/>
                <w:color w:val="000000"/>
                <w:sz w:val="20"/>
                <w:szCs w:val="22"/>
              </w:rPr>
              <w:t>2022</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20"/>
                <w:szCs w:val="22"/>
              </w:rPr>
            </w:pPr>
            <w:r>
              <w:rPr>
                <w:b/>
                <w:bCs/>
                <w:noProof/>
                <w:color w:val="000000"/>
                <w:sz w:val="20"/>
                <w:szCs w:val="22"/>
              </w:rPr>
              <w:t>2023</w:t>
            </w:r>
          </w:p>
        </w:tc>
      </w:tr>
      <w:tr>
        <w:trPr>
          <w:trHeight w:val="227"/>
        </w:trPr>
        <w:tc>
          <w:tcPr>
            <w:tcW w:w="4479" w:type="dxa"/>
            <w:tcBorders>
              <w:top w:val="nil"/>
              <w:left w:val="single" w:sz="4" w:space="0" w:color="auto"/>
              <w:bottom w:val="single" w:sz="4" w:space="0" w:color="auto"/>
              <w:right w:val="nil"/>
            </w:tcBorders>
            <w:shd w:val="clear" w:color="000000" w:fill="CCFFCC"/>
            <w:noWrap/>
            <w:vAlign w:val="center"/>
            <w:hideMark/>
          </w:tcPr>
          <w:p>
            <w:pPr>
              <w:spacing w:before="40" w:after="40"/>
              <w:rPr>
                <w:b/>
                <w:bCs/>
                <w:noProof/>
                <w:color w:val="000000"/>
                <w:sz w:val="20"/>
              </w:rPr>
            </w:pPr>
            <w:r>
              <w:rPr>
                <w:b/>
                <w:bCs/>
                <w:noProof/>
                <w:color w:val="000000"/>
                <w:sz w:val="20"/>
              </w:rPr>
              <w:t>OUTFLOWS</w:t>
            </w:r>
          </w:p>
        </w:tc>
        <w:tc>
          <w:tcPr>
            <w:tcW w:w="1134" w:type="dxa"/>
            <w:tcBorders>
              <w:top w:val="nil"/>
              <w:left w:val="nil"/>
              <w:bottom w:val="single" w:sz="4" w:space="0" w:color="auto"/>
              <w:right w:val="nil"/>
            </w:tcBorders>
            <w:shd w:val="clear" w:color="000000" w:fill="CCFFCC"/>
            <w:noWrap/>
            <w:vAlign w:val="center"/>
            <w:hideMark/>
          </w:tcPr>
          <w:p>
            <w:pPr>
              <w:spacing w:before="40" w:after="40"/>
              <w:jc w:val="center"/>
              <w:rPr>
                <w:b/>
                <w:bCs/>
                <w:noProof/>
                <w:color w:val="000000"/>
                <w:sz w:val="20"/>
                <w:szCs w:val="22"/>
              </w:rPr>
            </w:pPr>
            <w:r>
              <w:rPr>
                <w:b/>
                <w:bCs/>
                <w:noProof/>
                <w:color w:val="000000"/>
                <w:sz w:val="20"/>
                <w:szCs w:val="22"/>
              </w:rPr>
              <w:t> </w:t>
            </w:r>
          </w:p>
        </w:tc>
        <w:tc>
          <w:tcPr>
            <w:tcW w:w="1134" w:type="dxa"/>
            <w:tcBorders>
              <w:top w:val="nil"/>
              <w:left w:val="nil"/>
              <w:bottom w:val="single" w:sz="4" w:space="0" w:color="auto"/>
              <w:right w:val="nil"/>
            </w:tcBorders>
            <w:shd w:val="clear" w:color="000000" w:fill="CCFFCC"/>
            <w:vAlign w:val="center"/>
            <w:hideMark/>
          </w:tcPr>
          <w:p>
            <w:pPr>
              <w:spacing w:before="40" w:after="40"/>
              <w:jc w:val="center"/>
              <w:rPr>
                <w:b/>
                <w:bCs/>
                <w:noProof/>
                <w:color w:val="000000"/>
                <w:sz w:val="20"/>
                <w:szCs w:val="22"/>
              </w:rPr>
            </w:pPr>
            <w:r>
              <w:rPr>
                <w:b/>
                <w:bCs/>
                <w:noProof/>
                <w:color w:val="000000"/>
                <w:sz w:val="20"/>
                <w:szCs w:val="22"/>
              </w:rPr>
              <w:t> </w:t>
            </w:r>
          </w:p>
        </w:tc>
        <w:tc>
          <w:tcPr>
            <w:tcW w:w="1134" w:type="dxa"/>
            <w:tcBorders>
              <w:top w:val="nil"/>
              <w:left w:val="nil"/>
              <w:bottom w:val="single" w:sz="4" w:space="0" w:color="auto"/>
              <w:right w:val="nil"/>
            </w:tcBorders>
            <w:shd w:val="clear" w:color="000000" w:fill="CCFFCC"/>
            <w:noWrap/>
            <w:vAlign w:val="center"/>
            <w:hideMark/>
          </w:tcPr>
          <w:p>
            <w:pPr>
              <w:spacing w:before="40" w:after="40"/>
              <w:jc w:val="center"/>
              <w:rPr>
                <w:b/>
                <w:bCs/>
                <w:noProof/>
                <w:color w:val="000000"/>
                <w:sz w:val="20"/>
                <w:szCs w:val="22"/>
              </w:rPr>
            </w:pPr>
            <w:r>
              <w:rPr>
                <w:b/>
                <w:bCs/>
                <w:noProof/>
                <w:color w:val="000000"/>
                <w:sz w:val="20"/>
                <w:szCs w:val="22"/>
              </w:rPr>
              <w:t> </w:t>
            </w:r>
          </w:p>
        </w:tc>
        <w:tc>
          <w:tcPr>
            <w:tcW w:w="1134" w:type="dxa"/>
            <w:tcBorders>
              <w:top w:val="nil"/>
              <w:left w:val="nil"/>
              <w:bottom w:val="single" w:sz="4" w:space="0" w:color="auto"/>
              <w:right w:val="nil"/>
            </w:tcBorders>
            <w:shd w:val="clear" w:color="000000" w:fill="CCFFCC"/>
            <w:noWrap/>
            <w:vAlign w:val="center"/>
            <w:hideMark/>
          </w:tcPr>
          <w:p>
            <w:pPr>
              <w:spacing w:before="40" w:after="40"/>
              <w:jc w:val="center"/>
              <w:rPr>
                <w:b/>
                <w:bCs/>
                <w:noProof/>
                <w:color w:val="000000"/>
                <w:sz w:val="20"/>
                <w:szCs w:val="22"/>
              </w:rPr>
            </w:pPr>
            <w:r>
              <w:rPr>
                <w:b/>
                <w:bCs/>
                <w:noProof/>
                <w:color w:val="000000"/>
                <w:sz w:val="20"/>
                <w:szCs w:val="22"/>
              </w:rPr>
              <w:t> </w:t>
            </w:r>
          </w:p>
        </w:tc>
        <w:tc>
          <w:tcPr>
            <w:tcW w:w="1134" w:type="dxa"/>
            <w:tcBorders>
              <w:top w:val="nil"/>
              <w:left w:val="nil"/>
              <w:bottom w:val="single" w:sz="4" w:space="0" w:color="auto"/>
              <w:right w:val="single" w:sz="4" w:space="0" w:color="auto"/>
            </w:tcBorders>
            <w:shd w:val="clear" w:color="000000" w:fill="CCFFCC"/>
            <w:noWrap/>
            <w:vAlign w:val="center"/>
            <w:hideMark/>
          </w:tcPr>
          <w:p>
            <w:pPr>
              <w:spacing w:before="40" w:after="40"/>
              <w:jc w:val="center"/>
              <w:rPr>
                <w:b/>
                <w:bCs/>
                <w:noProof/>
                <w:color w:val="000000"/>
                <w:sz w:val="20"/>
                <w:szCs w:val="22"/>
              </w:rPr>
            </w:pPr>
            <w:r>
              <w:rPr>
                <w:b/>
                <w:bCs/>
                <w:noProof/>
                <w:color w:val="000000"/>
                <w:sz w:val="20"/>
                <w:szCs w:val="22"/>
              </w:rPr>
              <w:t> </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rPr>
                <w:i/>
                <w:iCs/>
                <w:noProof/>
                <w:color w:val="000000"/>
                <w:sz w:val="20"/>
                <w:szCs w:val="22"/>
              </w:rPr>
            </w:pPr>
            <w:r>
              <w:rPr>
                <w:i/>
                <w:iCs/>
                <w:noProof/>
                <w:color w:val="000000"/>
                <w:sz w:val="20"/>
                <w:szCs w:val="22"/>
              </w:rPr>
              <w:t>Commitments ceiling</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164,1</w:t>
            </w:r>
          </w:p>
        </w:tc>
        <w:tc>
          <w:tcPr>
            <w:tcW w:w="1134" w:type="dxa"/>
            <w:tcBorders>
              <w:top w:val="nil"/>
              <w:left w:val="nil"/>
              <w:bottom w:val="nil"/>
              <w:right w:val="single" w:sz="8" w:space="0" w:color="auto"/>
            </w:tcBorders>
            <w:shd w:val="clear" w:color="auto" w:fill="auto"/>
            <w:vAlign w:val="center"/>
            <w:hideMark/>
          </w:tcPr>
          <w:p>
            <w:pPr>
              <w:spacing w:before="40" w:after="40"/>
              <w:jc w:val="right"/>
              <w:rPr>
                <w:i/>
                <w:iCs/>
                <w:noProof/>
                <w:color w:val="000000"/>
                <w:sz w:val="20"/>
                <w:szCs w:val="22"/>
              </w:rPr>
            </w:pPr>
            <w:r>
              <w:rPr>
                <w:i/>
                <w:iCs/>
                <w:noProof/>
                <w:color w:val="000000"/>
                <w:sz w:val="20"/>
                <w:szCs w:val="22"/>
              </w:rPr>
              <w:t>168,8</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166,7</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173,7</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179,4</w:t>
            </w:r>
          </w:p>
        </w:tc>
      </w:tr>
      <w:tr>
        <w:trPr>
          <w:trHeight w:val="227"/>
        </w:trPr>
        <w:tc>
          <w:tcPr>
            <w:tcW w:w="4479"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rPr>
                <w:i/>
                <w:iCs/>
                <w:noProof/>
                <w:color w:val="000000"/>
                <w:sz w:val="20"/>
                <w:szCs w:val="22"/>
              </w:rPr>
            </w:pPr>
            <w:r>
              <w:rPr>
                <w:i/>
                <w:iCs/>
                <w:noProof/>
                <w:color w:val="000000"/>
                <w:sz w:val="20"/>
                <w:szCs w:val="22"/>
              </w:rPr>
              <w:t>Payments ceiling</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166,7</w:t>
            </w:r>
          </w:p>
        </w:tc>
        <w:tc>
          <w:tcPr>
            <w:tcW w:w="1134" w:type="dxa"/>
            <w:tcBorders>
              <w:top w:val="nil"/>
              <w:left w:val="nil"/>
              <w:bottom w:val="single" w:sz="8" w:space="0" w:color="auto"/>
              <w:right w:val="single" w:sz="8" w:space="0" w:color="auto"/>
            </w:tcBorders>
            <w:shd w:val="clear" w:color="auto" w:fill="auto"/>
            <w:vAlign w:val="center"/>
            <w:hideMark/>
          </w:tcPr>
          <w:p>
            <w:pPr>
              <w:spacing w:before="40" w:after="40"/>
              <w:jc w:val="right"/>
              <w:rPr>
                <w:i/>
                <w:iCs/>
                <w:noProof/>
                <w:color w:val="000000"/>
                <w:sz w:val="20"/>
                <w:szCs w:val="22"/>
              </w:rPr>
            </w:pPr>
            <w:r>
              <w:rPr>
                <w:i/>
                <w:iCs/>
                <w:noProof/>
                <w:color w:val="000000"/>
                <w:sz w:val="20"/>
                <w:szCs w:val="22"/>
              </w:rPr>
              <w:t>172,2</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159,4</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164,0</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177,3</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rPr>
                <w:b/>
                <w:bCs/>
                <w:noProof/>
                <w:color w:val="000000"/>
                <w:sz w:val="20"/>
                <w:szCs w:val="22"/>
              </w:rPr>
            </w:pPr>
            <w:r>
              <w:rPr>
                <w:b/>
                <w:bCs/>
                <w:noProof/>
                <w:color w:val="000000"/>
                <w:sz w:val="20"/>
                <w:szCs w:val="22"/>
              </w:rPr>
              <w:t>Commitment appropriations</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164,9</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167,8</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166,7</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173,7</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179,4</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rPr>
                <w:b/>
                <w:bCs/>
                <w:noProof/>
                <w:color w:val="000000"/>
                <w:sz w:val="20"/>
                <w:szCs w:val="22"/>
              </w:rPr>
            </w:pPr>
            <w:r>
              <w:rPr>
                <w:b/>
                <w:bCs/>
                <w:noProof/>
                <w:color w:val="000000"/>
                <w:sz w:val="20"/>
                <w:szCs w:val="22"/>
              </w:rPr>
              <w:t>Payment appropriations</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148,1</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160,1</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159,4</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164,0</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177,3</w:t>
            </w:r>
          </w:p>
        </w:tc>
      </w:tr>
      <w:tr>
        <w:trPr>
          <w:trHeight w:val="227"/>
        </w:trPr>
        <w:tc>
          <w:tcPr>
            <w:tcW w:w="447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pPr>
              <w:spacing w:before="40" w:after="40"/>
              <w:rPr>
                <w:noProof/>
                <w:color w:val="000000"/>
                <w:sz w:val="20"/>
                <w:szCs w:val="22"/>
              </w:rPr>
            </w:pPr>
            <w:r>
              <w:rPr>
                <w:noProof/>
                <w:color w:val="000000"/>
                <w:sz w:val="20"/>
                <w:szCs w:val="22"/>
              </w:rPr>
              <w:t>of which payments pre-2021 commitments</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148,1</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160,1</w:t>
            </w:r>
          </w:p>
        </w:tc>
        <w:tc>
          <w:tcPr>
            <w:tcW w:w="1134" w:type="dxa"/>
            <w:tcBorders>
              <w:top w:val="single" w:sz="8" w:space="0" w:color="auto"/>
              <w:left w:val="nil"/>
              <w:bottom w:val="single" w:sz="4" w:space="0" w:color="auto"/>
              <w:right w:val="nil"/>
            </w:tcBorders>
            <w:shd w:val="clear" w:color="auto" w:fill="auto"/>
            <w:noWrap/>
            <w:vAlign w:val="center"/>
            <w:hideMark/>
          </w:tcPr>
          <w:p>
            <w:pPr>
              <w:spacing w:before="40" w:after="40"/>
              <w:jc w:val="right"/>
              <w:rPr>
                <w:noProof/>
                <w:color w:val="000000"/>
                <w:sz w:val="20"/>
                <w:szCs w:val="22"/>
              </w:rPr>
            </w:pPr>
            <w:r>
              <w:rPr>
                <w:noProof/>
                <w:color w:val="000000"/>
                <w:sz w:val="20"/>
                <w:szCs w:val="22"/>
              </w:rPr>
              <w:t>88,1</w:t>
            </w:r>
          </w:p>
        </w:tc>
        <w:tc>
          <w:tcPr>
            <w:tcW w:w="113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76,6</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56,0</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1a. Competitiveness for growth and jobs</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20,5</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23,0</w:t>
            </w:r>
          </w:p>
        </w:tc>
        <w:tc>
          <w:tcPr>
            <w:tcW w:w="1134" w:type="dxa"/>
            <w:tcBorders>
              <w:top w:val="nil"/>
              <w:left w:val="nil"/>
              <w:bottom w:val="nil"/>
              <w:right w:val="nil"/>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13,9</w:t>
            </w:r>
          </w:p>
        </w:tc>
        <w:tc>
          <w:tcPr>
            <w:tcW w:w="1134"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9,0</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6,4</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1b. Economic, social and territorial cohesion</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47,0</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52,1</w:t>
            </w:r>
          </w:p>
        </w:tc>
        <w:tc>
          <w:tcPr>
            <w:tcW w:w="1134" w:type="dxa"/>
            <w:tcBorders>
              <w:top w:val="nil"/>
              <w:left w:val="nil"/>
              <w:bottom w:val="nil"/>
              <w:right w:val="nil"/>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48,5</w:t>
            </w:r>
          </w:p>
        </w:tc>
        <w:tc>
          <w:tcPr>
            <w:tcW w:w="1134"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47,8</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36,7</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2. Sustainable Growth: Natural Resources</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57,6</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59,6</w:t>
            </w:r>
          </w:p>
        </w:tc>
        <w:tc>
          <w:tcPr>
            <w:tcW w:w="1134" w:type="dxa"/>
            <w:tcBorders>
              <w:top w:val="nil"/>
              <w:left w:val="nil"/>
              <w:bottom w:val="nil"/>
              <w:right w:val="nil"/>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15,2</w:t>
            </w:r>
          </w:p>
        </w:tc>
        <w:tc>
          <w:tcPr>
            <w:tcW w:w="1134"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11,8</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7,3</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3. Security and citizenship</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3,5</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4,1</w:t>
            </w:r>
          </w:p>
        </w:tc>
        <w:tc>
          <w:tcPr>
            <w:tcW w:w="1134" w:type="dxa"/>
            <w:tcBorders>
              <w:top w:val="nil"/>
              <w:left w:val="nil"/>
              <w:bottom w:val="nil"/>
              <w:right w:val="nil"/>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1,7</w:t>
            </w:r>
          </w:p>
        </w:tc>
        <w:tc>
          <w:tcPr>
            <w:tcW w:w="1134"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0,7</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0,2</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4. Global Europe</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9,5</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11,0</w:t>
            </w:r>
          </w:p>
        </w:tc>
        <w:tc>
          <w:tcPr>
            <w:tcW w:w="1134" w:type="dxa"/>
            <w:tcBorders>
              <w:top w:val="nil"/>
              <w:left w:val="nil"/>
              <w:bottom w:val="nil"/>
              <w:right w:val="nil"/>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8,9</w:t>
            </w:r>
          </w:p>
        </w:tc>
        <w:tc>
          <w:tcPr>
            <w:tcW w:w="1134"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7,3</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5,4</w:t>
            </w:r>
          </w:p>
        </w:tc>
      </w:tr>
      <w:tr>
        <w:trPr>
          <w:trHeight w:val="227"/>
        </w:trPr>
        <w:tc>
          <w:tcPr>
            <w:tcW w:w="4479"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 xml:space="preserve">5. Administration </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10,0</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10,3</w:t>
            </w:r>
          </w:p>
        </w:tc>
        <w:tc>
          <w:tcPr>
            <w:tcW w:w="1134" w:type="dxa"/>
            <w:tcBorders>
              <w:top w:val="nil"/>
              <w:left w:val="nil"/>
              <w:bottom w:val="single" w:sz="8" w:space="0" w:color="auto"/>
              <w:right w:val="nil"/>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0,0</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0,0</w:t>
            </w:r>
          </w:p>
        </w:tc>
      </w:tr>
      <w:tr>
        <w:trPr>
          <w:trHeight w:val="227"/>
        </w:trPr>
        <w:tc>
          <w:tcPr>
            <w:tcW w:w="4479" w:type="dxa"/>
            <w:tcBorders>
              <w:top w:val="nil"/>
              <w:left w:val="single" w:sz="8" w:space="0" w:color="auto"/>
              <w:bottom w:val="single" w:sz="4" w:space="0" w:color="auto"/>
              <w:right w:val="single" w:sz="8" w:space="0" w:color="auto"/>
            </w:tcBorders>
            <w:shd w:val="clear" w:color="auto" w:fill="auto"/>
            <w:noWrap/>
            <w:vAlign w:val="center"/>
            <w:hideMark/>
          </w:tcPr>
          <w:p>
            <w:pPr>
              <w:spacing w:before="40" w:after="40"/>
              <w:rPr>
                <w:noProof/>
                <w:color w:val="000000"/>
                <w:sz w:val="20"/>
                <w:szCs w:val="22"/>
              </w:rPr>
            </w:pPr>
            <w:r>
              <w:rPr>
                <w:noProof/>
                <w:color w:val="000000"/>
                <w:sz w:val="20"/>
                <w:szCs w:val="22"/>
              </w:rPr>
              <w:t>of which payments on 2021-2023 commitments*</w:t>
            </w:r>
          </w:p>
        </w:tc>
        <w:tc>
          <w:tcPr>
            <w:tcW w:w="1134" w:type="dxa"/>
            <w:tcBorders>
              <w:top w:val="nil"/>
              <w:left w:val="single" w:sz="8" w:space="0" w:color="auto"/>
              <w:bottom w:val="single" w:sz="4" w:space="0" w:color="auto"/>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szCs w:val="22"/>
              </w:rPr>
              <w:t> </w:t>
            </w:r>
          </w:p>
        </w:tc>
        <w:tc>
          <w:tcPr>
            <w:tcW w:w="1134" w:type="dxa"/>
            <w:tcBorders>
              <w:top w:val="nil"/>
              <w:left w:val="nil"/>
              <w:bottom w:val="single" w:sz="4" w:space="0" w:color="auto"/>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71,2</w:t>
            </w:r>
          </w:p>
        </w:tc>
        <w:tc>
          <w:tcPr>
            <w:tcW w:w="1134" w:type="dxa"/>
            <w:tcBorders>
              <w:top w:val="nil"/>
              <w:left w:val="nil"/>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87,3</w:t>
            </w:r>
          </w:p>
        </w:tc>
        <w:tc>
          <w:tcPr>
            <w:tcW w:w="1134" w:type="dxa"/>
            <w:tcBorders>
              <w:top w:val="nil"/>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121,4</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 Single Market, Innovation and Digital</w:t>
            </w:r>
          </w:p>
        </w:tc>
        <w:tc>
          <w:tcPr>
            <w:tcW w:w="1134" w:type="dxa"/>
            <w:tcBorders>
              <w:top w:val="nil"/>
              <w:left w:val="single" w:sz="8" w:space="0" w:color="auto"/>
              <w:bottom w:val="nil"/>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szCs w:val="22"/>
              </w:rPr>
              <w:t> </w:t>
            </w:r>
          </w:p>
        </w:tc>
        <w:tc>
          <w:tcPr>
            <w:tcW w:w="1134" w:type="dxa"/>
            <w:tcBorders>
              <w:top w:val="nil"/>
              <w:left w:val="nil"/>
              <w:bottom w:val="nil"/>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szCs w:val="22"/>
              </w:rPr>
              <w:t> </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7,8</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14,2</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17,1</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 xml:space="preserve">2. Cohesion and Values </w:t>
            </w:r>
          </w:p>
        </w:tc>
        <w:tc>
          <w:tcPr>
            <w:tcW w:w="1134" w:type="dxa"/>
            <w:tcBorders>
              <w:top w:val="nil"/>
              <w:left w:val="single" w:sz="8" w:space="0" w:color="auto"/>
              <w:bottom w:val="nil"/>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szCs w:val="22"/>
              </w:rPr>
              <w:t> </w:t>
            </w:r>
          </w:p>
        </w:tc>
        <w:tc>
          <w:tcPr>
            <w:tcW w:w="1134" w:type="dxa"/>
            <w:tcBorders>
              <w:top w:val="nil"/>
              <w:left w:val="nil"/>
              <w:bottom w:val="nil"/>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szCs w:val="22"/>
              </w:rPr>
              <w:t> </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5,2</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6,8</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31,1</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3. Natural Resources and Environment</w:t>
            </w:r>
          </w:p>
        </w:tc>
        <w:tc>
          <w:tcPr>
            <w:tcW w:w="1134" w:type="dxa"/>
            <w:tcBorders>
              <w:top w:val="nil"/>
              <w:left w:val="single" w:sz="8" w:space="0" w:color="auto"/>
              <w:bottom w:val="nil"/>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szCs w:val="22"/>
              </w:rPr>
              <w:t> </w:t>
            </w:r>
          </w:p>
        </w:tc>
        <w:tc>
          <w:tcPr>
            <w:tcW w:w="1134" w:type="dxa"/>
            <w:tcBorders>
              <w:top w:val="nil"/>
              <w:left w:val="nil"/>
              <w:bottom w:val="nil"/>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szCs w:val="22"/>
              </w:rPr>
              <w:t> </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41,3</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44,8</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47,8</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4. Migration and Border Management</w:t>
            </w:r>
          </w:p>
        </w:tc>
        <w:tc>
          <w:tcPr>
            <w:tcW w:w="1134" w:type="dxa"/>
            <w:tcBorders>
              <w:top w:val="nil"/>
              <w:left w:val="single" w:sz="8" w:space="0" w:color="auto"/>
              <w:bottom w:val="nil"/>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szCs w:val="22"/>
              </w:rPr>
              <w:t> </w:t>
            </w:r>
          </w:p>
        </w:tc>
        <w:tc>
          <w:tcPr>
            <w:tcW w:w="1134" w:type="dxa"/>
            <w:tcBorders>
              <w:top w:val="nil"/>
              <w:left w:val="nil"/>
              <w:bottom w:val="nil"/>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szCs w:val="22"/>
              </w:rPr>
              <w:t> </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1,8</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2,4</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3,1</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5. Security and Defence</w:t>
            </w:r>
          </w:p>
        </w:tc>
        <w:tc>
          <w:tcPr>
            <w:tcW w:w="1134" w:type="dxa"/>
            <w:tcBorders>
              <w:top w:val="nil"/>
              <w:left w:val="single" w:sz="8" w:space="0" w:color="auto"/>
              <w:bottom w:val="nil"/>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szCs w:val="22"/>
              </w:rPr>
              <w:t> </w:t>
            </w:r>
          </w:p>
        </w:tc>
        <w:tc>
          <w:tcPr>
            <w:tcW w:w="1134" w:type="dxa"/>
            <w:tcBorders>
              <w:top w:val="nil"/>
              <w:left w:val="nil"/>
              <w:bottom w:val="nil"/>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szCs w:val="22"/>
              </w:rPr>
              <w:t> </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0,8</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1,5</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2,0</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6. Neighbourhood and the World</w:t>
            </w:r>
          </w:p>
        </w:tc>
        <w:tc>
          <w:tcPr>
            <w:tcW w:w="1134" w:type="dxa"/>
            <w:tcBorders>
              <w:top w:val="nil"/>
              <w:left w:val="single" w:sz="8" w:space="0" w:color="auto"/>
              <w:bottom w:val="nil"/>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szCs w:val="22"/>
              </w:rPr>
              <w:t> </w:t>
            </w:r>
          </w:p>
        </w:tc>
        <w:tc>
          <w:tcPr>
            <w:tcW w:w="1134" w:type="dxa"/>
            <w:tcBorders>
              <w:top w:val="nil"/>
              <w:left w:val="nil"/>
              <w:bottom w:val="nil"/>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szCs w:val="22"/>
              </w:rPr>
              <w:t> </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3,3</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6,2</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8,6</w:t>
            </w:r>
          </w:p>
        </w:tc>
      </w:tr>
      <w:tr>
        <w:trPr>
          <w:trHeight w:val="227"/>
        </w:trPr>
        <w:tc>
          <w:tcPr>
            <w:tcW w:w="4479"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7. European Public Administration</w:t>
            </w:r>
          </w:p>
        </w:tc>
        <w:tc>
          <w:tcPr>
            <w:tcW w:w="1134" w:type="dxa"/>
            <w:tcBorders>
              <w:top w:val="nil"/>
              <w:left w:val="single" w:sz="8" w:space="0" w:color="auto"/>
              <w:bottom w:val="single" w:sz="8" w:space="0" w:color="auto"/>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szCs w:val="22"/>
              </w:rPr>
              <w:t> </w:t>
            </w:r>
          </w:p>
        </w:tc>
        <w:tc>
          <w:tcPr>
            <w:tcW w:w="1134" w:type="dxa"/>
            <w:tcBorders>
              <w:top w:val="nil"/>
              <w:left w:val="nil"/>
              <w:bottom w:val="single" w:sz="8" w:space="0" w:color="auto"/>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szCs w:val="22"/>
              </w:rPr>
              <w:t> </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11,0</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11,4</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11,8</w:t>
            </w:r>
          </w:p>
        </w:tc>
      </w:tr>
      <w:tr>
        <w:trPr>
          <w:trHeight w:val="227"/>
        </w:trPr>
        <w:tc>
          <w:tcPr>
            <w:tcW w:w="4479"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rPr>
                <w:noProof/>
                <w:color w:val="000000"/>
                <w:sz w:val="20"/>
                <w:szCs w:val="22"/>
              </w:rPr>
            </w:pPr>
            <w:r>
              <w:rPr>
                <w:noProof/>
                <w:color w:val="000000"/>
                <w:sz w:val="20"/>
                <w:szCs w:val="22"/>
              </w:rPr>
              <w:t>Other special instruments**</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jc w:val="right"/>
              <w:rPr>
                <w:noProof/>
                <w:sz w:val="20"/>
                <w:szCs w:val="22"/>
              </w:rPr>
            </w:pPr>
            <w:r>
              <w:rPr>
                <w:noProof/>
                <w:sz w:val="20"/>
                <w:szCs w:val="22"/>
              </w:rPr>
              <w:t>0,4</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p.m.</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p.m.</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p.m.</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p.m.</w:t>
            </w:r>
          </w:p>
        </w:tc>
      </w:tr>
      <w:tr>
        <w:trPr>
          <w:trHeight w:val="227"/>
        </w:trPr>
        <w:tc>
          <w:tcPr>
            <w:tcW w:w="4479"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rPr>
                <w:b/>
                <w:bCs/>
                <w:noProof/>
                <w:color w:val="000000"/>
                <w:sz w:val="20"/>
                <w:szCs w:val="22"/>
              </w:rPr>
            </w:pPr>
            <w:r>
              <w:rPr>
                <w:b/>
                <w:bCs/>
                <w:noProof/>
                <w:color w:val="000000"/>
                <w:sz w:val="20"/>
                <w:szCs w:val="22"/>
              </w:rPr>
              <w:t>Total payment appropriations including special instruments</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jc w:val="right"/>
              <w:rPr>
                <w:b/>
                <w:bCs/>
                <w:noProof/>
                <w:sz w:val="20"/>
                <w:szCs w:val="22"/>
              </w:rPr>
            </w:pPr>
            <w:r>
              <w:rPr>
                <w:b/>
                <w:bCs/>
                <w:noProof/>
                <w:sz w:val="20"/>
                <w:szCs w:val="22"/>
              </w:rPr>
              <w:t>148,5</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b/>
                <w:bCs/>
                <w:noProof/>
                <w:color w:val="000000"/>
                <w:sz w:val="20"/>
                <w:szCs w:val="22"/>
              </w:rPr>
            </w:pPr>
            <w:r>
              <w:rPr>
                <w:b/>
                <w:bCs/>
                <w:noProof/>
                <w:color w:val="000000"/>
                <w:sz w:val="20"/>
                <w:szCs w:val="22"/>
              </w:rPr>
              <w:t>160,1</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2"/>
              </w:rPr>
            </w:pPr>
            <w:r>
              <w:rPr>
                <w:b/>
                <w:bCs/>
                <w:noProof/>
                <w:color w:val="000000"/>
                <w:sz w:val="20"/>
                <w:szCs w:val="22"/>
              </w:rPr>
              <w:t>159,4</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2"/>
              </w:rPr>
            </w:pPr>
            <w:r>
              <w:rPr>
                <w:b/>
                <w:bCs/>
                <w:noProof/>
                <w:color w:val="000000"/>
                <w:sz w:val="20"/>
                <w:szCs w:val="22"/>
              </w:rPr>
              <w:t>164,0</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b/>
                <w:bCs/>
                <w:noProof/>
                <w:color w:val="000000"/>
                <w:sz w:val="20"/>
                <w:szCs w:val="22"/>
              </w:rPr>
            </w:pPr>
            <w:r>
              <w:rPr>
                <w:b/>
                <w:bCs/>
                <w:noProof/>
                <w:color w:val="000000"/>
                <w:sz w:val="20"/>
                <w:szCs w:val="22"/>
              </w:rPr>
              <w:t>177,3</w:t>
            </w:r>
          </w:p>
        </w:tc>
      </w:tr>
      <w:tr>
        <w:trPr>
          <w:trHeight w:val="227"/>
        </w:trPr>
        <w:tc>
          <w:tcPr>
            <w:tcW w:w="4479" w:type="dxa"/>
            <w:tcBorders>
              <w:top w:val="nil"/>
              <w:left w:val="single" w:sz="8" w:space="0" w:color="auto"/>
              <w:bottom w:val="nil"/>
              <w:right w:val="nil"/>
            </w:tcBorders>
            <w:shd w:val="clear" w:color="auto" w:fill="auto"/>
            <w:noWrap/>
            <w:vAlign w:val="center"/>
            <w:hideMark/>
          </w:tcPr>
          <w:p>
            <w:pPr>
              <w:spacing w:before="40" w:after="40"/>
              <w:rPr>
                <w:noProof/>
                <w:color w:val="000000"/>
                <w:sz w:val="20"/>
                <w:szCs w:val="22"/>
              </w:rPr>
            </w:pPr>
            <w:r>
              <w:rPr>
                <w:noProof/>
                <w:color w:val="000000"/>
                <w:sz w:val="20"/>
                <w:szCs w:val="22"/>
              </w:rPr>
              <w:t> </w:t>
            </w:r>
          </w:p>
        </w:tc>
        <w:tc>
          <w:tcPr>
            <w:tcW w:w="1134" w:type="dxa"/>
            <w:tcBorders>
              <w:top w:val="nil"/>
              <w:left w:val="nil"/>
              <w:bottom w:val="nil"/>
              <w:right w:val="nil"/>
            </w:tcBorders>
            <w:shd w:val="clear" w:color="auto" w:fill="auto"/>
            <w:noWrap/>
            <w:vAlign w:val="center"/>
            <w:hideMark/>
          </w:tcPr>
          <w:p>
            <w:pPr>
              <w:spacing w:before="40" w:after="40"/>
              <w:rPr>
                <w:noProof/>
                <w:sz w:val="20"/>
                <w:szCs w:val="22"/>
              </w:rPr>
            </w:pPr>
          </w:p>
        </w:tc>
        <w:tc>
          <w:tcPr>
            <w:tcW w:w="1134" w:type="dxa"/>
            <w:tcBorders>
              <w:top w:val="nil"/>
              <w:left w:val="nil"/>
              <w:bottom w:val="nil"/>
              <w:right w:val="nil"/>
            </w:tcBorders>
            <w:shd w:val="clear" w:color="auto" w:fill="auto"/>
            <w:noWrap/>
            <w:vAlign w:val="center"/>
            <w:hideMark/>
          </w:tcPr>
          <w:p>
            <w:pPr>
              <w:spacing w:before="40" w:after="40"/>
              <w:rPr>
                <w:noProof/>
                <w:color w:val="000000"/>
                <w:sz w:val="20"/>
                <w:szCs w:val="22"/>
              </w:rPr>
            </w:pPr>
          </w:p>
        </w:tc>
        <w:tc>
          <w:tcPr>
            <w:tcW w:w="1134" w:type="dxa"/>
            <w:tcBorders>
              <w:top w:val="nil"/>
              <w:left w:val="nil"/>
              <w:bottom w:val="nil"/>
              <w:right w:val="nil"/>
            </w:tcBorders>
            <w:shd w:val="clear" w:color="auto" w:fill="auto"/>
            <w:noWrap/>
            <w:vAlign w:val="center"/>
            <w:hideMark/>
          </w:tcPr>
          <w:p>
            <w:pPr>
              <w:spacing w:before="40" w:after="40"/>
              <w:rPr>
                <w:noProof/>
                <w:color w:val="000000"/>
                <w:sz w:val="20"/>
                <w:szCs w:val="22"/>
              </w:rPr>
            </w:pPr>
          </w:p>
        </w:tc>
        <w:tc>
          <w:tcPr>
            <w:tcW w:w="1134" w:type="dxa"/>
            <w:tcBorders>
              <w:top w:val="nil"/>
              <w:left w:val="nil"/>
              <w:bottom w:val="nil"/>
              <w:right w:val="nil"/>
            </w:tcBorders>
            <w:shd w:val="clear" w:color="auto" w:fill="auto"/>
            <w:noWrap/>
            <w:vAlign w:val="center"/>
            <w:hideMark/>
          </w:tcPr>
          <w:p>
            <w:pPr>
              <w:spacing w:before="40" w:after="40"/>
              <w:rPr>
                <w:noProof/>
                <w:color w:val="000000"/>
                <w:sz w:val="20"/>
                <w:szCs w:val="22"/>
              </w:rPr>
            </w:pPr>
          </w:p>
        </w:tc>
        <w:tc>
          <w:tcPr>
            <w:tcW w:w="1134" w:type="dxa"/>
            <w:tcBorders>
              <w:top w:val="nil"/>
              <w:left w:val="nil"/>
              <w:bottom w:val="nil"/>
              <w:right w:val="single" w:sz="8" w:space="0" w:color="auto"/>
            </w:tcBorders>
            <w:shd w:val="clear" w:color="auto" w:fill="auto"/>
            <w:noWrap/>
            <w:vAlign w:val="center"/>
            <w:hideMark/>
          </w:tcPr>
          <w:p>
            <w:pPr>
              <w:spacing w:before="40" w:after="40"/>
              <w:rPr>
                <w:noProof/>
                <w:color w:val="000000"/>
                <w:sz w:val="20"/>
                <w:szCs w:val="22"/>
              </w:rPr>
            </w:pPr>
            <w:r>
              <w:rPr>
                <w:noProof/>
                <w:color w:val="000000"/>
                <w:sz w:val="20"/>
                <w:szCs w:val="22"/>
              </w:rPr>
              <w:t> </w:t>
            </w:r>
          </w:p>
        </w:tc>
      </w:tr>
      <w:tr>
        <w:trPr>
          <w:trHeight w:val="227"/>
        </w:trPr>
        <w:tc>
          <w:tcPr>
            <w:tcW w:w="4479" w:type="dxa"/>
            <w:tcBorders>
              <w:top w:val="single" w:sz="8" w:space="0" w:color="auto"/>
              <w:left w:val="single" w:sz="8" w:space="0" w:color="auto"/>
              <w:bottom w:val="single" w:sz="4" w:space="0" w:color="auto"/>
              <w:right w:val="nil"/>
            </w:tcBorders>
            <w:shd w:val="clear" w:color="000000" w:fill="CCFFCC"/>
            <w:noWrap/>
            <w:vAlign w:val="center"/>
            <w:hideMark/>
          </w:tcPr>
          <w:p>
            <w:pPr>
              <w:spacing w:before="40" w:after="40"/>
              <w:rPr>
                <w:b/>
                <w:bCs/>
                <w:noProof/>
                <w:color w:val="000000"/>
                <w:sz w:val="20"/>
              </w:rPr>
            </w:pPr>
            <w:r>
              <w:rPr>
                <w:b/>
                <w:bCs/>
                <w:noProof/>
                <w:color w:val="000000"/>
                <w:sz w:val="20"/>
              </w:rPr>
              <w:t>INFLOWS</w:t>
            </w:r>
          </w:p>
        </w:tc>
        <w:tc>
          <w:tcPr>
            <w:tcW w:w="1134" w:type="dxa"/>
            <w:tcBorders>
              <w:top w:val="single" w:sz="8" w:space="0" w:color="auto"/>
              <w:left w:val="nil"/>
              <w:bottom w:val="single" w:sz="4" w:space="0" w:color="auto"/>
              <w:right w:val="nil"/>
            </w:tcBorders>
            <w:shd w:val="clear" w:color="000000" w:fill="CCFFCC"/>
            <w:noWrap/>
            <w:vAlign w:val="center"/>
            <w:hideMark/>
          </w:tcPr>
          <w:p>
            <w:pPr>
              <w:spacing w:before="40" w:after="40"/>
              <w:rPr>
                <w:noProof/>
                <w:sz w:val="20"/>
                <w:szCs w:val="22"/>
              </w:rPr>
            </w:pPr>
            <w:r>
              <w:rPr>
                <w:noProof/>
                <w:sz w:val="20"/>
                <w:szCs w:val="22"/>
              </w:rPr>
              <w:t> </w:t>
            </w:r>
          </w:p>
        </w:tc>
        <w:tc>
          <w:tcPr>
            <w:tcW w:w="1134" w:type="dxa"/>
            <w:tcBorders>
              <w:top w:val="single" w:sz="8" w:space="0" w:color="auto"/>
              <w:left w:val="nil"/>
              <w:bottom w:val="single" w:sz="4" w:space="0" w:color="auto"/>
              <w:right w:val="nil"/>
            </w:tcBorders>
            <w:shd w:val="clear" w:color="000000" w:fill="CCFFCC"/>
            <w:noWrap/>
            <w:vAlign w:val="center"/>
            <w:hideMark/>
          </w:tcPr>
          <w:p>
            <w:pPr>
              <w:spacing w:before="40" w:after="40"/>
              <w:rPr>
                <w:noProof/>
                <w:color w:val="000000"/>
                <w:sz w:val="20"/>
                <w:szCs w:val="22"/>
              </w:rPr>
            </w:pPr>
            <w:r>
              <w:rPr>
                <w:noProof/>
                <w:color w:val="000000"/>
                <w:sz w:val="20"/>
                <w:szCs w:val="22"/>
              </w:rPr>
              <w:t> </w:t>
            </w:r>
          </w:p>
        </w:tc>
        <w:tc>
          <w:tcPr>
            <w:tcW w:w="1134" w:type="dxa"/>
            <w:tcBorders>
              <w:top w:val="single" w:sz="8" w:space="0" w:color="auto"/>
              <w:left w:val="nil"/>
              <w:bottom w:val="single" w:sz="4" w:space="0" w:color="auto"/>
              <w:right w:val="nil"/>
            </w:tcBorders>
            <w:shd w:val="clear" w:color="000000" w:fill="CCFFCC"/>
            <w:noWrap/>
            <w:vAlign w:val="center"/>
            <w:hideMark/>
          </w:tcPr>
          <w:p>
            <w:pPr>
              <w:spacing w:before="40" w:after="40"/>
              <w:rPr>
                <w:noProof/>
                <w:color w:val="000000"/>
                <w:sz w:val="20"/>
                <w:szCs w:val="22"/>
              </w:rPr>
            </w:pPr>
            <w:r>
              <w:rPr>
                <w:noProof/>
                <w:color w:val="000000"/>
                <w:sz w:val="20"/>
                <w:szCs w:val="22"/>
              </w:rPr>
              <w:t> </w:t>
            </w:r>
          </w:p>
        </w:tc>
        <w:tc>
          <w:tcPr>
            <w:tcW w:w="1134" w:type="dxa"/>
            <w:tcBorders>
              <w:top w:val="single" w:sz="8" w:space="0" w:color="auto"/>
              <w:left w:val="nil"/>
              <w:bottom w:val="single" w:sz="4" w:space="0" w:color="auto"/>
              <w:right w:val="nil"/>
            </w:tcBorders>
            <w:shd w:val="clear" w:color="000000" w:fill="CCFFCC"/>
            <w:noWrap/>
            <w:vAlign w:val="center"/>
            <w:hideMark/>
          </w:tcPr>
          <w:p>
            <w:pPr>
              <w:spacing w:before="40" w:after="40"/>
              <w:rPr>
                <w:noProof/>
                <w:color w:val="000000"/>
                <w:sz w:val="20"/>
                <w:szCs w:val="22"/>
              </w:rPr>
            </w:pPr>
            <w:r>
              <w:rPr>
                <w:noProof/>
                <w:color w:val="000000"/>
                <w:sz w:val="20"/>
                <w:szCs w:val="22"/>
              </w:rPr>
              <w:t> </w:t>
            </w:r>
          </w:p>
        </w:tc>
        <w:tc>
          <w:tcPr>
            <w:tcW w:w="1134" w:type="dxa"/>
            <w:tcBorders>
              <w:top w:val="single" w:sz="8" w:space="0" w:color="auto"/>
              <w:left w:val="nil"/>
              <w:bottom w:val="single" w:sz="4" w:space="0" w:color="auto"/>
              <w:right w:val="single" w:sz="8" w:space="0" w:color="auto"/>
            </w:tcBorders>
            <w:shd w:val="clear" w:color="000000" w:fill="CCFFCC"/>
            <w:noWrap/>
            <w:vAlign w:val="center"/>
            <w:hideMark/>
          </w:tcPr>
          <w:p>
            <w:pPr>
              <w:spacing w:before="40" w:after="40"/>
              <w:rPr>
                <w:noProof/>
                <w:color w:val="000000"/>
                <w:sz w:val="20"/>
                <w:szCs w:val="22"/>
              </w:rPr>
            </w:pPr>
            <w:r>
              <w:rPr>
                <w:noProof/>
                <w:color w:val="000000"/>
                <w:sz w:val="20"/>
                <w:szCs w:val="22"/>
              </w:rPr>
              <w:t> </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rPr>
                <w:noProof/>
                <w:color w:val="000000"/>
                <w:sz w:val="20"/>
                <w:szCs w:val="22"/>
              </w:rPr>
            </w:pPr>
            <w:r>
              <w:rPr>
                <w:noProof/>
                <w:color w:val="000000"/>
                <w:sz w:val="20"/>
                <w:szCs w:val="22"/>
              </w:rPr>
              <w:t>Total own resources:</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noProof/>
                <w:sz w:val="20"/>
                <w:szCs w:val="22"/>
              </w:rPr>
            </w:pPr>
            <w:r>
              <w:rPr>
                <w:noProof/>
                <w:sz w:val="20"/>
                <w:szCs w:val="22"/>
              </w:rPr>
              <w:t>146,6</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158,2</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157,5</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162,1</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175,4</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iCs/>
                <w:noProof/>
                <w:color w:val="000000"/>
                <w:sz w:val="20"/>
                <w:szCs w:val="22"/>
              </w:rPr>
              <w:t>of which net amount of traditional own resources</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noProof/>
                <w:sz w:val="20"/>
                <w:szCs w:val="22"/>
              </w:rPr>
            </w:pPr>
            <w:r>
              <w:rPr>
                <w:noProof/>
                <w:sz w:val="20"/>
                <w:szCs w:val="22"/>
              </w:rPr>
              <w:t>21,5</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22,2</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21,8</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22,4</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23,2</w:t>
            </w:r>
          </w:p>
        </w:tc>
      </w:tr>
      <w:tr>
        <w:trPr>
          <w:trHeight w:val="227"/>
        </w:trPr>
        <w:tc>
          <w:tcPr>
            <w:tcW w:w="4479" w:type="dxa"/>
            <w:tcBorders>
              <w:top w:val="nil"/>
              <w:left w:val="single" w:sz="8" w:space="0" w:color="auto"/>
              <w:bottom w:val="single" w:sz="4" w:space="0" w:color="auto"/>
              <w:right w:val="single" w:sz="8" w:space="0" w:color="auto"/>
            </w:tcBorders>
            <w:shd w:val="clear" w:color="auto" w:fill="auto"/>
            <w:vAlign w:val="center"/>
            <w:hideMark/>
          </w:tcPr>
          <w:p>
            <w:pPr>
              <w:spacing w:before="40" w:after="40"/>
              <w:jc w:val="right"/>
              <w:rPr>
                <w:i/>
                <w:iCs/>
                <w:noProof/>
                <w:color w:val="000000"/>
                <w:sz w:val="20"/>
                <w:szCs w:val="22"/>
              </w:rPr>
            </w:pPr>
            <w:r>
              <w:rPr>
                <w:i/>
                <w:iCs/>
                <w:noProof/>
                <w:color w:val="000000"/>
                <w:sz w:val="20"/>
                <w:szCs w:val="22"/>
              </w:rPr>
              <w:t>of which national contributions***</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pPr>
              <w:spacing w:before="40" w:after="40"/>
              <w:jc w:val="right"/>
              <w:rPr>
                <w:noProof/>
                <w:sz w:val="20"/>
                <w:szCs w:val="22"/>
              </w:rPr>
            </w:pPr>
            <w:r>
              <w:rPr>
                <w:noProof/>
                <w:sz w:val="20"/>
                <w:szCs w:val="22"/>
              </w:rPr>
              <w:t>125,1</w:t>
            </w:r>
          </w:p>
        </w:tc>
        <w:tc>
          <w:tcPr>
            <w:tcW w:w="1134" w:type="dxa"/>
            <w:tcBorders>
              <w:top w:val="nil"/>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136,0</w:t>
            </w:r>
          </w:p>
        </w:tc>
        <w:tc>
          <w:tcPr>
            <w:tcW w:w="1134" w:type="dxa"/>
            <w:tcBorders>
              <w:top w:val="nil"/>
              <w:left w:val="nil"/>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135,7</w:t>
            </w:r>
          </w:p>
        </w:tc>
        <w:tc>
          <w:tcPr>
            <w:tcW w:w="1134" w:type="dxa"/>
            <w:tcBorders>
              <w:top w:val="nil"/>
              <w:left w:val="nil"/>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139,6</w:t>
            </w:r>
          </w:p>
        </w:tc>
        <w:tc>
          <w:tcPr>
            <w:tcW w:w="1134" w:type="dxa"/>
            <w:tcBorders>
              <w:top w:val="nil"/>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152,3</w:t>
            </w:r>
          </w:p>
        </w:tc>
      </w:tr>
      <w:tr>
        <w:trPr>
          <w:trHeight w:val="227"/>
        </w:trPr>
        <w:tc>
          <w:tcPr>
            <w:tcW w:w="4479" w:type="dxa"/>
            <w:tcBorders>
              <w:top w:val="nil"/>
              <w:left w:val="single" w:sz="8" w:space="0" w:color="auto"/>
              <w:bottom w:val="nil"/>
              <w:right w:val="single" w:sz="8" w:space="0" w:color="auto"/>
            </w:tcBorders>
            <w:shd w:val="clear" w:color="auto" w:fill="auto"/>
            <w:vAlign w:val="center"/>
            <w:hideMark/>
          </w:tcPr>
          <w:p>
            <w:pPr>
              <w:spacing w:before="40" w:after="40"/>
              <w:rPr>
                <w:noProof/>
                <w:color w:val="000000"/>
                <w:sz w:val="20"/>
                <w:szCs w:val="22"/>
              </w:rPr>
            </w:pPr>
            <w:r>
              <w:rPr>
                <w:noProof/>
                <w:color w:val="000000"/>
                <w:sz w:val="20"/>
                <w:szCs w:val="22"/>
              </w:rPr>
              <w:t>Other revenue</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noProof/>
                <w:sz w:val="20"/>
                <w:szCs w:val="22"/>
              </w:rPr>
            </w:pPr>
            <w:r>
              <w:rPr>
                <w:noProof/>
                <w:sz w:val="20"/>
                <w:szCs w:val="22"/>
              </w:rPr>
              <w:t>1,9</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1,9</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1,9</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1,9</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szCs w:val="22"/>
              </w:rPr>
              <w:t>1,9</w:t>
            </w:r>
          </w:p>
        </w:tc>
      </w:tr>
      <w:tr>
        <w:trPr>
          <w:trHeight w:val="227"/>
        </w:trPr>
        <w:tc>
          <w:tcPr>
            <w:tcW w:w="447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pPr>
              <w:spacing w:before="40" w:after="40"/>
              <w:rPr>
                <w:b/>
                <w:bCs/>
                <w:noProof/>
                <w:color w:val="000000"/>
                <w:sz w:val="20"/>
                <w:szCs w:val="22"/>
              </w:rPr>
            </w:pPr>
            <w:r>
              <w:rPr>
                <w:b/>
                <w:bCs/>
                <w:noProof/>
                <w:color w:val="000000"/>
                <w:sz w:val="20"/>
                <w:szCs w:val="22"/>
              </w:rPr>
              <w:t>Total revenue</w:t>
            </w:r>
          </w:p>
        </w:tc>
        <w:tc>
          <w:tcPr>
            <w:tcW w:w="113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pPr>
              <w:spacing w:before="40" w:after="40"/>
              <w:jc w:val="right"/>
              <w:rPr>
                <w:b/>
                <w:bCs/>
                <w:noProof/>
                <w:sz w:val="20"/>
                <w:szCs w:val="22"/>
              </w:rPr>
            </w:pPr>
            <w:r>
              <w:rPr>
                <w:b/>
                <w:bCs/>
                <w:noProof/>
                <w:sz w:val="20"/>
                <w:szCs w:val="22"/>
              </w:rPr>
              <w:t>148,5</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pPr>
              <w:spacing w:before="40" w:after="40"/>
              <w:jc w:val="right"/>
              <w:rPr>
                <w:b/>
                <w:bCs/>
                <w:noProof/>
                <w:color w:val="000000"/>
                <w:sz w:val="20"/>
                <w:szCs w:val="22"/>
              </w:rPr>
            </w:pPr>
            <w:r>
              <w:rPr>
                <w:b/>
                <w:bCs/>
                <w:noProof/>
                <w:color w:val="000000"/>
                <w:sz w:val="20"/>
                <w:szCs w:val="22"/>
              </w:rPr>
              <w:t>160,1</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2"/>
              </w:rPr>
            </w:pPr>
            <w:r>
              <w:rPr>
                <w:b/>
                <w:bCs/>
                <w:noProof/>
                <w:color w:val="000000"/>
                <w:sz w:val="20"/>
                <w:szCs w:val="22"/>
              </w:rPr>
              <w:t>159,4</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2"/>
              </w:rPr>
            </w:pPr>
            <w:r>
              <w:rPr>
                <w:b/>
                <w:bCs/>
                <w:noProof/>
                <w:color w:val="000000"/>
                <w:sz w:val="20"/>
                <w:szCs w:val="22"/>
              </w:rPr>
              <w:t>164,0</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pPr>
              <w:spacing w:before="40" w:after="40"/>
              <w:jc w:val="right"/>
              <w:rPr>
                <w:b/>
                <w:bCs/>
                <w:noProof/>
                <w:color w:val="000000"/>
                <w:sz w:val="20"/>
                <w:szCs w:val="22"/>
              </w:rPr>
            </w:pPr>
            <w:r>
              <w:rPr>
                <w:b/>
                <w:bCs/>
                <w:noProof/>
                <w:color w:val="000000"/>
                <w:sz w:val="20"/>
                <w:szCs w:val="22"/>
              </w:rPr>
              <w:t>177,3</w:t>
            </w:r>
          </w:p>
        </w:tc>
      </w:tr>
    </w:tbl>
    <w:p>
      <w:pPr>
        <w:rPr>
          <w:i/>
          <w:noProof/>
          <w:sz w:val="18"/>
          <w:szCs w:val="18"/>
        </w:rPr>
      </w:pPr>
      <w:r>
        <w:rPr>
          <w:noProof/>
          <w:sz w:val="18"/>
          <w:szCs w:val="18"/>
        </w:rPr>
        <w:t xml:space="preserve">* </w:t>
      </w:r>
      <w:r>
        <w:rPr>
          <w:i/>
          <w:noProof/>
          <w:sz w:val="18"/>
          <w:szCs w:val="18"/>
        </w:rPr>
        <w:t>Payments for the potential use of margins and also for the Union Reserve (corresponding to the assumed de-commitments) have been added in the total for each heading, tentatively distributed in proportion to the headings' margins.</w:t>
      </w:r>
    </w:p>
    <w:p>
      <w:pPr>
        <w:pStyle w:val="Text1"/>
        <w:spacing w:after="0"/>
        <w:ind w:left="0"/>
        <w:rPr>
          <w:i/>
          <w:noProof/>
          <w:sz w:val="18"/>
          <w:szCs w:val="18"/>
        </w:rPr>
      </w:pPr>
      <w:r>
        <w:rPr>
          <w:i/>
          <w:noProof/>
          <w:sz w:val="18"/>
          <w:szCs w:val="18"/>
        </w:rPr>
        <w:t xml:space="preserve">** The following amounts correspond to the payments foreseen in the Draft Budget 2019 for the European Globalisation Adjustment Fund, the European Union Solidarity Fund and the Emergency Aid Reserve. Due to their specific nature, the use of those instruments beyond 2019 cannot be forecast. </w:t>
      </w:r>
    </w:p>
    <w:p>
      <w:pPr>
        <w:pStyle w:val="Text1"/>
        <w:spacing w:after="0"/>
        <w:ind w:left="0"/>
        <w:rPr>
          <w:i/>
          <w:noProof/>
          <w:sz w:val="18"/>
          <w:szCs w:val="18"/>
        </w:rPr>
      </w:pPr>
      <w:r>
        <w:rPr>
          <w:i/>
          <w:noProof/>
          <w:sz w:val="18"/>
          <w:szCs w:val="18"/>
        </w:rPr>
        <w:t>The appropriations for those instruments are considered outside the Multiannual Financial Framework ceilings for the purposes of the calculation of the corresponding margins. This is also the case for the appropriations related to the Flexibility Instrument.</w:t>
      </w:r>
    </w:p>
    <w:p>
      <w:pPr>
        <w:pStyle w:val="Text1"/>
        <w:spacing w:after="0"/>
        <w:ind w:left="0"/>
        <w:rPr>
          <w:i/>
          <w:noProof/>
          <w:sz w:val="18"/>
          <w:szCs w:val="18"/>
        </w:rPr>
      </w:pPr>
      <w:r>
        <w:rPr>
          <w:i/>
          <w:noProof/>
          <w:sz w:val="18"/>
          <w:szCs w:val="18"/>
        </w:rPr>
        <w:t>*** National contributions include the Gross National Income-based own resource, the VAT-based own resource and new own resources included in the Commission proposal for the MFF 2021-2027. Any United Kingdom contribution for outstanding obligations at the end of 2020 would constitute other revenue and hence reduce national contributions, accordingly.</w:t>
      </w:r>
    </w:p>
    <w:p>
      <w:pPr>
        <w:pStyle w:val="Text1"/>
        <w:ind w:left="0"/>
        <w:rPr>
          <w:noProof/>
        </w:rPr>
      </w:pPr>
      <w:r>
        <w:rPr>
          <w:noProof/>
        </w:rPr>
        <w:br w:type="page"/>
      </w: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xml:space="preserve"> - De-commitments forecast over 2019-2023</w:t>
      </w:r>
    </w:p>
    <w:tbl>
      <w:tblPr>
        <w:tblW w:w="9881" w:type="dxa"/>
        <w:tblInd w:w="93" w:type="dxa"/>
        <w:tblLook w:val="04A0" w:firstRow="1" w:lastRow="0" w:firstColumn="1" w:lastColumn="0" w:noHBand="0" w:noVBand="1"/>
      </w:tblPr>
      <w:tblGrid>
        <w:gridCol w:w="236"/>
        <w:gridCol w:w="236"/>
        <w:gridCol w:w="236"/>
        <w:gridCol w:w="4394"/>
        <w:gridCol w:w="1372"/>
        <w:gridCol w:w="1701"/>
        <w:gridCol w:w="1706"/>
      </w:tblGrid>
      <w:tr>
        <w:trPr>
          <w:trHeight w:val="300"/>
        </w:trPr>
        <w:tc>
          <w:tcPr>
            <w:tcW w:w="236" w:type="dxa"/>
            <w:tcBorders>
              <w:top w:val="nil"/>
              <w:left w:val="nil"/>
              <w:bottom w:val="nil"/>
              <w:right w:val="nil"/>
            </w:tcBorders>
            <w:shd w:val="clear" w:color="auto" w:fill="auto"/>
            <w:noWrap/>
            <w:vAlign w:val="center"/>
            <w:hideMark/>
          </w:tcPr>
          <w:p>
            <w:pPr>
              <w:rPr>
                <w:noProof/>
                <w:color w:val="000000"/>
                <w:sz w:val="20"/>
                <w:szCs w:val="22"/>
              </w:rPr>
            </w:pPr>
          </w:p>
        </w:tc>
        <w:tc>
          <w:tcPr>
            <w:tcW w:w="236" w:type="dxa"/>
            <w:tcBorders>
              <w:top w:val="nil"/>
              <w:left w:val="nil"/>
              <w:bottom w:val="nil"/>
              <w:right w:val="nil"/>
            </w:tcBorders>
            <w:shd w:val="clear" w:color="auto" w:fill="auto"/>
            <w:noWrap/>
            <w:vAlign w:val="center"/>
            <w:hideMark/>
          </w:tcPr>
          <w:p>
            <w:pPr>
              <w:rPr>
                <w:noProof/>
                <w:color w:val="000000"/>
                <w:sz w:val="20"/>
                <w:szCs w:val="22"/>
              </w:rPr>
            </w:pPr>
          </w:p>
        </w:tc>
        <w:tc>
          <w:tcPr>
            <w:tcW w:w="236" w:type="dxa"/>
            <w:tcBorders>
              <w:top w:val="nil"/>
              <w:left w:val="nil"/>
              <w:bottom w:val="nil"/>
              <w:right w:val="nil"/>
            </w:tcBorders>
            <w:shd w:val="clear" w:color="auto" w:fill="auto"/>
            <w:noWrap/>
            <w:vAlign w:val="center"/>
            <w:hideMark/>
          </w:tcPr>
          <w:p>
            <w:pPr>
              <w:rPr>
                <w:noProof/>
                <w:color w:val="000000"/>
                <w:sz w:val="20"/>
                <w:szCs w:val="22"/>
              </w:rPr>
            </w:pPr>
          </w:p>
        </w:tc>
        <w:tc>
          <w:tcPr>
            <w:tcW w:w="9173" w:type="dxa"/>
            <w:gridSpan w:val="4"/>
            <w:tcBorders>
              <w:top w:val="nil"/>
              <w:left w:val="nil"/>
              <w:bottom w:val="nil"/>
              <w:right w:val="nil"/>
            </w:tcBorders>
            <w:shd w:val="clear" w:color="auto" w:fill="auto"/>
            <w:noWrap/>
            <w:vAlign w:val="center"/>
            <w:hideMark/>
          </w:tcPr>
          <w:p>
            <w:pPr>
              <w:jc w:val="right"/>
              <w:rPr>
                <w:i/>
                <w:iCs/>
                <w:noProof/>
                <w:color w:val="000000"/>
                <w:sz w:val="20"/>
                <w:szCs w:val="22"/>
              </w:rPr>
            </w:pPr>
            <w:r>
              <w:rPr>
                <w:i/>
                <w:iCs/>
                <w:noProof/>
                <w:color w:val="000000"/>
                <w:sz w:val="20"/>
                <w:szCs w:val="22"/>
              </w:rPr>
              <w:t>in EUR billion, current prices</w:t>
            </w:r>
          </w:p>
        </w:tc>
      </w:tr>
      <w:tr>
        <w:trPr>
          <w:trHeight w:val="675"/>
        </w:trPr>
        <w:tc>
          <w:tcPr>
            <w:tcW w:w="5102" w:type="dxa"/>
            <w:gridSpan w:val="4"/>
            <w:vMerge w:val="restart"/>
            <w:tcBorders>
              <w:top w:val="single" w:sz="4" w:space="0" w:color="4F81BD"/>
              <w:left w:val="nil"/>
              <w:bottom w:val="single" w:sz="4" w:space="0" w:color="4F81BD"/>
              <w:right w:val="nil"/>
            </w:tcBorders>
            <w:shd w:val="clear" w:color="auto" w:fill="auto"/>
            <w:vAlign w:val="center"/>
            <w:hideMark/>
          </w:tcPr>
          <w:p>
            <w:pPr>
              <w:jc w:val="center"/>
              <w:rPr>
                <w:b/>
                <w:bCs/>
                <w:noProof/>
                <w:sz w:val="20"/>
              </w:rPr>
            </w:pPr>
            <w:r>
              <w:rPr>
                <w:b/>
                <w:bCs/>
                <w:noProof/>
                <w:sz w:val="20"/>
              </w:rPr>
              <w:t>Decommitments*</w:t>
            </w:r>
          </w:p>
        </w:tc>
        <w:tc>
          <w:tcPr>
            <w:tcW w:w="1372" w:type="dxa"/>
            <w:tcBorders>
              <w:top w:val="single" w:sz="4" w:space="0" w:color="4F81BD"/>
              <w:left w:val="nil"/>
              <w:bottom w:val="single" w:sz="4" w:space="0" w:color="4F81BD"/>
              <w:right w:val="nil"/>
            </w:tcBorders>
            <w:shd w:val="clear" w:color="auto" w:fill="auto"/>
            <w:vAlign w:val="center"/>
            <w:hideMark/>
          </w:tcPr>
          <w:p>
            <w:pPr>
              <w:rPr>
                <w:b/>
                <w:bCs/>
                <w:noProof/>
                <w:sz w:val="20"/>
                <w:szCs w:val="22"/>
              </w:rPr>
            </w:pPr>
            <w:r>
              <w:rPr>
                <w:b/>
                <w:bCs/>
                <w:noProof/>
                <w:sz w:val="20"/>
                <w:szCs w:val="22"/>
              </w:rPr>
              <w:t>On pre-2014 commitments</w:t>
            </w:r>
          </w:p>
        </w:tc>
        <w:tc>
          <w:tcPr>
            <w:tcW w:w="1701" w:type="dxa"/>
            <w:tcBorders>
              <w:top w:val="single" w:sz="4" w:space="0" w:color="4F81BD"/>
              <w:left w:val="nil"/>
              <w:bottom w:val="single" w:sz="4" w:space="0" w:color="4F81BD"/>
              <w:right w:val="nil"/>
            </w:tcBorders>
            <w:shd w:val="clear" w:color="auto" w:fill="auto"/>
            <w:vAlign w:val="center"/>
            <w:hideMark/>
          </w:tcPr>
          <w:p>
            <w:pPr>
              <w:jc w:val="center"/>
              <w:rPr>
                <w:b/>
                <w:bCs/>
                <w:noProof/>
                <w:sz w:val="20"/>
                <w:szCs w:val="22"/>
              </w:rPr>
            </w:pPr>
            <w:r>
              <w:rPr>
                <w:b/>
                <w:bCs/>
                <w:noProof/>
                <w:sz w:val="20"/>
                <w:szCs w:val="22"/>
              </w:rPr>
              <w:t>On 2014-2020 commitments</w:t>
            </w:r>
          </w:p>
        </w:tc>
        <w:tc>
          <w:tcPr>
            <w:tcW w:w="1706" w:type="dxa"/>
            <w:tcBorders>
              <w:top w:val="single" w:sz="4" w:space="0" w:color="4F81BD"/>
              <w:left w:val="nil"/>
              <w:bottom w:val="nil"/>
              <w:right w:val="nil"/>
            </w:tcBorders>
            <w:shd w:val="clear" w:color="auto" w:fill="auto"/>
            <w:vAlign w:val="center"/>
            <w:hideMark/>
          </w:tcPr>
          <w:p>
            <w:pPr>
              <w:jc w:val="center"/>
              <w:rPr>
                <w:b/>
                <w:bCs/>
                <w:noProof/>
                <w:sz w:val="20"/>
                <w:szCs w:val="22"/>
              </w:rPr>
            </w:pPr>
            <w:r>
              <w:rPr>
                <w:b/>
                <w:bCs/>
                <w:noProof/>
                <w:sz w:val="20"/>
                <w:szCs w:val="22"/>
              </w:rPr>
              <w:t>TOTAL 2018-2023</w:t>
            </w:r>
          </w:p>
        </w:tc>
      </w:tr>
      <w:tr>
        <w:trPr>
          <w:trHeight w:val="300"/>
        </w:trPr>
        <w:tc>
          <w:tcPr>
            <w:tcW w:w="5102" w:type="dxa"/>
            <w:gridSpan w:val="4"/>
            <w:vMerge/>
            <w:tcBorders>
              <w:top w:val="single" w:sz="4" w:space="0" w:color="4F81BD"/>
              <w:left w:val="nil"/>
              <w:bottom w:val="single" w:sz="4" w:space="0" w:color="4F81BD"/>
              <w:right w:val="nil"/>
            </w:tcBorders>
            <w:vAlign w:val="center"/>
            <w:hideMark/>
          </w:tcPr>
          <w:p>
            <w:pPr>
              <w:rPr>
                <w:b/>
                <w:bCs/>
                <w:noProof/>
                <w:sz w:val="20"/>
              </w:rPr>
            </w:pPr>
          </w:p>
        </w:tc>
        <w:tc>
          <w:tcPr>
            <w:tcW w:w="1372" w:type="dxa"/>
            <w:tcBorders>
              <w:top w:val="nil"/>
              <w:left w:val="nil"/>
              <w:bottom w:val="nil"/>
              <w:right w:val="nil"/>
            </w:tcBorders>
            <w:shd w:val="clear" w:color="auto" w:fill="auto"/>
            <w:vAlign w:val="center"/>
            <w:hideMark/>
          </w:tcPr>
          <w:p>
            <w:pPr>
              <w:jc w:val="center"/>
              <w:rPr>
                <w:i/>
                <w:iCs/>
                <w:noProof/>
                <w:sz w:val="20"/>
                <w:szCs w:val="18"/>
              </w:rPr>
            </w:pPr>
            <w:r>
              <w:rPr>
                <w:i/>
                <w:iCs/>
                <w:noProof/>
                <w:sz w:val="20"/>
                <w:szCs w:val="18"/>
              </w:rPr>
              <w:t>(a)</w:t>
            </w:r>
          </w:p>
        </w:tc>
        <w:tc>
          <w:tcPr>
            <w:tcW w:w="1701" w:type="dxa"/>
            <w:tcBorders>
              <w:top w:val="nil"/>
              <w:left w:val="nil"/>
              <w:bottom w:val="nil"/>
              <w:right w:val="nil"/>
            </w:tcBorders>
            <w:shd w:val="clear" w:color="auto" w:fill="auto"/>
            <w:vAlign w:val="center"/>
            <w:hideMark/>
          </w:tcPr>
          <w:p>
            <w:pPr>
              <w:jc w:val="center"/>
              <w:rPr>
                <w:i/>
                <w:iCs/>
                <w:noProof/>
                <w:sz w:val="20"/>
                <w:szCs w:val="18"/>
              </w:rPr>
            </w:pPr>
            <w:r>
              <w:rPr>
                <w:i/>
                <w:iCs/>
                <w:noProof/>
                <w:sz w:val="20"/>
                <w:szCs w:val="18"/>
              </w:rPr>
              <w:t>(b)</w:t>
            </w:r>
          </w:p>
        </w:tc>
        <w:tc>
          <w:tcPr>
            <w:tcW w:w="1706" w:type="dxa"/>
            <w:tcBorders>
              <w:top w:val="single" w:sz="4" w:space="0" w:color="4F81BD"/>
              <w:left w:val="nil"/>
              <w:bottom w:val="nil"/>
              <w:right w:val="nil"/>
            </w:tcBorders>
            <w:shd w:val="clear" w:color="auto" w:fill="auto"/>
            <w:vAlign w:val="center"/>
            <w:hideMark/>
          </w:tcPr>
          <w:p>
            <w:pPr>
              <w:jc w:val="center"/>
              <w:rPr>
                <w:i/>
                <w:iCs/>
                <w:noProof/>
                <w:sz w:val="20"/>
                <w:szCs w:val="18"/>
              </w:rPr>
            </w:pPr>
            <w:r>
              <w:rPr>
                <w:i/>
                <w:iCs/>
                <w:noProof/>
                <w:sz w:val="20"/>
                <w:szCs w:val="18"/>
              </w:rPr>
              <w:t>(a+b)</w:t>
            </w:r>
          </w:p>
        </w:tc>
      </w:tr>
      <w:tr>
        <w:trPr>
          <w:trHeight w:val="375"/>
        </w:trPr>
        <w:tc>
          <w:tcPr>
            <w:tcW w:w="5102" w:type="dxa"/>
            <w:gridSpan w:val="4"/>
            <w:tcBorders>
              <w:top w:val="nil"/>
              <w:left w:val="nil"/>
              <w:bottom w:val="nil"/>
              <w:right w:val="nil"/>
            </w:tcBorders>
            <w:shd w:val="clear" w:color="auto" w:fill="auto"/>
            <w:noWrap/>
            <w:vAlign w:val="center"/>
            <w:hideMark/>
          </w:tcPr>
          <w:p>
            <w:pPr>
              <w:rPr>
                <w:noProof/>
                <w:sz w:val="20"/>
                <w:szCs w:val="28"/>
              </w:rPr>
            </w:pPr>
            <w:r>
              <w:rPr>
                <w:noProof/>
                <w:sz w:val="20"/>
                <w:szCs w:val="28"/>
              </w:rPr>
              <w:t>1a. Competitiveness for growth and jobs</w:t>
            </w:r>
          </w:p>
        </w:tc>
        <w:tc>
          <w:tcPr>
            <w:tcW w:w="1372"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szCs w:val="28"/>
              </w:rPr>
              <w:t>-1,0</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szCs w:val="28"/>
              </w:rPr>
              <w:t>-1,0</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szCs w:val="28"/>
              </w:rPr>
              <w:t>-1,9</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8"/>
              </w:rPr>
            </w:pPr>
            <w:r>
              <w:rPr>
                <w:noProof/>
                <w:sz w:val="20"/>
                <w:szCs w:val="28"/>
              </w:rPr>
              <w:t>1b. Economic, social and territorial cohesion</w:t>
            </w:r>
          </w:p>
        </w:tc>
        <w:tc>
          <w:tcPr>
            <w:tcW w:w="1372"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szCs w:val="28"/>
              </w:rPr>
              <w:t>-0,1</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szCs w:val="28"/>
              </w:rPr>
              <w:t>-0,2</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szCs w:val="28"/>
              </w:rPr>
              <w:t>-0,3</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8"/>
              </w:rPr>
            </w:pPr>
            <w:r>
              <w:rPr>
                <w:noProof/>
                <w:sz w:val="20"/>
                <w:szCs w:val="28"/>
              </w:rPr>
              <w:t>2. Sustainable Growth: Natural Resources</w:t>
            </w:r>
          </w:p>
        </w:tc>
        <w:tc>
          <w:tcPr>
            <w:tcW w:w="1372"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szCs w:val="28"/>
              </w:rPr>
              <w:t>-0,4</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szCs w:val="28"/>
              </w:rPr>
              <w:t>-0,1</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szCs w:val="28"/>
              </w:rPr>
              <w:t>-0,5</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8"/>
              </w:rPr>
            </w:pPr>
            <w:r>
              <w:rPr>
                <w:noProof/>
                <w:sz w:val="20"/>
                <w:szCs w:val="28"/>
              </w:rPr>
              <w:t>3. Security and citizenship</w:t>
            </w:r>
          </w:p>
        </w:tc>
        <w:tc>
          <w:tcPr>
            <w:tcW w:w="1372"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szCs w:val="28"/>
              </w:rPr>
              <w:t>-0,2</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szCs w:val="28"/>
              </w:rPr>
              <w:t>-2,1</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szCs w:val="28"/>
              </w:rPr>
              <w:t>-2,3</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8"/>
              </w:rPr>
            </w:pPr>
            <w:r>
              <w:rPr>
                <w:noProof/>
                <w:sz w:val="20"/>
                <w:szCs w:val="28"/>
              </w:rPr>
              <w:t>4. Global Europe</w:t>
            </w:r>
          </w:p>
        </w:tc>
        <w:tc>
          <w:tcPr>
            <w:tcW w:w="1372"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szCs w:val="28"/>
              </w:rPr>
              <w:t>-0,4</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szCs w:val="28"/>
              </w:rPr>
              <w:t>-0,9</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szCs w:val="28"/>
              </w:rPr>
              <w:t>-1,3</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8"/>
              </w:rPr>
            </w:pPr>
            <w:r>
              <w:rPr>
                <w:noProof/>
                <w:sz w:val="20"/>
                <w:szCs w:val="28"/>
              </w:rPr>
              <w:t xml:space="preserve">5. Administration </w:t>
            </w:r>
          </w:p>
        </w:tc>
        <w:tc>
          <w:tcPr>
            <w:tcW w:w="1372"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szCs w:val="28"/>
              </w:rPr>
              <w:t>0,0</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szCs w:val="28"/>
              </w:rPr>
              <w:t>0,0</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szCs w:val="28"/>
              </w:rPr>
              <w:t>0,0</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jc w:val="right"/>
              <w:rPr>
                <w:b/>
                <w:bCs/>
                <w:noProof/>
                <w:sz w:val="20"/>
                <w:szCs w:val="28"/>
              </w:rPr>
            </w:pPr>
            <w:r>
              <w:rPr>
                <w:b/>
                <w:bCs/>
                <w:noProof/>
                <w:sz w:val="20"/>
                <w:szCs w:val="28"/>
              </w:rPr>
              <w:t>TOTAL</w:t>
            </w:r>
          </w:p>
        </w:tc>
        <w:tc>
          <w:tcPr>
            <w:tcW w:w="1372" w:type="dxa"/>
            <w:tcBorders>
              <w:top w:val="single" w:sz="4" w:space="0" w:color="4F81BD"/>
              <w:left w:val="nil"/>
              <w:bottom w:val="nil"/>
              <w:right w:val="nil"/>
            </w:tcBorders>
            <w:shd w:val="clear" w:color="auto" w:fill="auto"/>
            <w:noWrap/>
            <w:vAlign w:val="center"/>
            <w:hideMark/>
          </w:tcPr>
          <w:p>
            <w:pPr>
              <w:jc w:val="right"/>
              <w:rPr>
                <w:b/>
                <w:bCs/>
                <w:noProof/>
                <w:sz w:val="20"/>
                <w:szCs w:val="28"/>
              </w:rPr>
            </w:pPr>
            <w:r>
              <w:rPr>
                <w:b/>
                <w:bCs/>
                <w:noProof/>
                <w:sz w:val="20"/>
                <w:szCs w:val="28"/>
              </w:rPr>
              <w:t>-2,1</w:t>
            </w:r>
          </w:p>
        </w:tc>
        <w:tc>
          <w:tcPr>
            <w:tcW w:w="1701" w:type="dxa"/>
            <w:tcBorders>
              <w:top w:val="single" w:sz="4" w:space="0" w:color="4F81BD"/>
              <w:left w:val="nil"/>
              <w:bottom w:val="nil"/>
              <w:right w:val="nil"/>
            </w:tcBorders>
            <w:shd w:val="clear" w:color="auto" w:fill="auto"/>
            <w:noWrap/>
            <w:vAlign w:val="center"/>
            <w:hideMark/>
          </w:tcPr>
          <w:p>
            <w:pPr>
              <w:jc w:val="right"/>
              <w:rPr>
                <w:b/>
                <w:bCs/>
                <w:noProof/>
                <w:sz w:val="20"/>
                <w:szCs w:val="28"/>
              </w:rPr>
            </w:pPr>
            <w:r>
              <w:rPr>
                <w:b/>
                <w:bCs/>
                <w:noProof/>
                <w:sz w:val="20"/>
                <w:szCs w:val="28"/>
              </w:rPr>
              <w:t>-4,3</w:t>
            </w:r>
          </w:p>
        </w:tc>
        <w:tc>
          <w:tcPr>
            <w:tcW w:w="1706" w:type="dxa"/>
            <w:tcBorders>
              <w:top w:val="single" w:sz="4" w:space="0" w:color="4F81BD"/>
              <w:left w:val="nil"/>
              <w:bottom w:val="nil"/>
              <w:right w:val="nil"/>
            </w:tcBorders>
            <w:shd w:val="clear" w:color="auto" w:fill="auto"/>
            <w:noWrap/>
            <w:vAlign w:val="center"/>
            <w:hideMark/>
          </w:tcPr>
          <w:p>
            <w:pPr>
              <w:jc w:val="right"/>
              <w:rPr>
                <w:b/>
                <w:bCs/>
                <w:noProof/>
                <w:sz w:val="20"/>
                <w:szCs w:val="28"/>
              </w:rPr>
            </w:pPr>
            <w:r>
              <w:rPr>
                <w:b/>
                <w:bCs/>
                <w:noProof/>
                <w:sz w:val="20"/>
                <w:szCs w:val="28"/>
              </w:rPr>
              <w:t>-6,4</w:t>
            </w:r>
          </w:p>
        </w:tc>
      </w:tr>
    </w:tbl>
    <w:p>
      <w:pPr>
        <w:rPr>
          <w:noProof/>
        </w:rPr>
      </w:pPr>
    </w:p>
    <w:p>
      <w:pPr>
        <w:pStyle w:val="Text1"/>
        <w:ind w:left="0"/>
        <w:rPr>
          <w:i/>
          <w:noProof/>
          <w:sz w:val="20"/>
        </w:rPr>
      </w:pPr>
      <w:r>
        <w:rPr>
          <w:i/>
          <w:noProof/>
          <w:sz w:val="20"/>
        </w:rPr>
        <w:t>* No de-commitments are anticipated in relation to the commitments proposed for the 2021-2027 financial framework</w:t>
      </w:r>
    </w:p>
    <w:p>
      <w:pPr>
        <w:pStyle w:val="Text1"/>
        <w:ind w:left="0"/>
        <w:rPr>
          <w:i/>
          <w:noProof/>
          <w:sz w:val="20"/>
        </w:rPr>
      </w:pPr>
    </w:p>
    <w:p>
      <w:pPr>
        <w:pStyle w:val="Caption"/>
        <w:keepNext/>
        <w:jc w:val="both"/>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xml:space="preserve"> – Change in the total outstanding commitments from 2019 to 2023</w:t>
      </w:r>
    </w:p>
    <w:tbl>
      <w:tblPr>
        <w:tblW w:w="9920" w:type="dxa"/>
        <w:tblInd w:w="93" w:type="dxa"/>
        <w:tblLook w:val="04A0" w:firstRow="1" w:lastRow="0" w:firstColumn="1" w:lastColumn="0" w:noHBand="0" w:noVBand="1"/>
      </w:tblPr>
      <w:tblGrid>
        <w:gridCol w:w="1701"/>
        <w:gridCol w:w="283"/>
        <w:gridCol w:w="1418"/>
        <w:gridCol w:w="566"/>
        <w:gridCol w:w="1135"/>
        <w:gridCol w:w="849"/>
        <w:gridCol w:w="852"/>
        <w:gridCol w:w="1132"/>
        <w:gridCol w:w="1984"/>
      </w:tblGrid>
      <w:tr>
        <w:trPr>
          <w:trHeight w:val="315"/>
        </w:trPr>
        <w:tc>
          <w:tcPr>
            <w:tcW w:w="1701" w:type="dxa"/>
            <w:tcBorders>
              <w:top w:val="nil"/>
              <w:left w:val="nil"/>
              <w:bottom w:val="nil"/>
              <w:right w:val="nil"/>
            </w:tcBorders>
            <w:shd w:val="clear" w:color="auto" w:fill="auto"/>
            <w:noWrap/>
            <w:vAlign w:val="center"/>
            <w:hideMark/>
          </w:tcPr>
          <w:p>
            <w:pPr>
              <w:rPr>
                <w:noProof/>
                <w:color w:val="000000"/>
                <w:sz w:val="22"/>
                <w:szCs w:val="22"/>
              </w:rPr>
            </w:pPr>
          </w:p>
        </w:tc>
        <w:tc>
          <w:tcPr>
            <w:tcW w:w="1701" w:type="dxa"/>
            <w:gridSpan w:val="2"/>
            <w:tcBorders>
              <w:top w:val="nil"/>
              <w:left w:val="nil"/>
              <w:bottom w:val="nil"/>
              <w:right w:val="nil"/>
            </w:tcBorders>
            <w:shd w:val="clear" w:color="auto" w:fill="auto"/>
            <w:noWrap/>
            <w:vAlign w:val="center"/>
            <w:hideMark/>
          </w:tcPr>
          <w:p>
            <w:pPr>
              <w:rPr>
                <w:noProof/>
                <w:color w:val="000000"/>
                <w:sz w:val="22"/>
                <w:szCs w:val="22"/>
              </w:rPr>
            </w:pPr>
          </w:p>
        </w:tc>
        <w:tc>
          <w:tcPr>
            <w:tcW w:w="1701" w:type="dxa"/>
            <w:gridSpan w:val="2"/>
            <w:tcBorders>
              <w:top w:val="nil"/>
              <w:left w:val="nil"/>
              <w:bottom w:val="nil"/>
              <w:right w:val="nil"/>
            </w:tcBorders>
            <w:shd w:val="clear" w:color="auto" w:fill="auto"/>
            <w:noWrap/>
            <w:vAlign w:val="center"/>
            <w:hideMark/>
          </w:tcPr>
          <w:p>
            <w:pPr>
              <w:rPr>
                <w:noProof/>
                <w:color w:val="000000"/>
                <w:sz w:val="22"/>
                <w:szCs w:val="22"/>
              </w:rPr>
            </w:pPr>
          </w:p>
        </w:tc>
        <w:tc>
          <w:tcPr>
            <w:tcW w:w="1701" w:type="dxa"/>
            <w:gridSpan w:val="2"/>
            <w:tcBorders>
              <w:top w:val="nil"/>
              <w:left w:val="nil"/>
              <w:bottom w:val="nil"/>
              <w:right w:val="nil"/>
            </w:tcBorders>
            <w:shd w:val="clear" w:color="auto" w:fill="auto"/>
            <w:noWrap/>
            <w:vAlign w:val="center"/>
            <w:hideMark/>
          </w:tcPr>
          <w:p>
            <w:pPr>
              <w:rPr>
                <w:noProof/>
                <w:color w:val="000000"/>
                <w:sz w:val="22"/>
                <w:szCs w:val="22"/>
              </w:rPr>
            </w:pPr>
          </w:p>
        </w:tc>
        <w:tc>
          <w:tcPr>
            <w:tcW w:w="3116" w:type="dxa"/>
            <w:gridSpan w:val="2"/>
            <w:tcBorders>
              <w:top w:val="nil"/>
              <w:left w:val="nil"/>
              <w:bottom w:val="nil"/>
              <w:right w:val="nil"/>
            </w:tcBorders>
            <w:shd w:val="clear" w:color="auto" w:fill="auto"/>
            <w:noWrap/>
            <w:vAlign w:val="center"/>
            <w:hideMark/>
          </w:tcPr>
          <w:p>
            <w:pPr>
              <w:jc w:val="right"/>
              <w:rPr>
                <w:i/>
                <w:iCs/>
                <w:noProof/>
                <w:color w:val="000000"/>
                <w:sz w:val="22"/>
                <w:szCs w:val="22"/>
              </w:rPr>
            </w:pPr>
            <w:r>
              <w:rPr>
                <w:i/>
                <w:iCs/>
                <w:noProof/>
                <w:color w:val="000000"/>
                <w:sz w:val="22"/>
                <w:szCs w:val="22"/>
              </w:rPr>
              <w:t>in EUR billion, current prices</w:t>
            </w:r>
          </w:p>
        </w:tc>
      </w:tr>
      <w:tr>
        <w:trPr>
          <w:trHeight w:val="645"/>
        </w:trPr>
        <w:tc>
          <w:tcPr>
            <w:tcW w:w="1984" w:type="dxa"/>
            <w:gridSpan w:val="2"/>
            <w:tcBorders>
              <w:top w:val="single" w:sz="8" w:space="0" w:color="auto"/>
              <w:left w:val="single" w:sz="8" w:space="0" w:color="auto"/>
              <w:bottom w:val="nil"/>
              <w:right w:val="single" w:sz="8" w:space="0" w:color="auto"/>
            </w:tcBorders>
            <w:shd w:val="clear" w:color="auto" w:fill="auto"/>
            <w:noWrap/>
            <w:vAlign w:val="center"/>
            <w:hideMark/>
          </w:tcPr>
          <w:p>
            <w:pPr>
              <w:jc w:val="center"/>
              <w:rPr>
                <w:b/>
                <w:bCs/>
                <w:noProof/>
                <w:color w:val="000000"/>
                <w:sz w:val="22"/>
                <w:szCs w:val="22"/>
              </w:rPr>
            </w:pPr>
            <w:r>
              <w:rPr>
                <w:b/>
                <w:bCs/>
                <w:noProof/>
                <w:color w:val="000000"/>
                <w:sz w:val="22"/>
                <w:szCs w:val="22"/>
              </w:rPr>
              <w:t>RAL end-2018*</w:t>
            </w:r>
          </w:p>
        </w:tc>
        <w:tc>
          <w:tcPr>
            <w:tcW w:w="1984" w:type="dxa"/>
            <w:gridSpan w:val="2"/>
            <w:tcBorders>
              <w:top w:val="single" w:sz="8" w:space="0" w:color="auto"/>
              <w:left w:val="nil"/>
              <w:bottom w:val="nil"/>
              <w:right w:val="nil"/>
            </w:tcBorders>
            <w:shd w:val="clear" w:color="auto" w:fill="auto"/>
            <w:noWrap/>
            <w:vAlign w:val="center"/>
            <w:hideMark/>
          </w:tcPr>
          <w:p>
            <w:pPr>
              <w:jc w:val="center"/>
              <w:rPr>
                <w:b/>
                <w:bCs/>
                <w:noProof/>
                <w:color w:val="000000"/>
                <w:sz w:val="22"/>
                <w:szCs w:val="22"/>
              </w:rPr>
            </w:pPr>
            <w:r>
              <w:rPr>
                <w:b/>
                <w:bCs/>
                <w:noProof/>
                <w:color w:val="000000"/>
                <w:sz w:val="22"/>
                <w:szCs w:val="22"/>
              </w:rPr>
              <w:t>Commitments 2018-2023</w:t>
            </w:r>
          </w:p>
        </w:tc>
        <w:tc>
          <w:tcPr>
            <w:tcW w:w="1984" w:type="dxa"/>
            <w:gridSpan w:val="2"/>
            <w:tcBorders>
              <w:top w:val="single" w:sz="8" w:space="0" w:color="auto"/>
              <w:left w:val="single" w:sz="8" w:space="0" w:color="auto"/>
              <w:bottom w:val="nil"/>
              <w:right w:val="nil"/>
            </w:tcBorders>
            <w:shd w:val="clear" w:color="auto" w:fill="auto"/>
            <w:noWrap/>
            <w:vAlign w:val="center"/>
            <w:hideMark/>
          </w:tcPr>
          <w:p>
            <w:pPr>
              <w:jc w:val="center"/>
              <w:rPr>
                <w:b/>
                <w:bCs/>
                <w:noProof/>
                <w:color w:val="000000"/>
                <w:sz w:val="22"/>
                <w:szCs w:val="22"/>
              </w:rPr>
            </w:pPr>
            <w:r>
              <w:rPr>
                <w:b/>
                <w:bCs/>
                <w:noProof/>
                <w:color w:val="000000"/>
                <w:sz w:val="22"/>
                <w:szCs w:val="22"/>
              </w:rPr>
              <w:t>Payments 2018-2023</w:t>
            </w:r>
          </w:p>
        </w:tc>
        <w:tc>
          <w:tcPr>
            <w:tcW w:w="1984" w:type="dxa"/>
            <w:gridSpan w:val="2"/>
            <w:tcBorders>
              <w:top w:val="single" w:sz="8" w:space="0" w:color="auto"/>
              <w:left w:val="single" w:sz="8" w:space="0" w:color="auto"/>
              <w:bottom w:val="nil"/>
              <w:right w:val="nil"/>
            </w:tcBorders>
            <w:shd w:val="clear" w:color="auto" w:fill="auto"/>
            <w:vAlign w:val="center"/>
            <w:hideMark/>
          </w:tcPr>
          <w:p>
            <w:pPr>
              <w:jc w:val="center"/>
              <w:rPr>
                <w:b/>
                <w:bCs/>
                <w:noProof/>
                <w:color w:val="000000"/>
                <w:sz w:val="22"/>
                <w:szCs w:val="22"/>
              </w:rPr>
            </w:pPr>
            <w:r>
              <w:rPr>
                <w:b/>
                <w:bCs/>
                <w:noProof/>
                <w:color w:val="000000"/>
                <w:sz w:val="22"/>
                <w:szCs w:val="22"/>
              </w:rPr>
              <w:t>De-commitments**</w:t>
            </w:r>
          </w:p>
        </w:tc>
        <w:tc>
          <w:tcPr>
            <w:tcW w:w="1984" w:type="dxa"/>
            <w:tcBorders>
              <w:top w:val="single" w:sz="8" w:space="0" w:color="auto"/>
              <w:left w:val="single" w:sz="8" w:space="0" w:color="auto"/>
              <w:bottom w:val="nil"/>
              <w:right w:val="single" w:sz="8" w:space="0" w:color="auto"/>
            </w:tcBorders>
            <w:shd w:val="clear" w:color="auto" w:fill="auto"/>
            <w:noWrap/>
            <w:vAlign w:val="center"/>
            <w:hideMark/>
          </w:tcPr>
          <w:p>
            <w:pPr>
              <w:jc w:val="center"/>
              <w:rPr>
                <w:b/>
                <w:bCs/>
                <w:noProof/>
                <w:color w:val="000000"/>
                <w:sz w:val="22"/>
                <w:szCs w:val="22"/>
              </w:rPr>
            </w:pPr>
            <w:r>
              <w:rPr>
                <w:b/>
                <w:bCs/>
                <w:noProof/>
                <w:color w:val="000000"/>
                <w:sz w:val="22"/>
                <w:szCs w:val="22"/>
              </w:rPr>
              <w:t>RAL end-2023</w:t>
            </w:r>
          </w:p>
        </w:tc>
      </w:tr>
      <w:tr>
        <w:trPr>
          <w:trHeight w:val="300"/>
        </w:trPr>
        <w:tc>
          <w:tcPr>
            <w:tcW w:w="1984" w:type="dxa"/>
            <w:gridSpan w:val="2"/>
            <w:tcBorders>
              <w:top w:val="nil"/>
              <w:left w:val="single" w:sz="8" w:space="0" w:color="auto"/>
              <w:bottom w:val="nil"/>
              <w:right w:val="single" w:sz="8" w:space="0" w:color="auto"/>
            </w:tcBorders>
            <w:shd w:val="clear" w:color="auto" w:fill="auto"/>
            <w:noWrap/>
            <w:vAlign w:val="center"/>
            <w:hideMark/>
          </w:tcPr>
          <w:p>
            <w:pPr>
              <w:jc w:val="center"/>
              <w:rPr>
                <w:i/>
                <w:iCs/>
                <w:noProof/>
                <w:color w:val="000000"/>
                <w:sz w:val="18"/>
                <w:szCs w:val="18"/>
              </w:rPr>
            </w:pPr>
            <w:r>
              <w:rPr>
                <w:i/>
                <w:iCs/>
                <w:noProof/>
                <w:color w:val="000000"/>
                <w:sz w:val="18"/>
                <w:szCs w:val="18"/>
              </w:rPr>
              <w:t>(a)</w:t>
            </w:r>
          </w:p>
        </w:tc>
        <w:tc>
          <w:tcPr>
            <w:tcW w:w="1984" w:type="dxa"/>
            <w:gridSpan w:val="2"/>
            <w:tcBorders>
              <w:top w:val="nil"/>
              <w:left w:val="nil"/>
              <w:bottom w:val="nil"/>
              <w:right w:val="nil"/>
            </w:tcBorders>
            <w:shd w:val="clear" w:color="auto" w:fill="auto"/>
            <w:noWrap/>
            <w:vAlign w:val="center"/>
            <w:hideMark/>
          </w:tcPr>
          <w:p>
            <w:pPr>
              <w:jc w:val="center"/>
              <w:rPr>
                <w:i/>
                <w:iCs/>
                <w:noProof/>
                <w:color w:val="000000"/>
                <w:sz w:val="18"/>
                <w:szCs w:val="18"/>
              </w:rPr>
            </w:pPr>
            <w:r>
              <w:rPr>
                <w:i/>
                <w:iCs/>
                <w:noProof/>
                <w:color w:val="000000"/>
                <w:sz w:val="18"/>
                <w:szCs w:val="18"/>
              </w:rPr>
              <w:t>(b)</w:t>
            </w:r>
          </w:p>
        </w:tc>
        <w:tc>
          <w:tcPr>
            <w:tcW w:w="1984" w:type="dxa"/>
            <w:gridSpan w:val="2"/>
            <w:tcBorders>
              <w:top w:val="nil"/>
              <w:left w:val="single" w:sz="8" w:space="0" w:color="auto"/>
              <w:bottom w:val="nil"/>
              <w:right w:val="nil"/>
            </w:tcBorders>
            <w:shd w:val="clear" w:color="auto" w:fill="auto"/>
            <w:noWrap/>
            <w:vAlign w:val="center"/>
            <w:hideMark/>
          </w:tcPr>
          <w:p>
            <w:pPr>
              <w:jc w:val="center"/>
              <w:rPr>
                <w:i/>
                <w:iCs/>
                <w:noProof/>
                <w:color w:val="000000"/>
                <w:sz w:val="18"/>
                <w:szCs w:val="18"/>
              </w:rPr>
            </w:pPr>
            <w:r>
              <w:rPr>
                <w:i/>
                <w:iCs/>
                <w:noProof/>
                <w:color w:val="000000"/>
                <w:sz w:val="18"/>
                <w:szCs w:val="18"/>
              </w:rPr>
              <w:t>(c )</w:t>
            </w:r>
          </w:p>
        </w:tc>
        <w:tc>
          <w:tcPr>
            <w:tcW w:w="1984" w:type="dxa"/>
            <w:gridSpan w:val="2"/>
            <w:tcBorders>
              <w:top w:val="nil"/>
              <w:left w:val="single" w:sz="8" w:space="0" w:color="auto"/>
              <w:bottom w:val="nil"/>
              <w:right w:val="nil"/>
            </w:tcBorders>
            <w:shd w:val="clear" w:color="auto" w:fill="auto"/>
            <w:vAlign w:val="center"/>
            <w:hideMark/>
          </w:tcPr>
          <w:p>
            <w:pPr>
              <w:jc w:val="center"/>
              <w:rPr>
                <w:i/>
                <w:iCs/>
                <w:noProof/>
                <w:color w:val="000000"/>
                <w:sz w:val="16"/>
                <w:szCs w:val="16"/>
              </w:rPr>
            </w:pPr>
            <w:r>
              <w:rPr>
                <w:i/>
                <w:iCs/>
                <w:noProof/>
                <w:color w:val="000000"/>
                <w:sz w:val="16"/>
                <w:szCs w:val="16"/>
              </w:rPr>
              <w:t>(d)</w:t>
            </w:r>
          </w:p>
        </w:tc>
        <w:tc>
          <w:tcPr>
            <w:tcW w:w="1984" w:type="dxa"/>
            <w:tcBorders>
              <w:top w:val="nil"/>
              <w:left w:val="single" w:sz="8" w:space="0" w:color="auto"/>
              <w:bottom w:val="nil"/>
              <w:right w:val="single" w:sz="8" w:space="0" w:color="auto"/>
            </w:tcBorders>
            <w:shd w:val="clear" w:color="auto" w:fill="auto"/>
            <w:noWrap/>
            <w:vAlign w:val="center"/>
            <w:hideMark/>
          </w:tcPr>
          <w:p>
            <w:pPr>
              <w:jc w:val="center"/>
              <w:rPr>
                <w:i/>
                <w:iCs/>
                <w:noProof/>
                <w:color w:val="000000"/>
                <w:sz w:val="18"/>
                <w:szCs w:val="18"/>
              </w:rPr>
            </w:pPr>
            <w:r>
              <w:rPr>
                <w:i/>
                <w:iCs/>
                <w:noProof/>
                <w:color w:val="000000"/>
                <w:sz w:val="18"/>
                <w:szCs w:val="18"/>
              </w:rPr>
              <w:t>(a+b-c-d)</w:t>
            </w:r>
          </w:p>
        </w:tc>
      </w:tr>
      <w:tr>
        <w:trPr>
          <w:trHeight w:val="600"/>
        </w:trPr>
        <w:tc>
          <w:tcPr>
            <w:tcW w:w="1984"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pPr>
              <w:jc w:val="center"/>
              <w:rPr>
                <w:noProof/>
                <w:color w:val="000000"/>
                <w:sz w:val="22"/>
                <w:szCs w:val="22"/>
              </w:rPr>
            </w:pPr>
            <w:r>
              <w:rPr>
                <w:noProof/>
                <w:color w:val="000000"/>
                <w:sz w:val="22"/>
                <w:szCs w:val="22"/>
              </w:rPr>
              <w:t>276,3</w:t>
            </w:r>
          </w:p>
        </w:tc>
        <w:tc>
          <w:tcPr>
            <w:tcW w:w="1984" w:type="dxa"/>
            <w:gridSpan w:val="2"/>
            <w:tcBorders>
              <w:top w:val="single" w:sz="4" w:space="0" w:color="auto"/>
              <w:left w:val="nil"/>
              <w:bottom w:val="single" w:sz="8" w:space="0" w:color="auto"/>
              <w:right w:val="nil"/>
            </w:tcBorders>
            <w:shd w:val="clear" w:color="auto" w:fill="auto"/>
            <w:noWrap/>
            <w:vAlign w:val="center"/>
            <w:hideMark/>
          </w:tcPr>
          <w:p>
            <w:pPr>
              <w:jc w:val="center"/>
              <w:rPr>
                <w:noProof/>
                <w:color w:val="000000"/>
                <w:sz w:val="22"/>
                <w:szCs w:val="22"/>
              </w:rPr>
            </w:pPr>
            <w:r>
              <w:rPr>
                <w:noProof/>
                <w:color w:val="000000"/>
                <w:sz w:val="22"/>
                <w:szCs w:val="22"/>
              </w:rPr>
              <w:t>852,6</w:t>
            </w:r>
          </w:p>
        </w:tc>
        <w:tc>
          <w:tcPr>
            <w:tcW w:w="1984" w:type="dxa"/>
            <w:gridSpan w:val="2"/>
            <w:tcBorders>
              <w:top w:val="single" w:sz="4" w:space="0" w:color="auto"/>
              <w:left w:val="single" w:sz="8" w:space="0" w:color="auto"/>
              <w:bottom w:val="single" w:sz="8" w:space="0" w:color="auto"/>
              <w:right w:val="nil"/>
            </w:tcBorders>
            <w:shd w:val="clear" w:color="auto" w:fill="auto"/>
            <w:noWrap/>
            <w:vAlign w:val="center"/>
            <w:hideMark/>
          </w:tcPr>
          <w:p>
            <w:pPr>
              <w:jc w:val="center"/>
              <w:rPr>
                <w:noProof/>
                <w:color w:val="000000"/>
                <w:sz w:val="22"/>
                <w:szCs w:val="22"/>
              </w:rPr>
            </w:pPr>
            <w:r>
              <w:rPr>
                <w:noProof/>
                <w:color w:val="000000"/>
                <w:sz w:val="22"/>
                <w:szCs w:val="22"/>
              </w:rPr>
              <w:t>809,0</w:t>
            </w:r>
          </w:p>
        </w:tc>
        <w:tc>
          <w:tcPr>
            <w:tcW w:w="1984" w:type="dxa"/>
            <w:gridSpan w:val="2"/>
            <w:tcBorders>
              <w:top w:val="single" w:sz="4" w:space="0" w:color="auto"/>
              <w:left w:val="single" w:sz="8" w:space="0" w:color="auto"/>
              <w:bottom w:val="single" w:sz="8" w:space="0" w:color="auto"/>
              <w:right w:val="nil"/>
            </w:tcBorders>
            <w:shd w:val="clear" w:color="auto" w:fill="auto"/>
            <w:noWrap/>
            <w:vAlign w:val="center"/>
            <w:hideMark/>
          </w:tcPr>
          <w:p>
            <w:pPr>
              <w:jc w:val="center"/>
              <w:rPr>
                <w:noProof/>
                <w:color w:val="000000"/>
                <w:sz w:val="22"/>
                <w:szCs w:val="22"/>
              </w:rPr>
            </w:pPr>
            <w:r>
              <w:rPr>
                <w:noProof/>
                <w:color w:val="000000"/>
                <w:sz w:val="22"/>
                <w:szCs w:val="22"/>
              </w:rPr>
              <w:t>-6,0</w:t>
            </w:r>
          </w:p>
        </w:tc>
        <w:tc>
          <w:tcPr>
            <w:tcW w:w="198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pPr>
              <w:jc w:val="center"/>
              <w:rPr>
                <w:noProof/>
                <w:color w:val="000000"/>
                <w:sz w:val="22"/>
                <w:szCs w:val="22"/>
              </w:rPr>
            </w:pPr>
            <w:r>
              <w:rPr>
                <w:noProof/>
                <w:color w:val="000000"/>
                <w:sz w:val="22"/>
                <w:szCs w:val="22"/>
              </w:rPr>
              <w:t>313,8</w:t>
            </w:r>
          </w:p>
        </w:tc>
      </w:tr>
      <w:tr>
        <w:trPr>
          <w:trHeight w:val="435"/>
        </w:trPr>
        <w:tc>
          <w:tcPr>
            <w:tcW w:w="1984" w:type="dxa"/>
            <w:gridSpan w:val="2"/>
            <w:tcBorders>
              <w:top w:val="nil"/>
              <w:left w:val="nil"/>
              <w:bottom w:val="nil"/>
              <w:right w:val="nil"/>
            </w:tcBorders>
            <w:shd w:val="clear" w:color="auto" w:fill="auto"/>
            <w:noWrap/>
            <w:vAlign w:val="center"/>
            <w:hideMark/>
          </w:tcPr>
          <w:p>
            <w:pPr>
              <w:outlineLvl w:val="0"/>
              <w:rPr>
                <w:i/>
                <w:iCs/>
                <w:noProof/>
                <w:color w:val="000000"/>
                <w:sz w:val="22"/>
                <w:szCs w:val="22"/>
              </w:rPr>
            </w:pPr>
            <w:r>
              <w:rPr>
                <w:i/>
                <w:iCs/>
                <w:noProof/>
                <w:color w:val="000000"/>
                <w:sz w:val="22"/>
                <w:szCs w:val="22"/>
              </w:rPr>
              <w:t>Of which on:</w:t>
            </w:r>
          </w:p>
        </w:tc>
        <w:tc>
          <w:tcPr>
            <w:tcW w:w="1984" w:type="dxa"/>
            <w:gridSpan w:val="2"/>
            <w:tcBorders>
              <w:top w:val="nil"/>
              <w:left w:val="nil"/>
              <w:bottom w:val="nil"/>
              <w:right w:val="nil"/>
            </w:tcBorders>
            <w:shd w:val="clear" w:color="auto" w:fill="auto"/>
            <w:noWrap/>
            <w:vAlign w:val="center"/>
            <w:hideMark/>
          </w:tcPr>
          <w:p>
            <w:pPr>
              <w:outlineLvl w:val="0"/>
              <w:rPr>
                <w:noProof/>
                <w:color w:val="000000"/>
                <w:sz w:val="22"/>
                <w:szCs w:val="22"/>
              </w:rPr>
            </w:pPr>
          </w:p>
        </w:tc>
        <w:tc>
          <w:tcPr>
            <w:tcW w:w="1984" w:type="dxa"/>
            <w:gridSpan w:val="2"/>
            <w:tcBorders>
              <w:top w:val="nil"/>
              <w:left w:val="nil"/>
              <w:bottom w:val="nil"/>
              <w:right w:val="nil"/>
            </w:tcBorders>
            <w:shd w:val="clear" w:color="auto" w:fill="auto"/>
            <w:noWrap/>
            <w:vAlign w:val="center"/>
            <w:hideMark/>
          </w:tcPr>
          <w:p>
            <w:pPr>
              <w:outlineLvl w:val="0"/>
              <w:rPr>
                <w:noProof/>
                <w:color w:val="000000"/>
                <w:sz w:val="22"/>
                <w:szCs w:val="22"/>
              </w:rPr>
            </w:pPr>
          </w:p>
        </w:tc>
        <w:tc>
          <w:tcPr>
            <w:tcW w:w="1984" w:type="dxa"/>
            <w:gridSpan w:val="2"/>
            <w:tcBorders>
              <w:top w:val="nil"/>
              <w:left w:val="nil"/>
              <w:bottom w:val="nil"/>
              <w:right w:val="nil"/>
            </w:tcBorders>
            <w:shd w:val="clear" w:color="auto" w:fill="auto"/>
            <w:noWrap/>
            <w:vAlign w:val="center"/>
            <w:hideMark/>
          </w:tcPr>
          <w:p>
            <w:pPr>
              <w:outlineLvl w:val="0"/>
              <w:rPr>
                <w:noProof/>
                <w:color w:val="000000"/>
                <w:sz w:val="22"/>
                <w:szCs w:val="22"/>
              </w:rPr>
            </w:pPr>
          </w:p>
        </w:tc>
        <w:tc>
          <w:tcPr>
            <w:tcW w:w="1984" w:type="dxa"/>
            <w:tcBorders>
              <w:top w:val="nil"/>
              <w:left w:val="nil"/>
              <w:bottom w:val="nil"/>
              <w:right w:val="nil"/>
            </w:tcBorders>
            <w:shd w:val="clear" w:color="auto" w:fill="auto"/>
            <w:noWrap/>
            <w:vAlign w:val="center"/>
            <w:hideMark/>
          </w:tcPr>
          <w:p>
            <w:pPr>
              <w:outlineLvl w:val="0"/>
              <w:rPr>
                <w:noProof/>
                <w:color w:val="000000"/>
                <w:sz w:val="22"/>
                <w:szCs w:val="22"/>
              </w:rPr>
            </w:pPr>
          </w:p>
        </w:tc>
      </w:tr>
      <w:tr>
        <w:trPr>
          <w:trHeight w:val="600"/>
        </w:trPr>
        <w:tc>
          <w:tcPr>
            <w:tcW w:w="1984" w:type="dxa"/>
            <w:gridSpan w:val="2"/>
            <w:tcBorders>
              <w:top w:val="single" w:sz="8" w:space="0" w:color="auto"/>
              <w:left w:val="single" w:sz="8" w:space="0" w:color="auto"/>
              <w:bottom w:val="nil"/>
              <w:right w:val="single" w:sz="8" w:space="0" w:color="auto"/>
            </w:tcBorders>
            <w:shd w:val="clear" w:color="auto" w:fill="auto"/>
            <w:noWrap/>
            <w:vAlign w:val="center"/>
            <w:hideMark/>
          </w:tcPr>
          <w:p>
            <w:pPr>
              <w:jc w:val="center"/>
              <w:outlineLvl w:val="0"/>
              <w:rPr>
                <w:b/>
                <w:bCs/>
                <w:noProof/>
                <w:color w:val="000000"/>
                <w:sz w:val="22"/>
                <w:szCs w:val="22"/>
              </w:rPr>
            </w:pPr>
            <w:r>
              <w:rPr>
                <w:b/>
                <w:bCs/>
                <w:noProof/>
                <w:color w:val="000000"/>
                <w:sz w:val="22"/>
                <w:szCs w:val="22"/>
              </w:rPr>
              <w:t>2014-2020 MFF</w:t>
            </w:r>
          </w:p>
        </w:tc>
        <w:tc>
          <w:tcPr>
            <w:tcW w:w="1984" w:type="dxa"/>
            <w:gridSpan w:val="2"/>
            <w:tcBorders>
              <w:top w:val="single" w:sz="8"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w:t>
            </w:r>
          </w:p>
        </w:tc>
        <w:tc>
          <w:tcPr>
            <w:tcW w:w="1984" w:type="dxa"/>
            <w:gridSpan w:val="2"/>
            <w:tcBorders>
              <w:top w:val="single" w:sz="8"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w:t>
            </w:r>
          </w:p>
        </w:tc>
        <w:tc>
          <w:tcPr>
            <w:tcW w:w="1984" w:type="dxa"/>
            <w:gridSpan w:val="2"/>
            <w:tcBorders>
              <w:top w:val="single" w:sz="8" w:space="0" w:color="auto"/>
              <w:left w:val="nil"/>
              <w:bottom w:val="nil"/>
              <w:right w:val="nil"/>
            </w:tcBorders>
            <w:shd w:val="clear" w:color="auto" w:fill="auto"/>
            <w:vAlign w:val="center"/>
            <w:hideMark/>
          </w:tcPr>
          <w:p>
            <w:pPr>
              <w:jc w:val="center"/>
              <w:outlineLvl w:val="0"/>
              <w:rPr>
                <w:noProof/>
                <w:color w:val="000000"/>
                <w:sz w:val="18"/>
                <w:szCs w:val="18"/>
              </w:rPr>
            </w:pPr>
            <w:r>
              <w:rPr>
                <w:noProof/>
                <w:color w:val="000000"/>
                <w:sz w:val="18"/>
                <w:szCs w:val="18"/>
              </w:rPr>
              <w:t>Total de-commitments and amount paid by other fund sources</w:t>
            </w:r>
          </w:p>
        </w:tc>
        <w:tc>
          <w:tcPr>
            <w:tcW w:w="1984" w:type="dxa"/>
            <w:tcBorders>
              <w:top w:val="single" w:sz="8" w:space="0" w:color="auto"/>
              <w:left w:val="single" w:sz="8" w:space="0" w:color="auto"/>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w:t>
            </w:r>
          </w:p>
        </w:tc>
      </w:tr>
      <w:tr>
        <w:trPr>
          <w:trHeight w:val="450"/>
        </w:trPr>
        <w:tc>
          <w:tcPr>
            <w:tcW w:w="1984" w:type="dxa"/>
            <w:gridSpan w:val="2"/>
            <w:tcBorders>
              <w:top w:val="nil"/>
              <w:left w:val="single" w:sz="8" w:space="0" w:color="auto"/>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276,3</w:t>
            </w:r>
          </w:p>
        </w:tc>
        <w:tc>
          <w:tcPr>
            <w:tcW w:w="1984"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332,8</w:t>
            </w:r>
          </w:p>
        </w:tc>
        <w:tc>
          <w:tcPr>
            <w:tcW w:w="1984"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529,1</w:t>
            </w:r>
          </w:p>
        </w:tc>
        <w:tc>
          <w:tcPr>
            <w:tcW w:w="1984"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-7,9</w:t>
            </w:r>
          </w:p>
        </w:tc>
        <w:tc>
          <w:tcPr>
            <w:tcW w:w="1984" w:type="dxa"/>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72,1</w:t>
            </w:r>
          </w:p>
        </w:tc>
      </w:tr>
      <w:tr>
        <w:trPr>
          <w:trHeight w:val="480"/>
        </w:trPr>
        <w:tc>
          <w:tcPr>
            <w:tcW w:w="1984" w:type="dxa"/>
            <w:gridSpan w:val="2"/>
            <w:tcBorders>
              <w:top w:val="single" w:sz="4" w:space="0" w:color="auto"/>
              <w:left w:val="single" w:sz="8" w:space="0" w:color="auto"/>
              <w:bottom w:val="nil"/>
              <w:right w:val="single" w:sz="8" w:space="0" w:color="auto"/>
            </w:tcBorders>
            <w:shd w:val="clear" w:color="auto" w:fill="auto"/>
            <w:noWrap/>
            <w:vAlign w:val="center"/>
            <w:hideMark/>
          </w:tcPr>
          <w:p>
            <w:pPr>
              <w:jc w:val="center"/>
              <w:outlineLvl w:val="0"/>
              <w:rPr>
                <w:b/>
                <w:bCs/>
                <w:noProof/>
                <w:color w:val="000000"/>
                <w:sz w:val="22"/>
                <w:szCs w:val="22"/>
              </w:rPr>
            </w:pPr>
            <w:r>
              <w:rPr>
                <w:b/>
                <w:bCs/>
                <w:noProof/>
                <w:color w:val="000000"/>
                <w:sz w:val="22"/>
                <w:szCs w:val="22"/>
              </w:rPr>
              <w:t>2021-2027 MFF</w:t>
            </w:r>
          </w:p>
        </w:tc>
        <w:tc>
          <w:tcPr>
            <w:tcW w:w="1984" w:type="dxa"/>
            <w:gridSpan w:val="2"/>
            <w:tcBorders>
              <w:top w:val="single" w:sz="4"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w:t>
            </w:r>
          </w:p>
        </w:tc>
        <w:tc>
          <w:tcPr>
            <w:tcW w:w="1984" w:type="dxa"/>
            <w:gridSpan w:val="2"/>
            <w:tcBorders>
              <w:top w:val="single" w:sz="4"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w:t>
            </w:r>
          </w:p>
        </w:tc>
        <w:tc>
          <w:tcPr>
            <w:tcW w:w="1984" w:type="dxa"/>
            <w:gridSpan w:val="2"/>
            <w:tcBorders>
              <w:top w:val="single" w:sz="4" w:space="0" w:color="auto"/>
              <w:left w:val="nil"/>
              <w:bottom w:val="nil"/>
              <w:right w:val="single" w:sz="8" w:space="0" w:color="auto"/>
            </w:tcBorders>
            <w:shd w:val="clear" w:color="auto" w:fill="auto"/>
            <w:vAlign w:val="center"/>
            <w:hideMark/>
          </w:tcPr>
          <w:p>
            <w:pPr>
              <w:jc w:val="center"/>
              <w:outlineLvl w:val="0"/>
              <w:rPr>
                <w:noProof/>
                <w:color w:val="000000"/>
                <w:sz w:val="18"/>
                <w:szCs w:val="18"/>
              </w:rPr>
            </w:pPr>
            <w:r>
              <w:rPr>
                <w:noProof/>
                <w:color w:val="000000"/>
                <w:sz w:val="18"/>
                <w:szCs w:val="18"/>
              </w:rPr>
              <w:t>De-commitments, subsequently re-used</w:t>
            </w:r>
          </w:p>
        </w:tc>
        <w:tc>
          <w:tcPr>
            <w:tcW w:w="1984" w:type="dxa"/>
            <w:tcBorders>
              <w:top w:val="single" w:sz="4" w:space="0" w:color="auto"/>
              <w:left w:val="nil"/>
              <w:bottom w:val="nil"/>
              <w:right w:val="single" w:sz="8" w:space="0" w:color="auto"/>
            </w:tcBorders>
            <w:shd w:val="clear" w:color="auto" w:fill="auto"/>
            <w:noWrap/>
            <w:vAlign w:val="center"/>
            <w:hideMark/>
          </w:tcPr>
          <w:p>
            <w:pPr>
              <w:outlineLvl w:val="0"/>
              <w:rPr>
                <w:noProof/>
                <w:color w:val="FF0000"/>
                <w:sz w:val="22"/>
                <w:szCs w:val="22"/>
              </w:rPr>
            </w:pPr>
            <w:r>
              <w:rPr>
                <w:noProof/>
                <w:color w:val="FF0000"/>
                <w:sz w:val="22"/>
                <w:szCs w:val="22"/>
              </w:rPr>
              <w:t> </w:t>
            </w:r>
          </w:p>
        </w:tc>
      </w:tr>
      <w:tr>
        <w:trPr>
          <w:trHeight w:val="510"/>
        </w:trPr>
        <w:tc>
          <w:tcPr>
            <w:tcW w:w="1984" w:type="dxa"/>
            <w:gridSpan w:val="2"/>
            <w:tcBorders>
              <w:top w:val="nil"/>
              <w:left w:val="single" w:sz="8" w:space="0" w:color="auto"/>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n/a</w:t>
            </w:r>
          </w:p>
        </w:tc>
        <w:tc>
          <w:tcPr>
            <w:tcW w:w="1984"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519,8</w:t>
            </w:r>
          </w:p>
        </w:tc>
        <w:tc>
          <w:tcPr>
            <w:tcW w:w="1984"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279,9</w:t>
            </w:r>
          </w:p>
        </w:tc>
        <w:tc>
          <w:tcPr>
            <w:tcW w:w="1984"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1,9</w:t>
            </w:r>
          </w:p>
        </w:tc>
        <w:tc>
          <w:tcPr>
            <w:tcW w:w="1984" w:type="dxa"/>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241,8</w:t>
            </w:r>
          </w:p>
        </w:tc>
      </w:tr>
    </w:tbl>
    <w:p>
      <w:pPr>
        <w:rPr>
          <w:noProof/>
        </w:rPr>
      </w:pPr>
    </w:p>
    <w:p>
      <w:pPr>
        <w:pStyle w:val="Text1"/>
        <w:spacing w:after="0"/>
        <w:ind w:left="0"/>
        <w:rPr>
          <w:i/>
          <w:noProof/>
          <w:sz w:val="20"/>
        </w:rPr>
      </w:pPr>
      <w:r>
        <w:rPr>
          <w:i/>
          <w:noProof/>
          <w:sz w:val="20"/>
        </w:rPr>
        <w:t>* The performance reserve set aside during 2014-2018 is included in the RAL, but no payments are foreseen against those commitments before 2020</w:t>
      </w:r>
      <w:r>
        <w:rPr>
          <w:i/>
          <w:noProof/>
          <w:sz w:val="20"/>
        </w:rPr>
        <w:tab/>
      </w:r>
      <w:r>
        <w:rPr>
          <w:i/>
          <w:noProof/>
          <w:sz w:val="20"/>
        </w:rPr>
        <w:tab/>
      </w:r>
      <w:r>
        <w:rPr>
          <w:i/>
          <w:noProof/>
          <w:sz w:val="20"/>
        </w:rPr>
        <w:tab/>
      </w:r>
      <w:r>
        <w:rPr>
          <w:i/>
          <w:noProof/>
          <w:sz w:val="20"/>
        </w:rPr>
        <w:tab/>
      </w:r>
    </w:p>
    <w:p>
      <w:pPr>
        <w:pStyle w:val="Text1"/>
        <w:spacing w:after="0"/>
        <w:ind w:left="0"/>
        <w:rPr>
          <w:i/>
          <w:noProof/>
          <w:sz w:val="20"/>
        </w:rPr>
      </w:pPr>
      <w:r>
        <w:rPr>
          <w:i/>
          <w:noProof/>
          <w:sz w:val="20"/>
        </w:rPr>
        <w:t>** This is the net result of the de-commitments expected up until 2020 (which reduce the RAL) and the de-commitments post-2020 (which via the Union Reserve mechanism may lead to new commitments); the figure also includes amounts to be covered by other fund sources (i.e. recoveries)</w:t>
      </w:r>
      <w:r>
        <w:rPr>
          <w:i/>
          <w:noProof/>
          <w:sz w:val="20"/>
        </w:rPr>
        <w:tab/>
      </w:r>
      <w:r>
        <w:rPr>
          <w:i/>
          <w:noProof/>
          <w:sz w:val="20"/>
        </w:rPr>
        <w:tab/>
      </w:r>
      <w:r>
        <w:rPr>
          <w:i/>
          <w:noProof/>
          <w:sz w:val="20"/>
        </w:rPr>
        <w:tab/>
      </w:r>
      <w:r>
        <w:rPr>
          <w:i/>
          <w:noProof/>
          <w:sz w:val="20"/>
        </w:rPr>
        <w:tab/>
      </w:r>
    </w:p>
    <w:sectPr>
      <w:headerReference w:type="even" r:id="rId16"/>
      <w:headerReference w:type="default" r:id="rId17"/>
      <w:footerReference w:type="even" r:id="rId18"/>
      <w:footerReference w:type="default" r:id="rId19"/>
      <w:headerReference w:type="first" r:id="rId20"/>
      <w:footerReference w:type="first" r:id="rId21"/>
      <w:pgSz w:w="11906" w:h="16838"/>
      <w:pgMar w:top="1320" w:right="1151" w:bottom="1440" w:left="1151" w:header="720" w:footer="720" w:gutter="0"/>
      <w:pgNumType w:fmt="numberInDash"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4169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p/>
  </w:footnote>
  <w:footnote w:id="2">
    <w:p>
      <w:pPr>
        <w:pStyle w:val="FootnoteText"/>
      </w:pPr>
      <w:r>
        <w:rPr>
          <w:rStyle w:val="FootnoteReference"/>
        </w:rPr>
        <w:footnoteRef/>
      </w:r>
      <w:r>
        <w:t xml:space="preserve"> Financial Regulation applicable to the general budget of the Union and its rules of application, Regulation (EU, Euratom) 2018/1046 of 30 July 2018.</w:t>
      </w:r>
    </w:p>
  </w:footnote>
  <w:footnote w:id="3">
    <w:p>
      <w:pPr>
        <w:pStyle w:val="FootnoteText"/>
      </w:pPr>
      <w:r>
        <w:rPr>
          <w:rStyle w:val="FootnoteReference"/>
        </w:rPr>
        <w:footnoteRef/>
      </w:r>
      <w:r>
        <w:t xml:space="preserve"> TF50(2018)33 – Commission to EU 27, 28 February 2018</w:t>
      </w:r>
    </w:p>
  </w:footnote>
  <w:footnote w:id="4">
    <w:p>
      <w:pPr>
        <w:pStyle w:val="FootnoteText"/>
      </w:pPr>
      <w:r>
        <w:rPr>
          <w:rStyle w:val="FootnoteReference"/>
        </w:rPr>
        <w:footnoteRef/>
      </w:r>
      <w:r>
        <w:t xml:space="preserve"> COM(2018)321 to 328 of 02.05.2018</w:t>
      </w:r>
    </w:p>
  </w:footnote>
  <w:footnote w:id="5">
    <w:p>
      <w:pPr>
        <w:pStyle w:val="FootnoteText"/>
      </w:pPr>
      <w:r>
        <w:rPr>
          <w:rStyle w:val="FootnoteReference"/>
        </w:rPr>
        <w:footnoteRef/>
      </w:r>
      <w:r>
        <w:t xml:space="preserve"> European Regional Development Fund (ERDF), European Social Fund (ESF), Cohesion Fund (CF), European Agricultural Fund for Rural Development (EAFRD) and European Maritime and Fisheries Fund (EMFF).</w:t>
      </w:r>
    </w:p>
  </w:footnote>
  <w:footnote w:id="6">
    <w:p>
      <w:pPr>
        <w:pStyle w:val="FootnoteText"/>
      </w:pPr>
      <w:r>
        <w:rPr>
          <w:rStyle w:val="FootnoteReference"/>
        </w:rPr>
        <w:footnoteRef/>
      </w:r>
      <w:r>
        <w:t xml:space="preserve"> </w:t>
      </w:r>
      <w:r>
        <w:rPr>
          <w:lang w:val="en"/>
        </w:rPr>
        <w:t>COM(2018) 537 of 10 July 2018</w:t>
      </w:r>
    </w:p>
  </w:footnote>
  <w:footnote w:id="7">
    <w:p>
      <w:pPr>
        <w:pStyle w:val="FootnoteText"/>
      </w:pPr>
      <w:r>
        <w:rPr>
          <w:rStyle w:val="FootnoteReference"/>
        </w:rPr>
        <w:footnoteRef/>
      </w:r>
      <w:r>
        <w:t xml:space="preserve"> COM(2018)631 final of 12.09.2018 and COM(633) final of 12.09.2018</w:t>
      </w:r>
    </w:p>
  </w:footnote>
  <w:footnote w:id="8">
    <w:p>
      <w:pPr>
        <w:pStyle w:val="FootnoteText"/>
      </w:pPr>
      <w:r>
        <w:rPr>
          <w:rStyle w:val="FootnoteReference"/>
        </w:rPr>
        <w:footnoteRef/>
      </w:r>
      <w:r>
        <w:t xml:space="preserve"> COM(2018)600 – May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258"/>
    <w:multiLevelType w:val="hybridMultilevel"/>
    <w:tmpl w:val="F3A242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157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4D226D"/>
    <w:multiLevelType w:val="hybridMultilevel"/>
    <w:tmpl w:val="B6A09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ED505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29572355"/>
    <w:multiLevelType w:val="hybridMultilevel"/>
    <w:tmpl w:val="5608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9C68F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566"/>
        </w:tabs>
        <w:ind w:left="156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CC371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AC28B0"/>
    <w:multiLevelType w:val="hybridMultilevel"/>
    <w:tmpl w:val="213685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40A54562"/>
    <w:multiLevelType w:val="hybridMultilevel"/>
    <w:tmpl w:val="8286EDAC"/>
    <w:lvl w:ilvl="0" w:tplc="08090001">
      <w:start w:val="1"/>
      <w:numFmt w:val="bullet"/>
      <w:lvlText w:val=""/>
      <w:lvlJc w:val="left"/>
      <w:pPr>
        <w:tabs>
          <w:tab w:val="num" w:pos="720"/>
        </w:tabs>
        <w:ind w:left="720" w:hanging="360"/>
      </w:pPr>
      <w:rPr>
        <w:rFonts w:ascii="Symbol" w:hAnsi="Symbol" w:hint="default"/>
      </w:rPr>
    </w:lvl>
    <w:lvl w:ilvl="1" w:tplc="08090019">
      <w:start w:val="1"/>
      <w:numFmt w:val="bullet"/>
      <w:lvlText w:val=""/>
      <w:lvlJc w:val="left"/>
      <w:pPr>
        <w:tabs>
          <w:tab w:val="num" w:pos="3905"/>
        </w:tabs>
        <w:ind w:left="3905" w:hanging="360"/>
      </w:pPr>
      <w:rPr>
        <w:rFonts w:ascii="Wingdings" w:hAnsi="Wingdings" w:hint="default"/>
      </w:rPr>
    </w:lvl>
    <w:lvl w:ilvl="2" w:tplc="0809001B">
      <w:start w:val="1"/>
      <w:numFmt w:val="decimal"/>
      <w:lvlText w:val="%3."/>
      <w:lvlJc w:val="left"/>
      <w:pPr>
        <w:tabs>
          <w:tab w:val="num" w:pos="2160"/>
        </w:tabs>
        <w:ind w:left="2160" w:hanging="360"/>
      </w:pPr>
      <w:rPr>
        <w:rFonts w:hint="default"/>
      </w:rPr>
    </w:lvl>
    <w:lvl w:ilvl="3" w:tplc="8184259A">
      <w:numFmt w:val="bullet"/>
      <w:lvlText w:val="•"/>
      <w:lvlJc w:val="left"/>
      <w:pPr>
        <w:ind w:left="2880" w:hanging="360"/>
      </w:pPr>
      <w:rPr>
        <w:rFonts w:ascii="Times New Roman" w:eastAsia="Times New Roman" w:hAnsi="Times New Roman" w:cs="Times New Roman"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nsid w:val="489956A0"/>
    <w:multiLevelType w:val="singleLevel"/>
    <w:tmpl w:val="6520E3F6"/>
    <w:lvl w:ilvl="0">
      <w:start w:val="1"/>
      <w:numFmt w:val="bullet"/>
      <w:lvlRestart w:val="0"/>
      <w:pStyle w:val="Tiret0"/>
      <w:lvlText w:val="–"/>
      <w:lvlJc w:val="left"/>
      <w:pPr>
        <w:tabs>
          <w:tab w:val="num" w:pos="850"/>
        </w:tabs>
        <w:ind w:left="850" w:hanging="850"/>
      </w:pPr>
    </w:lvl>
  </w:abstractNum>
  <w:abstractNum w:abstractNumId="11">
    <w:nsid w:val="4D3527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F8732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6913628"/>
    <w:multiLevelType w:val="hybridMultilevel"/>
    <w:tmpl w:val="C5E810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3905"/>
        </w:tabs>
        <w:ind w:left="3905" w:hanging="360"/>
      </w:pPr>
      <w:rPr>
        <w:rFonts w:ascii="Wingdings" w:hAnsi="Wingdings" w:hint="default"/>
      </w:rPr>
    </w:lvl>
    <w:lvl w:ilvl="2" w:tplc="08090005">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7BF14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AD31103"/>
    <w:multiLevelType w:val="hybridMultilevel"/>
    <w:tmpl w:val="9228A8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3D65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24C4580"/>
    <w:multiLevelType w:val="hybridMultilevel"/>
    <w:tmpl w:val="0D28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4B0DA2"/>
    <w:multiLevelType w:val="hybridMultilevel"/>
    <w:tmpl w:val="5E5C631A"/>
    <w:name w:val="Heading"/>
    <w:lvl w:ilvl="0" w:tplc="70C0E33E">
      <w:start w:val="1"/>
      <w:numFmt w:val="bullet"/>
      <w:lvlText w:val=""/>
      <w:lvlJc w:val="left"/>
      <w:pPr>
        <w:tabs>
          <w:tab w:val="num" w:pos="720"/>
        </w:tabs>
        <w:ind w:left="720" w:hanging="360"/>
      </w:pPr>
      <w:rPr>
        <w:rFonts w:ascii="Wingdings" w:hAnsi="Wingdings" w:hint="default"/>
      </w:rPr>
    </w:lvl>
    <w:lvl w:ilvl="1" w:tplc="5608EE86" w:tentative="1">
      <w:start w:val="1"/>
      <w:numFmt w:val="bullet"/>
      <w:lvlText w:val="o"/>
      <w:lvlJc w:val="left"/>
      <w:pPr>
        <w:tabs>
          <w:tab w:val="num" w:pos="1440"/>
        </w:tabs>
        <w:ind w:left="1440" w:hanging="360"/>
      </w:pPr>
      <w:rPr>
        <w:rFonts w:ascii="Courier New" w:hAnsi="Courier New" w:cs="Courier New" w:hint="default"/>
      </w:rPr>
    </w:lvl>
    <w:lvl w:ilvl="2" w:tplc="30244C20" w:tentative="1">
      <w:start w:val="1"/>
      <w:numFmt w:val="bullet"/>
      <w:lvlText w:val=""/>
      <w:lvlJc w:val="left"/>
      <w:pPr>
        <w:tabs>
          <w:tab w:val="num" w:pos="2160"/>
        </w:tabs>
        <w:ind w:left="2160" w:hanging="360"/>
      </w:pPr>
      <w:rPr>
        <w:rFonts w:ascii="Wingdings" w:hAnsi="Wingdings" w:hint="default"/>
      </w:rPr>
    </w:lvl>
    <w:lvl w:ilvl="3" w:tplc="E5CE95E6" w:tentative="1">
      <w:start w:val="1"/>
      <w:numFmt w:val="bullet"/>
      <w:lvlText w:val=""/>
      <w:lvlJc w:val="left"/>
      <w:pPr>
        <w:tabs>
          <w:tab w:val="num" w:pos="2880"/>
        </w:tabs>
        <w:ind w:left="2880" w:hanging="360"/>
      </w:pPr>
      <w:rPr>
        <w:rFonts w:ascii="Symbol" w:hAnsi="Symbol" w:hint="default"/>
      </w:rPr>
    </w:lvl>
    <w:lvl w:ilvl="4" w:tplc="0100D990" w:tentative="1">
      <w:start w:val="1"/>
      <w:numFmt w:val="bullet"/>
      <w:lvlText w:val="o"/>
      <w:lvlJc w:val="left"/>
      <w:pPr>
        <w:tabs>
          <w:tab w:val="num" w:pos="3600"/>
        </w:tabs>
        <w:ind w:left="3600" w:hanging="360"/>
      </w:pPr>
      <w:rPr>
        <w:rFonts w:ascii="Courier New" w:hAnsi="Courier New" w:cs="Courier New" w:hint="default"/>
      </w:rPr>
    </w:lvl>
    <w:lvl w:ilvl="5" w:tplc="FC88B498" w:tentative="1">
      <w:start w:val="1"/>
      <w:numFmt w:val="bullet"/>
      <w:lvlText w:val=""/>
      <w:lvlJc w:val="left"/>
      <w:pPr>
        <w:tabs>
          <w:tab w:val="num" w:pos="4320"/>
        </w:tabs>
        <w:ind w:left="4320" w:hanging="360"/>
      </w:pPr>
      <w:rPr>
        <w:rFonts w:ascii="Wingdings" w:hAnsi="Wingdings" w:hint="default"/>
      </w:rPr>
    </w:lvl>
    <w:lvl w:ilvl="6" w:tplc="D4D21692" w:tentative="1">
      <w:start w:val="1"/>
      <w:numFmt w:val="bullet"/>
      <w:lvlText w:val=""/>
      <w:lvlJc w:val="left"/>
      <w:pPr>
        <w:tabs>
          <w:tab w:val="num" w:pos="5040"/>
        </w:tabs>
        <w:ind w:left="5040" w:hanging="360"/>
      </w:pPr>
      <w:rPr>
        <w:rFonts w:ascii="Symbol" w:hAnsi="Symbol" w:hint="default"/>
      </w:rPr>
    </w:lvl>
    <w:lvl w:ilvl="7" w:tplc="3B12B370" w:tentative="1">
      <w:start w:val="1"/>
      <w:numFmt w:val="bullet"/>
      <w:lvlText w:val="o"/>
      <w:lvlJc w:val="left"/>
      <w:pPr>
        <w:tabs>
          <w:tab w:val="num" w:pos="5760"/>
        </w:tabs>
        <w:ind w:left="5760" w:hanging="360"/>
      </w:pPr>
      <w:rPr>
        <w:rFonts w:ascii="Courier New" w:hAnsi="Courier New" w:cs="Courier New" w:hint="default"/>
      </w:rPr>
    </w:lvl>
    <w:lvl w:ilvl="8" w:tplc="46463BCA" w:tentative="1">
      <w:start w:val="1"/>
      <w:numFmt w:val="bullet"/>
      <w:lvlText w:val=""/>
      <w:lvlJc w:val="left"/>
      <w:pPr>
        <w:tabs>
          <w:tab w:val="num" w:pos="6480"/>
        </w:tabs>
        <w:ind w:left="6480" w:hanging="360"/>
      </w:pPr>
      <w:rPr>
        <w:rFonts w:ascii="Wingdings" w:hAnsi="Wingdings" w:hint="default"/>
      </w:rPr>
    </w:lvl>
  </w:abstractNum>
  <w:abstractNum w:abstractNumId="19">
    <w:nsid w:val="66870614"/>
    <w:multiLevelType w:val="hybridMultilevel"/>
    <w:tmpl w:val="995A9EAA"/>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0">
    <w:nsid w:val="6715525B"/>
    <w:multiLevelType w:val="hybridMultilevel"/>
    <w:tmpl w:val="F3905F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2DB0E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5215256"/>
    <w:multiLevelType w:val="hybridMultilevel"/>
    <w:tmpl w:val="F8F0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460620"/>
    <w:multiLevelType w:val="hybridMultilevel"/>
    <w:tmpl w:val="6E620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C3634E"/>
    <w:multiLevelType w:val="hybridMultilevel"/>
    <w:tmpl w:val="F3905F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F117AE3"/>
    <w:multiLevelType w:val="hybridMultilevel"/>
    <w:tmpl w:val="F7EEF178"/>
    <w:lvl w:ilvl="0" w:tplc="6AAA8028">
      <w:start w:val="1"/>
      <w:numFmt w:val="bullet"/>
      <w:lvlText w:val=""/>
      <w:lvlJc w:val="left"/>
      <w:pPr>
        <w:tabs>
          <w:tab w:val="num" w:pos="720"/>
        </w:tabs>
        <w:ind w:left="720" w:hanging="360"/>
      </w:pPr>
      <w:rPr>
        <w:rFonts w:ascii="Wingdings" w:hAnsi="Wingdings" w:hint="default"/>
      </w:rPr>
    </w:lvl>
    <w:lvl w:ilvl="1" w:tplc="F9AE0BC2">
      <w:start w:val="1"/>
      <w:numFmt w:val="bullet"/>
      <w:lvlText w:val=""/>
      <w:lvlJc w:val="left"/>
      <w:pPr>
        <w:tabs>
          <w:tab w:val="num" w:pos="3905"/>
        </w:tabs>
        <w:ind w:left="3905" w:hanging="360"/>
      </w:pPr>
      <w:rPr>
        <w:rFonts w:ascii="Wingdings" w:hAnsi="Wingdings" w:hint="default"/>
      </w:rPr>
    </w:lvl>
    <w:lvl w:ilvl="2" w:tplc="6FC8AB52">
      <w:start w:val="1"/>
      <w:numFmt w:val="decimal"/>
      <w:lvlText w:val="%3."/>
      <w:lvlJc w:val="left"/>
      <w:pPr>
        <w:tabs>
          <w:tab w:val="num" w:pos="2160"/>
        </w:tabs>
        <w:ind w:left="2160" w:hanging="360"/>
      </w:pPr>
      <w:rPr>
        <w:rFonts w:hint="default"/>
      </w:rPr>
    </w:lvl>
    <w:lvl w:ilvl="3" w:tplc="0E96D468" w:tentative="1">
      <w:start w:val="1"/>
      <w:numFmt w:val="bullet"/>
      <w:lvlText w:val=""/>
      <w:lvlJc w:val="left"/>
      <w:pPr>
        <w:tabs>
          <w:tab w:val="num" w:pos="2880"/>
        </w:tabs>
        <w:ind w:left="2880" w:hanging="360"/>
      </w:pPr>
      <w:rPr>
        <w:rFonts w:ascii="Symbol" w:hAnsi="Symbol" w:hint="default"/>
      </w:rPr>
    </w:lvl>
    <w:lvl w:ilvl="4" w:tplc="2F8C92AC" w:tentative="1">
      <w:start w:val="1"/>
      <w:numFmt w:val="bullet"/>
      <w:lvlText w:val="o"/>
      <w:lvlJc w:val="left"/>
      <w:pPr>
        <w:tabs>
          <w:tab w:val="num" w:pos="3600"/>
        </w:tabs>
        <w:ind w:left="3600" w:hanging="360"/>
      </w:pPr>
      <w:rPr>
        <w:rFonts w:ascii="Courier New" w:hAnsi="Courier New" w:cs="Courier New" w:hint="default"/>
      </w:rPr>
    </w:lvl>
    <w:lvl w:ilvl="5" w:tplc="68BEBA64" w:tentative="1">
      <w:start w:val="1"/>
      <w:numFmt w:val="bullet"/>
      <w:lvlText w:val=""/>
      <w:lvlJc w:val="left"/>
      <w:pPr>
        <w:tabs>
          <w:tab w:val="num" w:pos="4320"/>
        </w:tabs>
        <w:ind w:left="4320" w:hanging="360"/>
      </w:pPr>
      <w:rPr>
        <w:rFonts w:ascii="Wingdings" w:hAnsi="Wingdings" w:hint="default"/>
      </w:rPr>
    </w:lvl>
    <w:lvl w:ilvl="6" w:tplc="466CF938" w:tentative="1">
      <w:start w:val="1"/>
      <w:numFmt w:val="bullet"/>
      <w:lvlText w:val=""/>
      <w:lvlJc w:val="left"/>
      <w:pPr>
        <w:tabs>
          <w:tab w:val="num" w:pos="5040"/>
        </w:tabs>
        <w:ind w:left="5040" w:hanging="360"/>
      </w:pPr>
      <w:rPr>
        <w:rFonts w:ascii="Symbol" w:hAnsi="Symbol" w:hint="default"/>
      </w:rPr>
    </w:lvl>
    <w:lvl w:ilvl="7" w:tplc="8FE826AC" w:tentative="1">
      <w:start w:val="1"/>
      <w:numFmt w:val="bullet"/>
      <w:lvlText w:val="o"/>
      <w:lvlJc w:val="left"/>
      <w:pPr>
        <w:tabs>
          <w:tab w:val="num" w:pos="5760"/>
        </w:tabs>
        <w:ind w:left="5760" w:hanging="360"/>
      </w:pPr>
      <w:rPr>
        <w:rFonts w:ascii="Courier New" w:hAnsi="Courier New" w:cs="Courier New" w:hint="default"/>
      </w:rPr>
    </w:lvl>
    <w:lvl w:ilvl="8" w:tplc="E0524B4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6"/>
  </w:num>
  <w:num w:numId="4">
    <w:abstractNumId w:val="25"/>
  </w:num>
  <w:num w:numId="5">
    <w:abstractNumId w:val="13"/>
  </w:num>
  <w:num w:numId="6">
    <w:abstractNumId w:val="9"/>
  </w:num>
  <w:num w:numId="7">
    <w:abstractNumId w:val="3"/>
  </w:num>
  <w:num w:numId="8">
    <w:abstractNumId w:val="24"/>
  </w:num>
  <w:num w:numId="9">
    <w:abstractNumId w:val="2"/>
  </w:num>
  <w:num w:numId="10">
    <w:abstractNumId w:val="22"/>
  </w:num>
  <w:num w:numId="11">
    <w:abstractNumId w:val="0"/>
  </w:num>
  <w:num w:numId="12">
    <w:abstractNumId w:val="4"/>
  </w:num>
  <w:num w:numId="13">
    <w:abstractNumId w:val="19"/>
  </w:num>
  <w:num w:numId="14">
    <w:abstractNumId w:val="23"/>
  </w:num>
  <w:num w:numId="15">
    <w:abstractNumId w:val="5"/>
  </w:num>
  <w:num w:numId="16">
    <w:abstractNumId w:val="20"/>
  </w:num>
  <w:num w:numId="17">
    <w:abstractNumId w:val="15"/>
  </w:num>
  <w:num w:numId="18">
    <w:abstractNumId w:val="8"/>
  </w:num>
  <w:num w:numId="19">
    <w:abstractNumId w:val="17"/>
  </w:num>
  <w:num w:numId="20">
    <w:abstractNumId w:val="25"/>
    <w:lvlOverride w:ilvl="0"/>
    <w:lvlOverride w:ilvl="1"/>
    <w:lvlOverride w:ilvl="2">
      <w:startOverride w:val="1"/>
    </w:lvlOverride>
    <w:lvlOverride w:ilvl="3"/>
    <w:lvlOverride w:ilvl="4"/>
    <w:lvlOverride w:ilvl="5"/>
    <w:lvlOverride w:ilvl="6"/>
    <w:lvlOverride w:ilvl="7"/>
    <w:lvlOverride w:ilvl="8"/>
  </w:num>
  <w:num w:numId="21">
    <w:abstractNumId w:val="1"/>
  </w:num>
  <w:num w:numId="22">
    <w:abstractNumId w:val="15"/>
  </w:num>
  <w:num w:numId="23">
    <w:abstractNumId w:val="13"/>
    <w:lvlOverride w:ilvl="0"/>
    <w:lvlOverride w:ilvl="1"/>
    <w:lvlOverride w:ilvl="2">
      <w:startOverride w:val="1"/>
    </w:lvlOverride>
    <w:lvlOverride w:ilvl="3"/>
    <w:lvlOverride w:ilvl="4"/>
    <w:lvlOverride w:ilvl="5"/>
    <w:lvlOverride w:ilvl="6"/>
    <w:lvlOverride w:ilvl="7"/>
    <w:lvlOverride w:ilvl="8"/>
  </w:num>
  <w:num w:numId="24">
    <w:abstractNumId w:val="11"/>
  </w:num>
  <w:num w:numId="25">
    <w:abstractNumId w:val="21"/>
  </w:num>
  <w:num w:numId="26">
    <w:abstractNumId w:val="7"/>
  </w:num>
  <w:num w:numId="27">
    <w:abstractNumId w:val="14"/>
  </w:num>
  <w:num w:numId="28">
    <w:abstractNumId w:val="16"/>
  </w:num>
  <w:num w:numId="2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59F2F5DC-7906-490C-A7E3-E587533B17D0"/>
    <w:docVar w:name="LW_COVERPAGE_TYPE" w:val="1"/>
    <w:docVar w:name="LW_CROSSREFERENCE" w:val="&lt;UNUSED&gt;"/>
    <w:docVar w:name="LW_DocType" w:val="NORMAL"/>
    <w:docVar w:name="LW_EMISSION" w:val="10.10.2018"/>
    <w:docVar w:name="LW_EMISSION_ISODATE" w:val="2018-10-1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ong-term forecast of future inflows and outflows of the EU budget (2019-2023)"/>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tabs>
        <w:tab w:val="num" w:pos="480"/>
      </w:tabs>
      <w:spacing w:before="240" w:after="240"/>
      <w:ind w:left="480" w:hanging="480"/>
      <w:jc w:val="both"/>
      <w:outlineLvl w:val="0"/>
    </w:pPr>
    <w:rPr>
      <w:b/>
      <w:smallCaps/>
      <w:szCs w:val="20"/>
      <w:lang w:eastAsia="en-US"/>
    </w:rPr>
  </w:style>
  <w:style w:type="paragraph" w:styleId="Heading2">
    <w:name w:val="heading 2"/>
    <w:basedOn w:val="Normal"/>
    <w:next w:val="Normal"/>
    <w:link w:val="Heading2Char"/>
    <w:qFormat/>
    <w:pPr>
      <w:keepNext/>
      <w:tabs>
        <w:tab w:val="num" w:pos="1200"/>
      </w:tabs>
      <w:spacing w:after="240"/>
      <w:ind w:left="1200" w:hanging="720"/>
      <w:jc w:val="both"/>
      <w:outlineLvl w:val="1"/>
    </w:pPr>
    <w:rPr>
      <w:b/>
      <w:szCs w:val="20"/>
      <w:lang w:eastAsia="en-US"/>
    </w:rPr>
  </w:style>
  <w:style w:type="paragraph" w:styleId="Heading3">
    <w:name w:val="heading 3"/>
    <w:basedOn w:val="Normal"/>
    <w:next w:val="Normal"/>
    <w:qFormat/>
    <w:pPr>
      <w:keepNext/>
      <w:spacing w:before="240" w:after="60"/>
      <w:outlineLvl w:val="2"/>
    </w:pPr>
    <w:rPr>
      <w:rFonts w:ascii="Arial" w:hAnsi="Arial"/>
      <w:szCs w:val="20"/>
      <w:lang w:val="fr-FR"/>
    </w:rPr>
  </w:style>
  <w:style w:type="paragraph" w:styleId="Heading4">
    <w:name w:val="heading 4"/>
    <w:basedOn w:val="Normal"/>
    <w:next w:val="Normal"/>
    <w:qFormat/>
    <w:pPr>
      <w:keepNext/>
      <w:tabs>
        <w:tab w:val="num" w:pos="1920"/>
      </w:tabs>
      <w:spacing w:after="240"/>
      <w:ind w:left="1920" w:hanging="72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rPr>
      <w:szCs w:val="20"/>
      <w:lang w:val="fr-FR"/>
    </w:rPr>
  </w:style>
  <w:style w:type="paragraph" w:styleId="Header">
    <w:name w:val="head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rPr>
      <w:sz w:val="20"/>
      <w:szCs w:val="20"/>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customStyle="1" w:styleId="ZCom">
    <w:name w:val="Z_Com"/>
    <w:basedOn w:val="Normal"/>
    <w:next w:val="ZDGName"/>
    <w:pPr>
      <w:widowControl w:val="0"/>
      <w:autoSpaceDE w:val="0"/>
      <w:autoSpaceDN w:val="0"/>
      <w:ind w:right="85"/>
      <w:jc w:val="both"/>
    </w:pPr>
    <w:rPr>
      <w:rFonts w:ascii="Arial" w:hAnsi="Arial" w:cs="Arial"/>
      <w:lang w:val="fr-FR" w:eastAsia="ko-KR"/>
    </w:rPr>
  </w:style>
  <w:style w:type="paragraph" w:customStyle="1" w:styleId="ZDGName">
    <w:name w:val="Z_DGName"/>
    <w:basedOn w:val="Normal"/>
    <w:pPr>
      <w:widowControl w:val="0"/>
      <w:autoSpaceDE w:val="0"/>
      <w:autoSpaceDN w:val="0"/>
      <w:ind w:right="85"/>
    </w:pPr>
    <w:rPr>
      <w:rFonts w:ascii="Arial" w:hAnsi="Arial" w:cs="Arial"/>
      <w:sz w:val="16"/>
      <w:szCs w:val="16"/>
      <w:lang w:val="fr-FR" w:eastAsia="ko-KR"/>
    </w:rPr>
  </w:style>
  <w:style w:type="paragraph" w:customStyle="1" w:styleId="NoteHead">
    <w:name w:val="NoteHead"/>
    <w:basedOn w:val="Normal"/>
    <w:next w:val="Normal"/>
    <w:pPr>
      <w:spacing w:before="720" w:after="720"/>
      <w:jc w:val="center"/>
    </w:pPr>
    <w:rPr>
      <w:b/>
      <w:smallCaps/>
      <w:szCs w:val="20"/>
      <w:lang w:eastAsia="en-US"/>
    </w:rPr>
  </w:style>
  <w:style w:type="paragraph" w:customStyle="1" w:styleId="Text3">
    <w:name w:val="Text 3"/>
    <w:basedOn w:val="Normal"/>
    <w:pPr>
      <w:spacing w:before="120" w:after="120"/>
      <w:ind w:left="851"/>
      <w:jc w:val="both"/>
    </w:pPr>
    <w:rPr>
      <w:szCs w:val="20"/>
      <w:lang w:eastAsia="fr-BE"/>
    </w:rPr>
  </w:style>
  <w:style w:type="paragraph" w:customStyle="1" w:styleId="Tiret0">
    <w:name w:val="Tiret 0"/>
    <w:basedOn w:val="Normal"/>
    <w:link w:val="Tiret0Char"/>
    <w:pPr>
      <w:numPr>
        <w:numId w:val="1"/>
      </w:numPr>
      <w:spacing w:before="120" w:after="120"/>
      <w:jc w:val="both"/>
    </w:pPr>
  </w:style>
  <w:style w:type="character" w:customStyle="1" w:styleId="Tiret0Char">
    <w:name w:val="Tiret 0 Char"/>
    <w:basedOn w:val="DefaultParagraphFont"/>
    <w:link w:val="Tiret0"/>
    <w:rPr>
      <w:sz w:val="24"/>
      <w:szCs w:val="24"/>
    </w:rPr>
  </w:style>
  <w:style w:type="character" w:styleId="PageNumber">
    <w:name w:val="page number"/>
    <w:basedOn w:val="DefaultParagraphFont"/>
  </w:style>
  <w:style w:type="paragraph" w:customStyle="1" w:styleId="Text1">
    <w:name w:val="Text 1"/>
    <w:basedOn w:val="Normal"/>
    <w:link w:val="Text1Char"/>
    <w:pPr>
      <w:spacing w:after="240"/>
      <w:ind w:left="482"/>
      <w:jc w:val="both"/>
    </w:pPr>
    <w:rPr>
      <w:szCs w:val="20"/>
      <w:lang w:eastAsia="en-US"/>
    </w:rPr>
  </w:style>
  <w:style w:type="paragraph" w:customStyle="1" w:styleId="Text2">
    <w:name w:val="Text 2"/>
    <w:basedOn w:val="Normal"/>
    <w:pPr>
      <w:tabs>
        <w:tab w:val="left" w:pos="2160"/>
      </w:tabs>
      <w:spacing w:after="240"/>
      <w:ind w:left="1077"/>
      <w:jc w:val="both"/>
    </w:pPr>
    <w:rPr>
      <w:szCs w:val="20"/>
      <w:lang w:eastAsia="en-US"/>
    </w:rPr>
  </w:style>
  <w:style w:type="paragraph" w:styleId="ListBullet2">
    <w:name w:val="List Bullet 2"/>
    <w:basedOn w:val="Text2"/>
    <w:pPr>
      <w:numPr>
        <w:numId w:val="3"/>
      </w:numPr>
      <w:tabs>
        <w:tab w:val="clear" w:pos="2160"/>
      </w:tabs>
    </w:pPr>
  </w:style>
  <w:style w:type="table" w:styleId="TableGrid">
    <w:name w:val="Table Grid"/>
    <w:basedOn w:val="TableNormal"/>
    <w:uiPriority w:val="59"/>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ject">
    <w:name w:val="Subject"/>
    <w:basedOn w:val="Normal"/>
    <w:next w:val="Normal"/>
    <w:pPr>
      <w:spacing w:after="480"/>
      <w:ind w:left="1191" w:hanging="1191"/>
    </w:pPr>
    <w:rPr>
      <w:b/>
      <w:szCs w:val="20"/>
      <w:lang w:eastAsia="en-US"/>
    </w:rPr>
  </w:style>
  <w:style w:type="character" w:customStyle="1" w:styleId="Text1Char">
    <w:name w:val="Text 1 Char"/>
    <w:basedOn w:val="DefaultParagraphFont"/>
    <w:link w:val="Text1"/>
    <w:rPr>
      <w:sz w:val="24"/>
      <w:lang w:val="en-GB"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rPr>
      <w:rFonts w:ascii="Calibri" w:hAnsi="Calibri"/>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FooterChar">
    <w:name w:val="Footer Char"/>
    <w:basedOn w:val="DefaultParagraphFont"/>
    <w:link w:val="Footer"/>
    <w:uiPriority w:val="99"/>
    <w:rPr>
      <w:sz w:val="24"/>
      <w:lang w:val="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tabs>
        <w:tab w:val="clear" w:pos="480"/>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qFormat/>
    <w:pPr>
      <w:spacing w:after="100"/>
    </w:pPr>
  </w:style>
  <w:style w:type="paragraph" w:styleId="TOC2">
    <w:name w:val="toc 2"/>
    <w:basedOn w:val="Normal"/>
    <w:next w:val="Normal"/>
    <w:autoRedefine/>
    <w:uiPriority w:val="39"/>
    <w:qFormat/>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 w:val="22"/>
      <w:szCs w:val="22"/>
      <w:lang w:val="en-US"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aptionChar">
    <w:name w:val="Caption Char"/>
    <w:basedOn w:val="DefaultParagraphFont"/>
    <w:link w:val="Caption"/>
    <w:rPr>
      <w:b/>
      <w:bCs/>
      <w:color w:val="4F81BD" w:themeColor="accent1"/>
      <w:sz w:val="18"/>
      <w:szCs w:val="18"/>
    </w:rPr>
  </w:style>
  <w:style w:type="character" w:customStyle="1" w:styleId="FooterCoverPageChar">
    <w:name w:val="Footer Cover Page Char"/>
    <w:basedOn w:val="CaptionChar"/>
    <w:link w:val="FooterCoverPage"/>
    <w:rPr>
      <w:b w:val="0"/>
      <w:bCs w:val="0"/>
      <w:color w:val="4F81BD" w:themeColor="accent1"/>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aptionChar"/>
    <w:link w:val="FooterSensitivity"/>
    <w:rPr>
      <w:b/>
      <w:bCs w:val="0"/>
      <w:color w:val="4F81BD" w:themeColor="accent1"/>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aptionChar"/>
    <w:link w:val="HeaderCoverPage"/>
    <w:rPr>
      <w:b w:val="0"/>
      <w:bCs w:val="0"/>
      <w:color w:val="4F81BD" w:themeColor="accent1"/>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aptionChar"/>
    <w:link w:val="HeaderSensitivity"/>
    <w:rPr>
      <w:b/>
      <w:bCs w:val="0"/>
      <w:color w:val="4F81BD" w:themeColor="accent1"/>
      <w:sz w:val="32"/>
      <w:szCs w:val="24"/>
    </w:rPr>
  </w:style>
  <w:style w:type="character" w:customStyle="1" w:styleId="WW8Num4z1">
    <w:name w:val="WW8Num4z1"/>
    <w:rPr>
      <w:rFonts w:ascii="Wingdings" w:hAnsi="Wingdings" w:cs="Symbo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tabs>
        <w:tab w:val="num" w:pos="480"/>
      </w:tabs>
      <w:spacing w:before="240" w:after="240"/>
      <w:ind w:left="480" w:hanging="480"/>
      <w:jc w:val="both"/>
      <w:outlineLvl w:val="0"/>
    </w:pPr>
    <w:rPr>
      <w:b/>
      <w:smallCaps/>
      <w:szCs w:val="20"/>
      <w:lang w:eastAsia="en-US"/>
    </w:rPr>
  </w:style>
  <w:style w:type="paragraph" w:styleId="Heading2">
    <w:name w:val="heading 2"/>
    <w:basedOn w:val="Normal"/>
    <w:next w:val="Normal"/>
    <w:link w:val="Heading2Char"/>
    <w:qFormat/>
    <w:pPr>
      <w:keepNext/>
      <w:tabs>
        <w:tab w:val="num" w:pos="1200"/>
      </w:tabs>
      <w:spacing w:after="240"/>
      <w:ind w:left="1200" w:hanging="720"/>
      <w:jc w:val="both"/>
      <w:outlineLvl w:val="1"/>
    </w:pPr>
    <w:rPr>
      <w:b/>
      <w:szCs w:val="20"/>
      <w:lang w:eastAsia="en-US"/>
    </w:rPr>
  </w:style>
  <w:style w:type="paragraph" w:styleId="Heading3">
    <w:name w:val="heading 3"/>
    <w:basedOn w:val="Normal"/>
    <w:next w:val="Normal"/>
    <w:qFormat/>
    <w:pPr>
      <w:keepNext/>
      <w:spacing w:before="240" w:after="60"/>
      <w:outlineLvl w:val="2"/>
    </w:pPr>
    <w:rPr>
      <w:rFonts w:ascii="Arial" w:hAnsi="Arial"/>
      <w:szCs w:val="20"/>
      <w:lang w:val="fr-FR"/>
    </w:rPr>
  </w:style>
  <w:style w:type="paragraph" w:styleId="Heading4">
    <w:name w:val="heading 4"/>
    <w:basedOn w:val="Normal"/>
    <w:next w:val="Normal"/>
    <w:qFormat/>
    <w:pPr>
      <w:keepNext/>
      <w:tabs>
        <w:tab w:val="num" w:pos="1920"/>
      </w:tabs>
      <w:spacing w:after="240"/>
      <w:ind w:left="1920" w:hanging="72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rPr>
      <w:szCs w:val="20"/>
      <w:lang w:val="fr-FR"/>
    </w:rPr>
  </w:style>
  <w:style w:type="paragraph" w:styleId="Header">
    <w:name w:val="head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rPr>
      <w:sz w:val="20"/>
      <w:szCs w:val="20"/>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customStyle="1" w:styleId="ZCom">
    <w:name w:val="Z_Com"/>
    <w:basedOn w:val="Normal"/>
    <w:next w:val="ZDGName"/>
    <w:pPr>
      <w:widowControl w:val="0"/>
      <w:autoSpaceDE w:val="0"/>
      <w:autoSpaceDN w:val="0"/>
      <w:ind w:right="85"/>
      <w:jc w:val="both"/>
    </w:pPr>
    <w:rPr>
      <w:rFonts w:ascii="Arial" w:hAnsi="Arial" w:cs="Arial"/>
      <w:lang w:val="fr-FR" w:eastAsia="ko-KR"/>
    </w:rPr>
  </w:style>
  <w:style w:type="paragraph" w:customStyle="1" w:styleId="ZDGName">
    <w:name w:val="Z_DGName"/>
    <w:basedOn w:val="Normal"/>
    <w:pPr>
      <w:widowControl w:val="0"/>
      <w:autoSpaceDE w:val="0"/>
      <w:autoSpaceDN w:val="0"/>
      <w:ind w:right="85"/>
    </w:pPr>
    <w:rPr>
      <w:rFonts w:ascii="Arial" w:hAnsi="Arial" w:cs="Arial"/>
      <w:sz w:val="16"/>
      <w:szCs w:val="16"/>
      <w:lang w:val="fr-FR" w:eastAsia="ko-KR"/>
    </w:rPr>
  </w:style>
  <w:style w:type="paragraph" w:customStyle="1" w:styleId="NoteHead">
    <w:name w:val="NoteHead"/>
    <w:basedOn w:val="Normal"/>
    <w:next w:val="Normal"/>
    <w:pPr>
      <w:spacing w:before="720" w:after="720"/>
      <w:jc w:val="center"/>
    </w:pPr>
    <w:rPr>
      <w:b/>
      <w:smallCaps/>
      <w:szCs w:val="20"/>
      <w:lang w:eastAsia="en-US"/>
    </w:rPr>
  </w:style>
  <w:style w:type="paragraph" w:customStyle="1" w:styleId="Text3">
    <w:name w:val="Text 3"/>
    <w:basedOn w:val="Normal"/>
    <w:pPr>
      <w:spacing w:before="120" w:after="120"/>
      <w:ind w:left="851"/>
      <w:jc w:val="both"/>
    </w:pPr>
    <w:rPr>
      <w:szCs w:val="20"/>
      <w:lang w:eastAsia="fr-BE"/>
    </w:rPr>
  </w:style>
  <w:style w:type="paragraph" w:customStyle="1" w:styleId="Tiret0">
    <w:name w:val="Tiret 0"/>
    <w:basedOn w:val="Normal"/>
    <w:link w:val="Tiret0Char"/>
    <w:pPr>
      <w:numPr>
        <w:numId w:val="1"/>
      </w:numPr>
      <w:spacing w:before="120" w:after="120"/>
      <w:jc w:val="both"/>
    </w:pPr>
  </w:style>
  <w:style w:type="character" w:customStyle="1" w:styleId="Tiret0Char">
    <w:name w:val="Tiret 0 Char"/>
    <w:basedOn w:val="DefaultParagraphFont"/>
    <w:link w:val="Tiret0"/>
    <w:rPr>
      <w:sz w:val="24"/>
      <w:szCs w:val="24"/>
    </w:rPr>
  </w:style>
  <w:style w:type="character" w:styleId="PageNumber">
    <w:name w:val="page number"/>
    <w:basedOn w:val="DefaultParagraphFont"/>
  </w:style>
  <w:style w:type="paragraph" w:customStyle="1" w:styleId="Text1">
    <w:name w:val="Text 1"/>
    <w:basedOn w:val="Normal"/>
    <w:link w:val="Text1Char"/>
    <w:pPr>
      <w:spacing w:after="240"/>
      <w:ind w:left="482"/>
      <w:jc w:val="both"/>
    </w:pPr>
    <w:rPr>
      <w:szCs w:val="20"/>
      <w:lang w:eastAsia="en-US"/>
    </w:rPr>
  </w:style>
  <w:style w:type="paragraph" w:customStyle="1" w:styleId="Text2">
    <w:name w:val="Text 2"/>
    <w:basedOn w:val="Normal"/>
    <w:pPr>
      <w:tabs>
        <w:tab w:val="left" w:pos="2160"/>
      </w:tabs>
      <w:spacing w:after="240"/>
      <w:ind w:left="1077"/>
      <w:jc w:val="both"/>
    </w:pPr>
    <w:rPr>
      <w:szCs w:val="20"/>
      <w:lang w:eastAsia="en-US"/>
    </w:rPr>
  </w:style>
  <w:style w:type="paragraph" w:styleId="ListBullet2">
    <w:name w:val="List Bullet 2"/>
    <w:basedOn w:val="Text2"/>
    <w:pPr>
      <w:numPr>
        <w:numId w:val="3"/>
      </w:numPr>
      <w:tabs>
        <w:tab w:val="clear" w:pos="2160"/>
      </w:tabs>
    </w:pPr>
  </w:style>
  <w:style w:type="table" w:styleId="TableGrid">
    <w:name w:val="Table Grid"/>
    <w:basedOn w:val="TableNormal"/>
    <w:uiPriority w:val="59"/>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ject">
    <w:name w:val="Subject"/>
    <w:basedOn w:val="Normal"/>
    <w:next w:val="Normal"/>
    <w:pPr>
      <w:spacing w:after="480"/>
      <w:ind w:left="1191" w:hanging="1191"/>
    </w:pPr>
    <w:rPr>
      <w:b/>
      <w:szCs w:val="20"/>
      <w:lang w:eastAsia="en-US"/>
    </w:rPr>
  </w:style>
  <w:style w:type="character" w:customStyle="1" w:styleId="Text1Char">
    <w:name w:val="Text 1 Char"/>
    <w:basedOn w:val="DefaultParagraphFont"/>
    <w:link w:val="Text1"/>
    <w:rPr>
      <w:sz w:val="24"/>
      <w:lang w:val="en-GB"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rPr>
      <w:rFonts w:ascii="Calibri" w:hAnsi="Calibri"/>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FooterChar">
    <w:name w:val="Footer Char"/>
    <w:basedOn w:val="DefaultParagraphFont"/>
    <w:link w:val="Footer"/>
    <w:uiPriority w:val="99"/>
    <w:rPr>
      <w:sz w:val="24"/>
      <w:lang w:val="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tabs>
        <w:tab w:val="clear" w:pos="480"/>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qFormat/>
    <w:pPr>
      <w:spacing w:after="100"/>
    </w:pPr>
  </w:style>
  <w:style w:type="paragraph" w:styleId="TOC2">
    <w:name w:val="toc 2"/>
    <w:basedOn w:val="Normal"/>
    <w:next w:val="Normal"/>
    <w:autoRedefine/>
    <w:uiPriority w:val="39"/>
    <w:qFormat/>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 w:val="22"/>
      <w:szCs w:val="22"/>
      <w:lang w:val="en-US"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aptionChar">
    <w:name w:val="Caption Char"/>
    <w:basedOn w:val="DefaultParagraphFont"/>
    <w:link w:val="Caption"/>
    <w:rPr>
      <w:b/>
      <w:bCs/>
      <w:color w:val="4F81BD" w:themeColor="accent1"/>
      <w:sz w:val="18"/>
      <w:szCs w:val="18"/>
    </w:rPr>
  </w:style>
  <w:style w:type="character" w:customStyle="1" w:styleId="FooterCoverPageChar">
    <w:name w:val="Footer Cover Page Char"/>
    <w:basedOn w:val="CaptionChar"/>
    <w:link w:val="FooterCoverPage"/>
    <w:rPr>
      <w:b w:val="0"/>
      <w:bCs w:val="0"/>
      <w:color w:val="4F81BD" w:themeColor="accent1"/>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aptionChar"/>
    <w:link w:val="FooterSensitivity"/>
    <w:rPr>
      <w:b/>
      <w:bCs w:val="0"/>
      <w:color w:val="4F81BD" w:themeColor="accent1"/>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aptionChar"/>
    <w:link w:val="HeaderCoverPage"/>
    <w:rPr>
      <w:b w:val="0"/>
      <w:bCs w:val="0"/>
      <w:color w:val="4F81BD" w:themeColor="accent1"/>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aptionChar"/>
    <w:link w:val="HeaderSensitivity"/>
    <w:rPr>
      <w:b/>
      <w:bCs w:val="0"/>
      <w:color w:val="4F81BD" w:themeColor="accent1"/>
      <w:sz w:val="32"/>
      <w:szCs w:val="24"/>
    </w:rPr>
  </w:style>
  <w:style w:type="character" w:customStyle="1" w:styleId="WW8Num4z1">
    <w:name w:val="WW8Num4z1"/>
    <w:rPr>
      <w:rFonts w:ascii="Wingdings" w:hAnsi="Wingdings" w:cs="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6312">
      <w:bodyDiv w:val="1"/>
      <w:marLeft w:val="0"/>
      <w:marRight w:val="0"/>
      <w:marTop w:val="0"/>
      <w:marBottom w:val="0"/>
      <w:divBdr>
        <w:top w:val="none" w:sz="0" w:space="0" w:color="auto"/>
        <w:left w:val="none" w:sz="0" w:space="0" w:color="auto"/>
        <w:bottom w:val="none" w:sz="0" w:space="0" w:color="auto"/>
        <w:right w:val="none" w:sz="0" w:space="0" w:color="auto"/>
      </w:divBdr>
    </w:div>
    <w:div w:id="50464669">
      <w:bodyDiv w:val="1"/>
      <w:marLeft w:val="0"/>
      <w:marRight w:val="0"/>
      <w:marTop w:val="0"/>
      <w:marBottom w:val="0"/>
      <w:divBdr>
        <w:top w:val="none" w:sz="0" w:space="0" w:color="auto"/>
        <w:left w:val="none" w:sz="0" w:space="0" w:color="auto"/>
        <w:bottom w:val="none" w:sz="0" w:space="0" w:color="auto"/>
        <w:right w:val="none" w:sz="0" w:space="0" w:color="auto"/>
      </w:divBdr>
    </w:div>
    <w:div w:id="69893873">
      <w:bodyDiv w:val="1"/>
      <w:marLeft w:val="0"/>
      <w:marRight w:val="0"/>
      <w:marTop w:val="0"/>
      <w:marBottom w:val="0"/>
      <w:divBdr>
        <w:top w:val="none" w:sz="0" w:space="0" w:color="auto"/>
        <w:left w:val="none" w:sz="0" w:space="0" w:color="auto"/>
        <w:bottom w:val="none" w:sz="0" w:space="0" w:color="auto"/>
        <w:right w:val="none" w:sz="0" w:space="0" w:color="auto"/>
      </w:divBdr>
    </w:div>
    <w:div w:id="124977635">
      <w:bodyDiv w:val="1"/>
      <w:marLeft w:val="0"/>
      <w:marRight w:val="0"/>
      <w:marTop w:val="0"/>
      <w:marBottom w:val="0"/>
      <w:divBdr>
        <w:top w:val="none" w:sz="0" w:space="0" w:color="auto"/>
        <w:left w:val="none" w:sz="0" w:space="0" w:color="auto"/>
        <w:bottom w:val="none" w:sz="0" w:space="0" w:color="auto"/>
        <w:right w:val="none" w:sz="0" w:space="0" w:color="auto"/>
      </w:divBdr>
    </w:div>
    <w:div w:id="168714907">
      <w:bodyDiv w:val="1"/>
      <w:marLeft w:val="0"/>
      <w:marRight w:val="0"/>
      <w:marTop w:val="0"/>
      <w:marBottom w:val="0"/>
      <w:divBdr>
        <w:top w:val="none" w:sz="0" w:space="0" w:color="auto"/>
        <w:left w:val="none" w:sz="0" w:space="0" w:color="auto"/>
        <w:bottom w:val="none" w:sz="0" w:space="0" w:color="auto"/>
        <w:right w:val="none" w:sz="0" w:space="0" w:color="auto"/>
      </w:divBdr>
    </w:div>
    <w:div w:id="236675874">
      <w:bodyDiv w:val="1"/>
      <w:marLeft w:val="0"/>
      <w:marRight w:val="0"/>
      <w:marTop w:val="0"/>
      <w:marBottom w:val="0"/>
      <w:divBdr>
        <w:top w:val="none" w:sz="0" w:space="0" w:color="auto"/>
        <w:left w:val="none" w:sz="0" w:space="0" w:color="auto"/>
        <w:bottom w:val="none" w:sz="0" w:space="0" w:color="auto"/>
        <w:right w:val="none" w:sz="0" w:space="0" w:color="auto"/>
      </w:divBdr>
    </w:div>
    <w:div w:id="353387099">
      <w:bodyDiv w:val="1"/>
      <w:marLeft w:val="0"/>
      <w:marRight w:val="0"/>
      <w:marTop w:val="0"/>
      <w:marBottom w:val="0"/>
      <w:divBdr>
        <w:top w:val="none" w:sz="0" w:space="0" w:color="auto"/>
        <w:left w:val="none" w:sz="0" w:space="0" w:color="auto"/>
        <w:bottom w:val="none" w:sz="0" w:space="0" w:color="auto"/>
        <w:right w:val="none" w:sz="0" w:space="0" w:color="auto"/>
      </w:divBdr>
    </w:div>
    <w:div w:id="406146174">
      <w:bodyDiv w:val="1"/>
      <w:marLeft w:val="0"/>
      <w:marRight w:val="0"/>
      <w:marTop w:val="0"/>
      <w:marBottom w:val="0"/>
      <w:divBdr>
        <w:top w:val="none" w:sz="0" w:space="0" w:color="auto"/>
        <w:left w:val="none" w:sz="0" w:space="0" w:color="auto"/>
        <w:bottom w:val="none" w:sz="0" w:space="0" w:color="auto"/>
        <w:right w:val="none" w:sz="0" w:space="0" w:color="auto"/>
      </w:divBdr>
    </w:div>
    <w:div w:id="430708809">
      <w:bodyDiv w:val="1"/>
      <w:marLeft w:val="0"/>
      <w:marRight w:val="0"/>
      <w:marTop w:val="0"/>
      <w:marBottom w:val="0"/>
      <w:divBdr>
        <w:top w:val="none" w:sz="0" w:space="0" w:color="auto"/>
        <w:left w:val="none" w:sz="0" w:space="0" w:color="auto"/>
        <w:bottom w:val="none" w:sz="0" w:space="0" w:color="auto"/>
        <w:right w:val="none" w:sz="0" w:space="0" w:color="auto"/>
      </w:divBdr>
    </w:div>
    <w:div w:id="472019001">
      <w:bodyDiv w:val="1"/>
      <w:marLeft w:val="0"/>
      <w:marRight w:val="0"/>
      <w:marTop w:val="0"/>
      <w:marBottom w:val="0"/>
      <w:divBdr>
        <w:top w:val="none" w:sz="0" w:space="0" w:color="auto"/>
        <w:left w:val="none" w:sz="0" w:space="0" w:color="auto"/>
        <w:bottom w:val="none" w:sz="0" w:space="0" w:color="auto"/>
        <w:right w:val="none" w:sz="0" w:space="0" w:color="auto"/>
      </w:divBdr>
    </w:div>
    <w:div w:id="585460266">
      <w:bodyDiv w:val="1"/>
      <w:marLeft w:val="0"/>
      <w:marRight w:val="0"/>
      <w:marTop w:val="0"/>
      <w:marBottom w:val="0"/>
      <w:divBdr>
        <w:top w:val="none" w:sz="0" w:space="0" w:color="auto"/>
        <w:left w:val="none" w:sz="0" w:space="0" w:color="auto"/>
        <w:bottom w:val="none" w:sz="0" w:space="0" w:color="auto"/>
        <w:right w:val="none" w:sz="0" w:space="0" w:color="auto"/>
      </w:divBdr>
    </w:div>
    <w:div w:id="622687901">
      <w:bodyDiv w:val="1"/>
      <w:marLeft w:val="0"/>
      <w:marRight w:val="0"/>
      <w:marTop w:val="0"/>
      <w:marBottom w:val="0"/>
      <w:divBdr>
        <w:top w:val="none" w:sz="0" w:space="0" w:color="auto"/>
        <w:left w:val="none" w:sz="0" w:space="0" w:color="auto"/>
        <w:bottom w:val="none" w:sz="0" w:space="0" w:color="auto"/>
        <w:right w:val="none" w:sz="0" w:space="0" w:color="auto"/>
      </w:divBdr>
    </w:div>
    <w:div w:id="624040646">
      <w:bodyDiv w:val="1"/>
      <w:marLeft w:val="0"/>
      <w:marRight w:val="0"/>
      <w:marTop w:val="0"/>
      <w:marBottom w:val="0"/>
      <w:divBdr>
        <w:top w:val="none" w:sz="0" w:space="0" w:color="auto"/>
        <w:left w:val="none" w:sz="0" w:space="0" w:color="auto"/>
        <w:bottom w:val="none" w:sz="0" w:space="0" w:color="auto"/>
        <w:right w:val="none" w:sz="0" w:space="0" w:color="auto"/>
      </w:divBdr>
    </w:div>
    <w:div w:id="630672173">
      <w:bodyDiv w:val="1"/>
      <w:marLeft w:val="0"/>
      <w:marRight w:val="0"/>
      <w:marTop w:val="0"/>
      <w:marBottom w:val="0"/>
      <w:divBdr>
        <w:top w:val="none" w:sz="0" w:space="0" w:color="auto"/>
        <w:left w:val="none" w:sz="0" w:space="0" w:color="auto"/>
        <w:bottom w:val="none" w:sz="0" w:space="0" w:color="auto"/>
        <w:right w:val="none" w:sz="0" w:space="0" w:color="auto"/>
      </w:divBdr>
    </w:div>
    <w:div w:id="715662890">
      <w:bodyDiv w:val="1"/>
      <w:marLeft w:val="0"/>
      <w:marRight w:val="0"/>
      <w:marTop w:val="0"/>
      <w:marBottom w:val="0"/>
      <w:divBdr>
        <w:top w:val="none" w:sz="0" w:space="0" w:color="auto"/>
        <w:left w:val="none" w:sz="0" w:space="0" w:color="auto"/>
        <w:bottom w:val="none" w:sz="0" w:space="0" w:color="auto"/>
        <w:right w:val="none" w:sz="0" w:space="0" w:color="auto"/>
      </w:divBdr>
    </w:div>
    <w:div w:id="725570813">
      <w:bodyDiv w:val="1"/>
      <w:marLeft w:val="0"/>
      <w:marRight w:val="0"/>
      <w:marTop w:val="0"/>
      <w:marBottom w:val="0"/>
      <w:divBdr>
        <w:top w:val="none" w:sz="0" w:space="0" w:color="auto"/>
        <w:left w:val="none" w:sz="0" w:space="0" w:color="auto"/>
        <w:bottom w:val="none" w:sz="0" w:space="0" w:color="auto"/>
        <w:right w:val="none" w:sz="0" w:space="0" w:color="auto"/>
      </w:divBdr>
    </w:div>
    <w:div w:id="819732435">
      <w:bodyDiv w:val="1"/>
      <w:marLeft w:val="0"/>
      <w:marRight w:val="0"/>
      <w:marTop w:val="0"/>
      <w:marBottom w:val="0"/>
      <w:divBdr>
        <w:top w:val="none" w:sz="0" w:space="0" w:color="auto"/>
        <w:left w:val="none" w:sz="0" w:space="0" w:color="auto"/>
        <w:bottom w:val="none" w:sz="0" w:space="0" w:color="auto"/>
        <w:right w:val="none" w:sz="0" w:space="0" w:color="auto"/>
      </w:divBdr>
    </w:div>
    <w:div w:id="820000942">
      <w:bodyDiv w:val="1"/>
      <w:marLeft w:val="0"/>
      <w:marRight w:val="0"/>
      <w:marTop w:val="0"/>
      <w:marBottom w:val="0"/>
      <w:divBdr>
        <w:top w:val="none" w:sz="0" w:space="0" w:color="auto"/>
        <w:left w:val="none" w:sz="0" w:space="0" w:color="auto"/>
        <w:bottom w:val="none" w:sz="0" w:space="0" w:color="auto"/>
        <w:right w:val="none" w:sz="0" w:space="0" w:color="auto"/>
      </w:divBdr>
    </w:div>
    <w:div w:id="854731241">
      <w:bodyDiv w:val="1"/>
      <w:marLeft w:val="0"/>
      <w:marRight w:val="0"/>
      <w:marTop w:val="0"/>
      <w:marBottom w:val="0"/>
      <w:divBdr>
        <w:top w:val="none" w:sz="0" w:space="0" w:color="auto"/>
        <w:left w:val="none" w:sz="0" w:space="0" w:color="auto"/>
        <w:bottom w:val="none" w:sz="0" w:space="0" w:color="auto"/>
        <w:right w:val="none" w:sz="0" w:space="0" w:color="auto"/>
      </w:divBdr>
    </w:div>
    <w:div w:id="1012879705">
      <w:bodyDiv w:val="1"/>
      <w:marLeft w:val="0"/>
      <w:marRight w:val="0"/>
      <w:marTop w:val="0"/>
      <w:marBottom w:val="0"/>
      <w:divBdr>
        <w:top w:val="none" w:sz="0" w:space="0" w:color="auto"/>
        <w:left w:val="none" w:sz="0" w:space="0" w:color="auto"/>
        <w:bottom w:val="none" w:sz="0" w:space="0" w:color="auto"/>
        <w:right w:val="none" w:sz="0" w:space="0" w:color="auto"/>
      </w:divBdr>
    </w:div>
    <w:div w:id="1047219610">
      <w:bodyDiv w:val="1"/>
      <w:marLeft w:val="0"/>
      <w:marRight w:val="0"/>
      <w:marTop w:val="0"/>
      <w:marBottom w:val="0"/>
      <w:divBdr>
        <w:top w:val="none" w:sz="0" w:space="0" w:color="auto"/>
        <w:left w:val="none" w:sz="0" w:space="0" w:color="auto"/>
        <w:bottom w:val="none" w:sz="0" w:space="0" w:color="auto"/>
        <w:right w:val="none" w:sz="0" w:space="0" w:color="auto"/>
      </w:divBdr>
    </w:div>
    <w:div w:id="1082143029">
      <w:bodyDiv w:val="1"/>
      <w:marLeft w:val="0"/>
      <w:marRight w:val="0"/>
      <w:marTop w:val="0"/>
      <w:marBottom w:val="0"/>
      <w:divBdr>
        <w:top w:val="none" w:sz="0" w:space="0" w:color="auto"/>
        <w:left w:val="none" w:sz="0" w:space="0" w:color="auto"/>
        <w:bottom w:val="none" w:sz="0" w:space="0" w:color="auto"/>
        <w:right w:val="none" w:sz="0" w:space="0" w:color="auto"/>
      </w:divBdr>
    </w:div>
    <w:div w:id="1172601851">
      <w:bodyDiv w:val="1"/>
      <w:marLeft w:val="0"/>
      <w:marRight w:val="0"/>
      <w:marTop w:val="0"/>
      <w:marBottom w:val="0"/>
      <w:divBdr>
        <w:top w:val="none" w:sz="0" w:space="0" w:color="auto"/>
        <w:left w:val="none" w:sz="0" w:space="0" w:color="auto"/>
        <w:bottom w:val="none" w:sz="0" w:space="0" w:color="auto"/>
        <w:right w:val="none" w:sz="0" w:space="0" w:color="auto"/>
      </w:divBdr>
    </w:div>
    <w:div w:id="1180923783">
      <w:bodyDiv w:val="1"/>
      <w:marLeft w:val="0"/>
      <w:marRight w:val="0"/>
      <w:marTop w:val="0"/>
      <w:marBottom w:val="0"/>
      <w:divBdr>
        <w:top w:val="none" w:sz="0" w:space="0" w:color="auto"/>
        <w:left w:val="none" w:sz="0" w:space="0" w:color="auto"/>
        <w:bottom w:val="none" w:sz="0" w:space="0" w:color="auto"/>
        <w:right w:val="none" w:sz="0" w:space="0" w:color="auto"/>
      </w:divBdr>
    </w:div>
    <w:div w:id="1249847079">
      <w:bodyDiv w:val="1"/>
      <w:marLeft w:val="0"/>
      <w:marRight w:val="0"/>
      <w:marTop w:val="0"/>
      <w:marBottom w:val="0"/>
      <w:divBdr>
        <w:top w:val="none" w:sz="0" w:space="0" w:color="auto"/>
        <w:left w:val="none" w:sz="0" w:space="0" w:color="auto"/>
        <w:bottom w:val="none" w:sz="0" w:space="0" w:color="auto"/>
        <w:right w:val="none" w:sz="0" w:space="0" w:color="auto"/>
      </w:divBdr>
    </w:div>
    <w:div w:id="1279408014">
      <w:bodyDiv w:val="1"/>
      <w:marLeft w:val="0"/>
      <w:marRight w:val="0"/>
      <w:marTop w:val="0"/>
      <w:marBottom w:val="0"/>
      <w:divBdr>
        <w:top w:val="none" w:sz="0" w:space="0" w:color="auto"/>
        <w:left w:val="none" w:sz="0" w:space="0" w:color="auto"/>
        <w:bottom w:val="none" w:sz="0" w:space="0" w:color="auto"/>
        <w:right w:val="none" w:sz="0" w:space="0" w:color="auto"/>
      </w:divBdr>
    </w:div>
    <w:div w:id="1281035987">
      <w:bodyDiv w:val="1"/>
      <w:marLeft w:val="0"/>
      <w:marRight w:val="0"/>
      <w:marTop w:val="0"/>
      <w:marBottom w:val="0"/>
      <w:divBdr>
        <w:top w:val="none" w:sz="0" w:space="0" w:color="auto"/>
        <w:left w:val="none" w:sz="0" w:space="0" w:color="auto"/>
        <w:bottom w:val="none" w:sz="0" w:space="0" w:color="auto"/>
        <w:right w:val="none" w:sz="0" w:space="0" w:color="auto"/>
      </w:divBdr>
    </w:div>
    <w:div w:id="1303345598">
      <w:bodyDiv w:val="1"/>
      <w:marLeft w:val="0"/>
      <w:marRight w:val="0"/>
      <w:marTop w:val="0"/>
      <w:marBottom w:val="0"/>
      <w:divBdr>
        <w:top w:val="none" w:sz="0" w:space="0" w:color="auto"/>
        <w:left w:val="none" w:sz="0" w:space="0" w:color="auto"/>
        <w:bottom w:val="none" w:sz="0" w:space="0" w:color="auto"/>
        <w:right w:val="none" w:sz="0" w:space="0" w:color="auto"/>
      </w:divBdr>
    </w:div>
    <w:div w:id="1382484313">
      <w:bodyDiv w:val="1"/>
      <w:marLeft w:val="0"/>
      <w:marRight w:val="0"/>
      <w:marTop w:val="0"/>
      <w:marBottom w:val="0"/>
      <w:divBdr>
        <w:top w:val="none" w:sz="0" w:space="0" w:color="auto"/>
        <w:left w:val="none" w:sz="0" w:space="0" w:color="auto"/>
        <w:bottom w:val="none" w:sz="0" w:space="0" w:color="auto"/>
        <w:right w:val="none" w:sz="0" w:space="0" w:color="auto"/>
      </w:divBdr>
    </w:div>
    <w:div w:id="1390685599">
      <w:bodyDiv w:val="1"/>
      <w:marLeft w:val="0"/>
      <w:marRight w:val="0"/>
      <w:marTop w:val="0"/>
      <w:marBottom w:val="0"/>
      <w:divBdr>
        <w:top w:val="none" w:sz="0" w:space="0" w:color="auto"/>
        <w:left w:val="none" w:sz="0" w:space="0" w:color="auto"/>
        <w:bottom w:val="none" w:sz="0" w:space="0" w:color="auto"/>
        <w:right w:val="none" w:sz="0" w:space="0" w:color="auto"/>
      </w:divBdr>
    </w:div>
    <w:div w:id="1494880304">
      <w:bodyDiv w:val="1"/>
      <w:marLeft w:val="0"/>
      <w:marRight w:val="0"/>
      <w:marTop w:val="0"/>
      <w:marBottom w:val="0"/>
      <w:divBdr>
        <w:top w:val="none" w:sz="0" w:space="0" w:color="auto"/>
        <w:left w:val="none" w:sz="0" w:space="0" w:color="auto"/>
        <w:bottom w:val="none" w:sz="0" w:space="0" w:color="auto"/>
        <w:right w:val="none" w:sz="0" w:space="0" w:color="auto"/>
      </w:divBdr>
    </w:div>
    <w:div w:id="1575428796">
      <w:bodyDiv w:val="1"/>
      <w:marLeft w:val="0"/>
      <w:marRight w:val="0"/>
      <w:marTop w:val="0"/>
      <w:marBottom w:val="0"/>
      <w:divBdr>
        <w:top w:val="none" w:sz="0" w:space="0" w:color="auto"/>
        <w:left w:val="none" w:sz="0" w:space="0" w:color="auto"/>
        <w:bottom w:val="none" w:sz="0" w:space="0" w:color="auto"/>
        <w:right w:val="none" w:sz="0" w:space="0" w:color="auto"/>
      </w:divBdr>
    </w:div>
    <w:div w:id="1581716515">
      <w:bodyDiv w:val="1"/>
      <w:marLeft w:val="0"/>
      <w:marRight w:val="0"/>
      <w:marTop w:val="0"/>
      <w:marBottom w:val="0"/>
      <w:divBdr>
        <w:top w:val="none" w:sz="0" w:space="0" w:color="auto"/>
        <w:left w:val="none" w:sz="0" w:space="0" w:color="auto"/>
        <w:bottom w:val="none" w:sz="0" w:space="0" w:color="auto"/>
        <w:right w:val="none" w:sz="0" w:space="0" w:color="auto"/>
      </w:divBdr>
    </w:div>
    <w:div w:id="1694306379">
      <w:bodyDiv w:val="1"/>
      <w:marLeft w:val="0"/>
      <w:marRight w:val="0"/>
      <w:marTop w:val="0"/>
      <w:marBottom w:val="0"/>
      <w:divBdr>
        <w:top w:val="none" w:sz="0" w:space="0" w:color="auto"/>
        <w:left w:val="none" w:sz="0" w:space="0" w:color="auto"/>
        <w:bottom w:val="none" w:sz="0" w:space="0" w:color="auto"/>
        <w:right w:val="none" w:sz="0" w:space="0" w:color="auto"/>
      </w:divBdr>
    </w:div>
    <w:div w:id="1709836315">
      <w:bodyDiv w:val="1"/>
      <w:marLeft w:val="0"/>
      <w:marRight w:val="0"/>
      <w:marTop w:val="0"/>
      <w:marBottom w:val="0"/>
      <w:divBdr>
        <w:top w:val="none" w:sz="0" w:space="0" w:color="auto"/>
        <w:left w:val="none" w:sz="0" w:space="0" w:color="auto"/>
        <w:bottom w:val="none" w:sz="0" w:space="0" w:color="auto"/>
        <w:right w:val="none" w:sz="0" w:space="0" w:color="auto"/>
      </w:divBdr>
    </w:div>
    <w:div w:id="1736581803">
      <w:bodyDiv w:val="1"/>
      <w:marLeft w:val="0"/>
      <w:marRight w:val="0"/>
      <w:marTop w:val="0"/>
      <w:marBottom w:val="0"/>
      <w:divBdr>
        <w:top w:val="none" w:sz="0" w:space="0" w:color="auto"/>
        <w:left w:val="none" w:sz="0" w:space="0" w:color="auto"/>
        <w:bottom w:val="none" w:sz="0" w:space="0" w:color="auto"/>
        <w:right w:val="none" w:sz="0" w:space="0" w:color="auto"/>
      </w:divBdr>
    </w:div>
    <w:div w:id="1750498497">
      <w:bodyDiv w:val="1"/>
      <w:marLeft w:val="0"/>
      <w:marRight w:val="0"/>
      <w:marTop w:val="0"/>
      <w:marBottom w:val="0"/>
      <w:divBdr>
        <w:top w:val="none" w:sz="0" w:space="0" w:color="auto"/>
        <w:left w:val="none" w:sz="0" w:space="0" w:color="auto"/>
        <w:bottom w:val="none" w:sz="0" w:space="0" w:color="auto"/>
        <w:right w:val="none" w:sz="0" w:space="0" w:color="auto"/>
      </w:divBdr>
    </w:div>
    <w:div w:id="1857382742">
      <w:bodyDiv w:val="1"/>
      <w:marLeft w:val="0"/>
      <w:marRight w:val="0"/>
      <w:marTop w:val="0"/>
      <w:marBottom w:val="0"/>
      <w:divBdr>
        <w:top w:val="none" w:sz="0" w:space="0" w:color="auto"/>
        <w:left w:val="none" w:sz="0" w:space="0" w:color="auto"/>
        <w:bottom w:val="none" w:sz="0" w:space="0" w:color="auto"/>
        <w:right w:val="none" w:sz="0" w:space="0" w:color="auto"/>
      </w:divBdr>
    </w:div>
    <w:div w:id="1870340211">
      <w:bodyDiv w:val="1"/>
      <w:marLeft w:val="0"/>
      <w:marRight w:val="0"/>
      <w:marTop w:val="0"/>
      <w:marBottom w:val="0"/>
      <w:divBdr>
        <w:top w:val="none" w:sz="0" w:space="0" w:color="auto"/>
        <w:left w:val="none" w:sz="0" w:space="0" w:color="auto"/>
        <w:bottom w:val="none" w:sz="0" w:space="0" w:color="auto"/>
        <w:right w:val="none" w:sz="0" w:space="0" w:color="auto"/>
      </w:divBdr>
    </w:div>
    <w:div w:id="1874733109">
      <w:bodyDiv w:val="1"/>
      <w:marLeft w:val="0"/>
      <w:marRight w:val="0"/>
      <w:marTop w:val="0"/>
      <w:marBottom w:val="0"/>
      <w:divBdr>
        <w:top w:val="none" w:sz="0" w:space="0" w:color="auto"/>
        <w:left w:val="none" w:sz="0" w:space="0" w:color="auto"/>
        <w:bottom w:val="none" w:sz="0" w:space="0" w:color="auto"/>
        <w:right w:val="none" w:sz="0" w:space="0" w:color="auto"/>
      </w:divBdr>
    </w:div>
    <w:div w:id="1879659289">
      <w:bodyDiv w:val="1"/>
      <w:marLeft w:val="0"/>
      <w:marRight w:val="0"/>
      <w:marTop w:val="0"/>
      <w:marBottom w:val="0"/>
      <w:divBdr>
        <w:top w:val="none" w:sz="0" w:space="0" w:color="auto"/>
        <w:left w:val="none" w:sz="0" w:space="0" w:color="auto"/>
        <w:bottom w:val="none" w:sz="0" w:space="0" w:color="auto"/>
        <w:right w:val="none" w:sz="0" w:space="0" w:color="auto"/>
      </w:divBdr>
    </w:div>
    <w:div w:id="1920096061">
      <w:bodyDiv w:val="1"/>
      <w:marLeft w:val="0"/>
      <w:marRight w:val="0"/>
      <w:marTop w:val="0"/>
      <w:marBottom w:val="0"/>
      <w:divBdr>
        <w:top w:val="none" w:sz="0" w:space="0" w:color="auto"/>
        <w:left w:val="none" w:sz="0" w:space="0" w:color="auto"/>
        <w:bottom w:val="none" w:sz="0" w:space="0" w:color="auto"/>
        <w:right w:val="none" w:sz="0" w:space="0" w:color="auto"/>
      </w:divBdr>
    </w:div>
    <w:div w:id="1991591538">
      <w:bodyDiv w:val="1"/>
      <w:marLeft w:val="0"/>
      <w:marRight w:val="0"/>
      <w:marTop w:val="0"/>
      <w:marBottom w:val="0"/>
      <w:divBdr>
        <w:top w:val="none" w:sz="0" w:space="0" w:color="auto"/>
        <w:left w:val="none" w:sz="0" w:space="0" w:color="auto"/>
        <w:bottom w:val="none" w:sz="0" w:space="0" w:color="auto"/>
        <w:right w:val="none" w:sz="0" w:space="0" w:color="auto"/>
      </w:divBdr>
    </w:div>
    <w:div w:id="20108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D0A4D-C524-4064-BBC2-81B21992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2492</Words>
  <Characters>13436</Characters>
  <Application>Microsoft Office Word</Application>
  <DocSecurity>0</DocSecurity>
  <Lines>463</Lines>
  <Paragraphs>318</Paragraphs>
  <ScaleCrop>false</ScaleCrop>
  <HeadingPairs>
    <vt:vector size="2" baseType="variant">
      <vt:variant>
        <vt:lpstr>Title</vt:lpstr>
      </vt:variant>
      <vt:variant>
        <vt:i4>1</vt:i4>
      </vt:variant>
    </vt:vector>
  </HeadingPairs>
  <TitlesOfParts>
    <vt:vector size="1" baseType="lpstr">
      <vt:lpstr>Oral question O-0008/05</vt:lpstr>
    </vt:vector>
  </TitlesOfParts>
  <Manager/>
  <Company/>
  <LinksUpToDate>false</LinksUpToDate>
  <CharactersWithSpaces>15610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question O-0008/05</dc:title>
  <dc:creator/>
  <cp:lastModifiedBy>DIGIT/A3</cp:lastModifiedBy>
  <cp:revision>16</cp:revision>
  <cp:lastPrinted>2018-09-25T14:05:00Z</cp:lastPrinted>
  <dcterms:created xsi:type="dcterms:W3CDTF">2018-10-05T08:34:00Z</dcterms:created>
  <dcterms:modified xsi:type="dcterms:W3CDTF">2018-10-08T09:52:00Z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Last edited using">
    <vt:lpwstr>LW 6.0.1, Build 20180503</vt:lpwstr>
  </property>
</Properties>
</file>