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E070828D-5298-42BC-9519-F1641E21D525" style="width:450.75pt;height:465.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ANNEXE</w:t>
      </w:r>
    </w:p>
    <w:p>
      <w:pPr>
        <w:rPr>
          <w:noProof/>
        </w:rPr>
      </w:pPr>
    </w:p>
    <w:tbl>
      <w:tblPr>
        <w:tblW w:w="9087" w:type="dxa"/>
        <w:tblInd w:w="93" w:type="dxa"/>
        <w:tblLook w:val="04A0" w:firstRow="1" w:lastRow="0" w:firstColumn="1" w:lastColumn="0" w:noHBand="0" w:noVBand="1"/>
      </w:tblPr>
      <w:tblGrid>
        <w:gridCol w:w="1337"/>
        <w:gridCol w:w="4569"/>
        <w:gridCol w:w="3181"/>
      </w:tblGrid>
      <w:tr>
        <w:trPr>
          <w:trHeight w:val="630"/>
        </w:trPr>
        <w:tc>
          <w:tcPr>
            <w:tcW w:w="1337" w:type="dxa"/>
            <w:tcBorders>
              <w:top w:val="single" w:sz="8" w:space="0" w:color="auto"/>
              <w:left w:val="single" w:sz="8" w:space="0" w:color="auto"/>
              <w:bottom w:val="single" w:sz="4" w:space="0" w:color="auto"/>
              <w:right w:val="single" w:sz="4" w:space="0" w:color="auto"/>
            </w:tcBorders>
            <w:shd w:val="clear" w:color="auto" w:fill="auto"/>
            <w:hideMark/>
          </w:tcPr>
          <w:p>
            <w:pPr>
              <w:spacing w:before="0" w:after="0"/>
              <w:jc w:val="left"/>
              <w:rPr>
                <w:rFonts w:eastAsia="Times New Roman"/>
                <w:b/>
                <w:bCs/>
                <w:noProof/>
                <w:szCs w:val="24"/>
              </w:rPr>
            </w:pPr>
            <w:r>
              <w:rPr>
                <w:b/>
                <w:noProof/>
              </w:rPr>
              <w:t>Règlement nº</w:t>
            </w:r>
          </w:p>
        </w:tc>
        <w:tc>
          <w:tcPr>
            <w:tcW w:w="4569"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Cs w:val="24"/>
              </w:rPr>
            </w:pPr>
            <w:r>
              <w:rPr>
                <w:b/>
                <w:noProof/>
              </w:rPr>
              <w:t>Titre du point de l’ordre du jour</w:t>
            </w:r>
          </w:p>
        </w:tc>
        <w:tc>
          <w:tcPr>
            <w:tcW w:w="3181"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Cs w:val="24"/>
              </w:rPr>
            </w:pPr>
            <w:r>
              <w:rPr>
                <w:b/>
                <w:noProof/>
              </w:rPr>
              <w:t>Référence du document</w:t>
            </w:r>
            <w:r>
              <w:rPr>
                <w:rStyle w:val="FootnoteReference"/>
                <w:b/>
                <w:noProof/>
              </w:rPr>
              <w:footnoteReference w:id="1"/>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3</w:t>
            </w:r>
          </w:p>
        </w:tc>
        <w:tc>
          <w:tcPr>
            <w:tcW w:w="4569"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série 03 d’amendements au règlement nº 3 de l’ONU (dispositifs catadioptriques)</w:t>
            </w:r>
          </w:p>
        </w:tc>
        <w:tc>
          <w:tcPr>
            <w:tcW w:w="3181"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ECE/TRANS/WP.29/2018/91</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4</w:t>
            </w:r>
          </w:p>
        </w:tc>
        <w:tc>
          <w:tcPr>
            <w:tcW w:w="4569"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série 01 d’amendements au règlement nº 4 de l’ONU (éclairage de la plaque arrière d’immatriculation)</w:t>
            </w:r>
          </w:p>
        </w:tc>
        <w:tc>
          <w:tcPr>
            <w:tcW w:w="3181"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ECE/TRANS/WP.29/2018/92</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6</w:t>
            </w:r>
          </w:p>
        </w:tc>
        <w:tc>
          <w:tcPr>
            <w:tcW w:w="4569"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série 02 d’amendements au règlement nº 6 de l’ONU (feux indicateurs de direction)</w:t>
            </w:r>
          </w:p>
        </w:tc>
        <w:tc>
          <w:tcPr>
            <w:tcW w:w="3181"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ECE/TRANS/WP.29/2018/93</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7</w:t>
            </w:r>
          </w:p>
        </w:tc>
        <w:tc>
          <w:tcPr>
            <w:tcW w:w="4569"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série 03 d’amendements au règlement nº 7 de l’ONU (feux de position, feux-stop et feux d’encombrement)</w:t>
            </w:r>
          </w:p>
        </w:tc>
        <w:tc>
          <w:tcPr>
            <w:tcW w:w="3181"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ECE/TRANS/WP.29/2018/94</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11</w:t>
            </w:r>
          </w:p>
        </w:tc>
        <w:tc>
          <w:tcPr>
            <w:tcW w:w="4569"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2 à la série 04 d’amendements au règlement nº 11 de l’ONU (serrures et organes de fixation des portes)</w:t>
            </w:r>
          </w:p>
        </w:tc>
        <w:tc>
          <w:tcPr>
            <w:tcW w:w="3181"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ECE/TRANS/WP.29/2018/127</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11</w:t>
            </w:r>
          </w:p>
        </w:tc>
        <w:tc>
          <w:tcPr>
            <w:tcW w:w="4569"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rectificatif 1 à la série 04 d’amendements au règlement nº 11 de l’ONU (serrures et organes de fixation des portes)</w:t>
            </w:r>
          </w:p>
        </w:tc>
        <w:tc>
          <w:tcPr>
            <w:tcW w:w="3181"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ECE/TRANS/WP.29/2018/155</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14</w:t>
            </w:r>
          </w:p>
        </w:tc>
        <w:tc>
          <w:tcPr>
            <w:tcW w:w="4569"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rectificatif 2 à la révision 5 du règlement nº 14 de l’ONU (ancrages de ceintures de sécurité)</w:t>
            </w:r>
          </w:p>
        </w:tc>
        <w:tc>
          <w:tcPr>
            <w:tcW w:w="3181"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ECE/TRANS/WP.29/2018/156</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16</w:t>
            </w:r>
          </w:p>
        </w:tc>
        <w:tc>
          <w:tcPr>
            <w:tcW w:w="4569"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11 à la série 06 d’amendements au règlement nº 16 de l’ONU (ceintures de sécurité)</w:t>
            </w:r>
          </w:p>
        </w:tc>
        <w:tc>
          <w:tcPr>
            <w:tcW w:w="3181"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ECE/TRANS/WP.29/2018/128</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16</w:t>
            </w:r>
          </w:p>
        </w:tc>
        <w:tc>
          <w:tcPr>
            <w:tcW w:w="4569"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4 à la série 07 d’amendements au règlement nº 16 de l’ONU (ceintures de sécurité)</w:t>
            </w:r>
          </w:p>
        </w:tc>
        <w:tc>
          <w:tcPr>
            <w:tcW w:w="3181"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ECE/TRANS/WP.29/2018/129</w:t>
            </w:r>
          </w:p>
        </w:tc>
      </w:tr>
      <w:tr>
        <w:trPr>
          <w:trHeight w:val="765"/>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16</w:t>
            </w:r>
          </w:p>
        </w:tc>
        <w:tc>
          <w:tcPr>
            <w:tcW w:w="4569"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série 08 d’amendements au règlement nº 16 de l’ONU (ancrages de ceintures de sécurité)</w:t>
            </w:r>
          </w:p>
        </w:tc>
        <w:tc>
          <w:tcPr>
            <w:tcW w:w="3181"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ECE/TRANS/WP.29/2018/141</w:t>
            </w:r>
          </w:p>
        </w:tc>
      </w:tr>
      <w:tr>
        <w:trPr>
          <w:trHeight w:val="765"/>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17</w:t>
            </w:r>
          </w:p>
        </w:tc>
        <w:tc>
          <w:tcPr>
            <w:tcW w:w="4569"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série 09 d’amendements au règlement nº 17 de l’ONU (résistance des sièges)</w:t>
            </w:r>
          </w:p>
        </w:tc>
        <w:tc>
          <w:tcPr>
            <w:tcW w:w="3181"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ECE/TRANS/WP.29/2018/142</w:t>
            </w:r>
          </w:p>
        </w:tc>
      </w:tr>
      <w:tr>
        <w:trPr>
          <w:trHeight w:val="765"/>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19</w:t>
            </w:r>
          </w:p>
        </w:tc>
        <w:tc>
          <w:tcPr>
            <w:tcW w:w="4569"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série 05 d’amendements au règlement nº 19 de l’ONU (feux de brouillard avant)</w:t>
            </w:r>
          </w:p>
        </w:tc>
        <w:tc>
          <w:tcPr>
            <w:tcW w:w="3181"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ECE/TRANS/WP.29/2018/95</w:t>
            </w:r>
          </w:p>
        </w:tc>
      </w:tr>
      <w:tr>
        <w:trPr>
          <w:trHeight w:val="765"/>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23</w:t>
            </w:r>
          </w:p>
        </w:tc>
        <w:tc>
          <w:tcPr>
            <w:tcW w:w="4569"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série 01 d’amendements au règlement nº 23 de l’ONU (feux de marche arrière)</w:t>
            </w:r>
          </w:p>
        </w:tc>
        <w:tc>
          <w:tcPr>
            <w:tcW w:w="3181"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ECE/TRANS/WP.29/2018/96</w:t>
            </w:r>
          </w:p>
        </w:tc>
      </w:tr>
      <w:tr>
        <w:trPr>
          <w:trHeight w:val="765"/>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24</w:t>
            </w:r>
          </w:p>
        </w:tc>
        <w:tc>
          <w:tcPr>
            <w:tcW w:w="4569"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4 à la série 03 d’amendements au règlement nº 24 de l’ONU [polluants visibles, mesure de puissance des moteurs à allumage par compression (fumées des moteurs diesel)]</w:t>
            </w:r>
          </w:p>
        </w:tc>
        <w:tc>
          <w:tcPr>
            <w:tcW w:w="3181"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ECE/TRANS/WP.29/2018/143</w:t>
            </w:r>
          </w:p>
        </w:tc>
      </w:tr>
      <w:tr>
        <w:trPr>
          <w:trHeight w:val="585"/>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27</w:t>
            </w:r>
          </w:p>
        </w:tc>
        <w:tc>
          <w:tcPr>
            <w:tcW w:w="4569"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série 05 d’amendements au règlement n° 27 de l’ONU (triangles de présignalisation)</w:t>
            </w:r>
          </w:p>
        </w:tc>
        <w:tc>
          <w:tcPr>
            <w:tcW w:w="3181"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ECE/TRANS/WP.29/2018/97</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29</w:t>
            </w:r>
          </w:p>
        </w:tc>
        <w:tc>
          <w:tcPr>
            <w:tcW w:w="4569"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4 à la série 03 d’amendements au règlement n° 29 de l’ONU (cabines des véhicules utilitaires)</w:t>
            </w:r>
          </w:p>
        </w:tc>
        <w:tc>
          <w:tcPr>
            <w:tcW w:w="3181"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ECE/TRANS/WP.29/2018/130</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34</w:t>
            </w:r>
          </w:p>
        </w:tc>
        <w:tc>
          <w:tcPr>
            <w:tcW w:w="4569"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6 à la série 02 d’amendements au règlement nº 34 de l’ONU (prévention des risques d’incendie)</w:t>
            </w:r>
          </w:p>
        </w:tc>
        <w:tc>
          <w:tcPr>
            <w:tcW w:w="3181"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ECE/TRANS/WP.29/2018/120</w:t>
            </w:r>
          </w:p>
        </w:tc>
      </w:tr>
      <w:tr>
        <w:trPr>
          <w:trHeight w:val="765"/>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34</w:t>
            </w:r>
          </w:p>
        </w:tc>
        <w:tc>
          <w:tcPr>
            <w:tcW w:w="4569"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2 à la série 03 d’amendements au règlement nº 34 de l’ONU (prévention des risques d’incendie)</w:t>
            </w:r>
          </w:p>
        </w:tc>
        <w:tc>
          <w:tcPr>
            <w:tcW w:w="3181"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ECE/TRANS/WP.29/2018/121</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37</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47 à la série 03 d’amendements au règlement nº 37 de l’ONU (sources lumineuses à incandescence)</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ECE/TRANS/WP.29/2018/83</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38</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série 01 d’amendements au règlement nº 38 de l’ONU (feux de brouillard arrière)</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ECE/TRANS/WP.29/2018/98</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43</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8 à la série 01 d’amendements au règlement nº 43 de l’ONU (vitrage de sécurité)</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ECE/TRANS/WP.29/2018/122</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44</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15 à la série 04 d’amendements au règlement nº 44 de l’ONU (dispositifs de retenue pour enfants)</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ECE/TRANS/WP.29/2018/131</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46</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6 à la série 04 d’amendements au règlement nº 46 de l’ONU (dispositifs de vision indirecte)</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ECE/TRANS/WP.29/2018/123</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48</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11 à la série 06 d’amendements au règlement nº 48 de l’ONU (installation des dispositifs d’éclairage et de signalisation lumineuse)</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ECE/TRANS/WP.29/2018/84</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48</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12 à la série 05 d’amendements au règlement nº 48 de l’ONU (installation des dispositifs d’éclairage et de signalisation lumineuse)</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ECE/TRANS/WP.29/2018/85</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48</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11 à la série 06 d’amendements au règlement nº 48 de l’ONU (installation des dispositifs d’éclairage et de signalisation lumineuse)</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ECE/TRANS/WP.29/2018/99</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48</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12 à la série 05 d’amendements au règlement nº 48 de l’ONU (installation des dispositifs d’éclairage et de signalisation lumineuse)</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ECE/TRANS/WP.29/2018/100</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48</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18 à la série 04 d’amendements au règlement nº 48 de l’ONU (installation des dispositifs d’éclairage et de signalisation lumineuse)</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ECE/TRANS/WP.29/2018/101</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48</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6 à la série 03 d’amendements au règlement nº 48 de l’ONU (installation des dispositifs d’éclairage et de signalisation lumineuse)</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ECE/TRANS/WP.29/2018/102</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50</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série 01 d’amendements au règlement nº 50 de l’ONU (feux de position, feux-stop et feux indicateurs de direction pour les cyclomoteurs et les motocycles)</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ECE/TRANS/WP.29/2018/103</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53</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2 à la série 02 d’amendements au règlement nº 53 de l’ONU (installation des dispositifs d’éclairage et de signalisation lumineuse pour les véhicules de la catégorie L3)</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ECE/TRANS/WP.29/2018/86</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53</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20 à la série 01 d’amendements au règlement nº 53 de l’ONU (installation des dispositifs d’éclairage et de signalisation lumineuse pour les véhicules de la catégorie L3)</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ECE/TRANS/WP.29/2018/87</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53</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2 à la série 02 d’amendements au règlement nº 53 de l’ONU (installation des dispositifs d’éclairage et de signalisation lumineuse pour les véhicules de la catégorie L3)</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ECE/TRANS/WP.29/2018/104</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53</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20 à la série 01 d’amendements au règlement nº 53 de l’ONU (installation des dispositifs d’éclairage et de signalisation lumineuse pour les véhicules de la catégorie L3)</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ECE/TRANS/WP.29/2018/105</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60</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rectificatif 1 à la révision 1 du règlement nº 60 de l’ONU (commandes actionnées par le conducteur des motocycles et des cyclomoteurs)</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ECE/TRANS/WP.29/2018/152</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67</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série 02 d’amendements au règlement nº 67 de l’ONU (véhicules à GPL)</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ECE/TRANS/WP.29/2018/124</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69</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série 02 d’amendements au règlement nº 69 de l’ONU (plaques de signalisation arrière pour véhicules lents)</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ECE/TRANS/WP.29/2018/106</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70</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série 02 d’amendements au règlement nº 70 de l’ONU (plaques de signalisation arrière pour véhicules lourds et longs)</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ECE/TRANS/WP.29/2018/107</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74</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10 à la série 01 d’amendements au règlement n° 74 de l’ONU [installation des dispositifs d’éclairage et de signalisation lumineuse (cyclomoteurs)]</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ECE/TRANS/WP.29/2018/88</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74</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10 à la série 01 d’amendements au règlement n° 74 de l’ONU [installation des dispositifs d’éclairage et de signalisation lumineuse (cyclomoteurs)]</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ECE/TRANS/WP.29/2018/108</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77</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série 01 d’amendements au règlement nº 77 de l’ONU (feux de stationnement)</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ECE/TRANS/WP.29/2018/109</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83</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2 à la série 03 d’amendements au règlement nº 83 de l’ONU (émissions des véhicules des catégories M1 et N1)</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ECE/TRANS/WP.29/2018/144</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83</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1 à la série 04 d’amendements au règlement nº 83 de l’ONU (émissions des véhicules des catégories M1 et N1)</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ECE/TRANS/WP.29/2018/145</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83</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12 à la série 05 d’amendements au règlement nº 83 de l’ONU (émissions des véhicules des catégories M1 et N1)</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ECE/TRANS/WP.29/2018/146</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83</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12 à la série 06 d’amendements au règlement nº 83 de l’ONU (émissions des véhicules des catégories M1 et N1)</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ECE/TRANS/WP.29/2018/147</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83</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18 à la série 07 d’amendements au règlement nº 83 de l’ONU (émissions des véhicules des catégories M1 et N1)</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ECE/TRANS/WP.29/2018/148</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86</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1 à la série 01 d’amendements au règlement nº 86 de l’ONU (installation des dispositifs d’éclairage et de signalisation lumineuse des tracteurs agricoles)</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ECE/TRANS/WP.29/2018/110</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86</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7 au règlement nº 86 de l’ONU (installation des dispositifs d’éclairage et de signalisation lumineuse des véhicules agricoles)</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ECE/TRANS/WP.29/2018/111</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87</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série 01 d’amendements au règlement nº 87 de l’ONU (feux de circulation diurne)</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ECE/TRANS/WP.29/2018/112</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91</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série 01 d’amendements au règlement nº 91 de l’ONU (feux de position latéraux)</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ECE/TRANS/WP.29/2018/113</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94</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1 à la série 03 d’amendements au règlement n° 94 de l’ONU (collision frontale)</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ECE/TRANS/WP.29/2018/132</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95</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7 à la série 03 d’amendements au règlement n° 95 de l’ONU (collision latérale)</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ECE/TRANS/WP.29/2018/133</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98</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série 02 d’amendements au règlement n° 98 de l’ONU (projecteurs munis de sources lumineuses à décharge)</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ECE/TRANS/WP.29/2018/114</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99</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14 à la série 03 d’amendements au règlement n° 99 de l’ONU (sources lumineuses à décharge)</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ECE/TRANS/WP.29/2018/89</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100</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5 à la série 01 d’amendements au règlement nº 100 de l’ONU (véhicules à propulsion électrique)</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ECE/TRANS/WP.29/2018/134 +</w:t>
            </w:r>
          </w:p>
          <w:p>
            <w:pPr>
              <w:rPr>
                <w:rFonts w:ascii="Times" w:hAnsi="Times" w:cs="Times"/>
                <w:noProof/>
                <w:sz w:val="20"/>
                <w:szCs w:val="20"/>
              </w:rPr>
            </w:pPr>
            <w:r>
              <w:rPr>
                <w:rFonts w:ascii="Times" w:hAnsi="Times"/>
                <w:noProof/>
                <w:sz w:val="20"/>
              </w:rPr>
              <w:t>WP.29-176-03</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100</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4 à la série 02 d’amendements au règlement nº 100 de l’ONU (véhicules à propulsion électrique)</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ECE/TRANS/WP.29/2018/135</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101</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10 au règlement nº 101 de l’ONU (émissions de CO</w:t>
            </w:r>
            <w:r>
              <w:rPr>
                <w:rFonts w:ascii="Times" w:hAnsi="Times"/>
                <w:noProof/>
                <w:sz w:val="20"/>
                <w:vertAlign w:val="subscript"/>
              </w:rPr>
              <w:t>2</w:t>
            </w:r>
            <w:r>
              <w:rPr>
                <w:rFonts w:ascii="Times" w:hAnsi="Times"/>
                <w:noProof/>
                <w:sz w:val="20"/>
              </w:rPr>
              <w:t>/consommation de carburant)</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ECE/TRANS/WP.29/2018/149</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101</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8 à la série 01 d’amendements au règlement nº 101 de l’ONU (émissions de CO</w:t>
            </w:r>
            <w:r>
              <w:rPr>
                <w:rFonts w:ascii="Times" w:hAnsi="Times"/>
                <w:noProof/>
                <w:sz w:val="20"/>
                <w:vertAlign w:val="subscript"/>
              </w:rPr>
              <w:t>2</w:t>
            </w:r>
            <w:r>
              <w:rPr>
                <w:rFonts w:ascii="Times" w:hAnsi="Times"/>
                <w:noProof/>
                <w:sz w:val="20"/>
              </w:rPr>
              <w:t>/consommation de carburant)</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ECE/TRANS/WP.29/2018/150</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104</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série 01 d’amendements au règlement nº 104 de l’ONU (marquages rétroréfléchissants)</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ECE/TRANS/WP.29/2018/115</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105</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1 à la série 06 d’amendements au règlement n° 105 de l’ONU (véhicules ADR)</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ECE/TRANS/WP.29/2018/126</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110</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1 à la série 03 d’amendements au règlement nº 110 de l’ONU (véhicules fonctionnant au gaz naturel comprimé ou au gaz de pétrole liquéfié)</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ECE/TRANS/WP.29/2018/125</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110</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rectificatif 1 à la révision 3 du règlement nº 110 de l’ONU (véhicules fonctionnant au gaz naturel comprimé ou au gaz de pétrole liquéfié)</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ECE/TRANS/WP.29/2018/153</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112</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série 02 d’amendements au règlement nº 112 de l’ONU (projecteurs émettant un faisceau de croisement asymétrique)</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ECE/TRANS/WP.29/2018/116</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113</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série 03 d’amendements au règlement nº 113 de l’ONU (projecteurs émettant un faisceau de croisement symétrique)</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ECE/TRANS/WP.29/2018/117</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119</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série 02 d’amendements au règlement nº 119 de l’ONU (feux d’angle)</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ECE/TRANS/WP.29/2018/118</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121</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rectificatif 1 à la révision 2 du règlement nº 121 de l’ONU (identification des commandes manuelles, des témoins et des indicateurs)</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ECE/TRANS/WP.29/2018/154</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123</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série 02 d’amendements au règlement nº 123 de l’ONU [systèmes d’éclairage avant actifs (AFS)]</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ECE/TRANS/WP.29/2018/119</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128</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8 à la version originale du règlement nº 128 de l’ONU (sources lumineuses à diodes électroluminescentes)</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ECE/TRANS/WP.29/2018/90</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129</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8 au règlement nº 129 de l’ONU (dispositifs améliorés de retenue pour enfants)</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ECE/TRANS/WP.29/2018/136</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129</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5 à la série 01 d’amendements au règlement nº 129 de l’ONU (dispositifs améliorés de retenue pour enfants)</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ECE/TRANS/WP.29/2018/137</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129</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4 à la série 02 d’amendements au règlement nº 129 de l’ONU (dispositifs améliorés de retenue pour enfants)</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ECE/TRANS/WP.29/2018/138</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129</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1 à la série 03 d’amendements au règlement nº 129 de l’ONU (dispositifs améliorés de retenue pour enfants)</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ECE/TRANS/WP.29/2018/139</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132</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1 à la série 01 d’amendements au règlement nº 132 de l’ONU [dispositifs antipollution de mise à niveau (DAM)]</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ECE/TRANS/WP.29/2018/151</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137</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2 à la série 01 d’amendements au règlement nº 137 de l’ONU (choc avant, l’accent étant mis sur les systèmes de retenue)</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ECE/TRANS/WP.29/2018/140</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Nouveau règlement de l’ONU</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nouveau règlement de l’ONU sur les dispositifs de signalisation lumineuse (LSD)</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ECE/TRANS/WP.29/2018/157</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Nouveau règlement de l’ONU</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nouveau règlement de l’ONU sur les dispositifs d’illumination de la route (RID)</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ECE/TRANS/WP.29/2018/158</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Nouveau règlement de l’ONU</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nouveau règlement de l’ONU sur les dispositifs rétroréfléchissants (RRD)</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ECE/TRANS/WP.29/2018/159</w:t>
            </w:r>
          </w:p>
        </w:tc>
      </w:tr>
    </w:tbl>
    <w:p>
      <w:pPr>
        <w:spacing w:before="0" w:after="200" w:line="276" w:lineRule="auto"/>
        <w:jc w:val="left"/>
        <w:rPr>
          <w:rFonts w:asciiTheme="minorHAnsi" w:hAnsiTheme="minorHAnsi" w:cstheme="minorBidi"/>
          <w:noProof/>
          <w:sz w:val="22"/>
        </w:rPr>
      </w:pPr>
    </w:p>
    <w:tbl>
      <w:tblPr>
        <w:tblW w:w="8946" w:type="dxa"/>
        <w:tblInd w:w="93" w:type="dxa"/>
        <w:tblLayout w:type="fixed"/>
        <w:tblLook w:val="04A0" w:firstRow="1" w:lastRow="0" w:firstColumn="1" w:lastColumn="0" w:noHBand="0" w:noVBand="1"/>
      </w:tblPr>
      <w:tblGrid>
        <w:gridCol w:w="1291"/>
        <w:gridCol w:w="4678"/>
        <w:gridCol w:w="2977"/>
      </w:tblGrid>
      <w:tr>
        <w:trPr>
          <w:trHeight w:val="465"/>
        </w:trPr>
        <w:tc>
          <w:tcPr>
            <w:tcW w:w="1291" w:type="dxa"/>
            <w:tcBorders>
              <w:top w:val="single" w:sz="8" w:space="0" w:color="auto"/>
              <w:left w:val="single" w:sz="8" w:space="0" w:color="auto"/>
              <w:bottom w:val="single" w:sz="4" w:space="0" w:color="auto"/>
              <w:right w:val="single" w:sz="4" w:space="0" w:color="auto"/>
            </w:tcBorders>
            <w:shd w:val="clear" w:color="auto" w:fill="auto"/>
            <w:hideMark/>
          </w:tcPr>
          <w:p>
            <w:pPr>
              <w:spacing w:before="0" w:after="0"/>
              <w:jc w:val="left"/>
              <w:rPr>
                <w:rFonts w:eastAsia="Times New Roman"/>
                <w:b/>
                <w:bCs/>
                <w:noProof/>
                <w:szCs w:val="24"/>
              </w:rPr>
            </w:pPr>
            <w:r>
              <w:rPr>
                <w:b/>
                <w:noProof/>
              </w:rPr>
              <w:t>RTM nº</w:t>
            </w:r>
          </w:p>
        </w:tc>
        <w:tc>
          <w:tcPr>
            <w:tcW w:w="4678"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Cs w:val="24"/>
              </w:rPr>
            </w:pPr>
            <w:r>
              <w:rPr>
                <w:b/>
                <w:noProof/>
              </w:rPr>
              <w:t>Titre du point de l’ordre du jour</w:t>
            </w:r>
          </w:p>
        </w:tc>
        <w:tc>
          <w:tcPr>
            <w:tcW w:w="2977"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Cs w:val="24"/>
              </w:rPr>
            </w:pPr>
            <w:r>
              <w:rPr>
                <w:b/>
                <w:noProof/>
              </w:rPr>
              <w:t>Référence du document</w:t>
            </w:r>
          </w:p>
        </w:tc>
      </w:tr>
      <w:tr>
        <w:trPr>
          <w:trHeight w:val="600"/>
        </w:trPr>
        <w:tc>
          <w:tcPr>
            <w:tcW w:w="1291" w:type="dxa"/>
            <w:tcBorders>
              <w:top w:val="nil"/>
              <w:left w:val="single" w:sz="4" w:space="0" w:color="auto"/>
              <w:bottom w:val="nil"/>
              <w:right w:val="single" w:sz="4" w:space="0" w:color="auto"/>
            </w:tcBorders>
            <w:shd w:val="clear" w:color="auto" w:fill="auto"/>
          </w:tcPr>
          <w:p>
            <w:pPr>
              <w:rPr>
                <w:noProof/>
                <w:sz w:val="20"/>
                <w:szCs w:val="20"/>
              </w:rPr>
            </w:pPr>
            <w:r>
              <w:rPr>
                <w:noProof/>
                <w:sz w:val="20"/>
              </w:rPr>
              <w:t>RTM nº 9 de l’ONU</w:t>
            </w:r>
          </w:p>
        </w:tc>
        <w:tc>
          <w:tcPr>
            <w:tcW w:w="4678" w:type="dxa"/>
            <w:tcBorders>
              <w:top w:val="nil"/>
              <w:left w:val="nil"/>
              <w:bottom w:val="nil"/>
              <w:right w:val="single" w:sz="4" w:space="0" w:color="auto"/>
            </w:tcBorders>
            <w:shd w:val="clear" w:color="auto" w:fill="auto"/>
          </w:tcPr>
          <w:p>
            <w:pPr>
              <w:rPr>
                <w:noProof/>
                <w:sz w:val="20"/>
                <w:szCs w:val="20"/>
              </w:rPr>
            </w:pPr>
            <w:r>
              <w:rPr>
                <w:noProof/>
                <w:sz w:val="20"/>
              </w:rPr>
              <w:t>Proposition d’amendement 2 au RTM nº 9 de l’ONU (sécurité des piétons)</w:t>
            </w:r>
          </w:p>
        </w:tc>
        <w:tc>
          <w:tcPr>
            <w:tcW w:w="2977" w:type="dxa"/>
            <w:tcBorders>
              <w:top w:val="nil"/>
              <w:left w:val="nil"/>
              <w:bottom w:val="nil"/>
              <w:right w:val="single" w:sz="4" w:space="0" w:color="auto"/>
            </w:tcBorders>
            <w:shd w:val="clear" w:color="auto" w:fill="auto"/>
          </w:tcPr>
          <w:p>
            <w:pPr>
              <w:rPr>
                <w:noProof/>
                <w:sz w:val="20"/>
                <w:szCs w:val="20"/>
              </w:rPr>
            </w:pPr>
            <w:r>
              <w:rPr>
                <w:noProof/>
                <w:sz w:val="20"/>
              </w:rPr>
              <w:t>ECE/TRANS/WP.29/2018/160 &amp; 161</w:t>
            </w:r>
          </w:p>
        </w:tc>
      </w:tr>
    </w:tbl>
    <w:p>
      <w:pPr>
        <w:spacing w:before="0" w:after="200" w:line="276" w:lineRule="auto"/>
        <w:jc w:val="left"/>
        <w:rPr>
          <w:rFonts w:asciiTheme="minorHAnsi" w:hAnsiTheme="minorHAnsi" w:cstheme="minorBidi"/>
          <w:noProof/>
          <w:sz w:val="22"/>
        </w:rPr>
      </w:pPr>
    </w:p>
    <w:p>
      <w:pPr>
        <w:rPr>
          <w:noProof/>
        </w:rPr>
      </w:pPr>
    </w:p>
    <w:sectPr>
      <w:footerReference w:type="default" r:id="rId16"/>
      <w:footerReference w:type="first" r:id="rId17"/>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 w:val="18"/>
        </w:rPr>
      </w:pPr>
      <w:r>
        <w:rPr>
          <w:rStyle w:val="FootnoteReference"/>
        </w:rPr>
        <w:footnoteRef/>
      </w:r>
      <w:r>
        <w:tab/>
      </w:r>
      <w:r>
        <w:rPr>
          <w:sz w:val="18"/>
        </w:rPr>
        <w:t xml:space="preserve">Tous les documents référencés dans le tableau sont accessibles au public à l’adresse suivante: </w:t>
      </w:r>
    </w:p>
    <w:p>
      <w:pPr>
        <w:pStyle w:val="FootnoteText"/>
        <w:rPr>
          <w:sz w:val="18"/>
        </w:rPr>
      </w:pPr>
      <w:hyperlink r:id="rId1">
        <w:r>
          <w:rPr>
            <w:rStyle w:val="Hyperlink"/>
            <w:sz w:val="18"/>
          </w:rPr>
          <w:t>http://www.unece.org/trans/main/wp29/wp29wgs/wp29gen/gen2018.html</w:t>
        </w:r>
      </w:hyperlink>
    </w:p>
    <w:p>
      <w:pPr>
        <w:pStyle w:val="FootnoteText"/>
        <w:rPr>
          <w:sz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2942DF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6C83C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BD4DD1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2B0373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B94DC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6168A0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696E"/>
    <w:lvl w:ilvl="0">
      <w:start w:val="1"/>
      <w:numFmt w:val="decimal"/>
      <w:pStyle w:val="ListNumber"/>
      <w:lvlText w:val="%1."/>
      <w:lvlJc w:val="left"/>
      <w:pPr>
        <w:tabs>
          <w:tab w:val="num" w:pos="360"/>
        </w:tabs>
        <w:ind w:left="360" w:hanging="360"/>
      </w:pPr>
    </w:lvl>
  </w:abstractNum>
  <w:abstractNum w:abstractNumId="7">
    <w:nsid w:val="FFFFFF89"/>
    <w:multiLevelType w:val="singleLevel"/>
    <w:tmpl w:val="240C62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10 10:20:1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0"/>
    <w:docVar w:name="LW_CORRIGENDUM" w:val="&lt;UNUSED&gt;"/>
    <w:docVar w:name="LW_COVERPAGE_EXISTS" w:val="True"/>
    <w:docVar w:name="LW_COVERPAGE_GUID" w:val="E070828D-5298-42BC-9519-F1641E21D525"/>
    <w:docVar w:name="LW_COVERPAGE_TYPE" w:val="1"/>
    <w:docVar w:name="LW_CROSSREFERENCE" w:val="&lt;UNUSED&gt;"/>
    <w:docVar w:name="LW_DocType" w:val="ANNEX"/>
    <w:docVar w:name="LW_EMISSION" w:val="10.10.2018"/>
    <w:docVar w:name="LW_EMISSION_ISODATE" w:val="2018-10-10"/>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es comités compétents de la Commission économique pour l\u8217?Europe des Nations unies, sur les propositions de modifications des règlements nos&lt;LWCR:NBS&gt;3, 4, 6, 7, 11, 14, 16, 17, 19, 23, 24, 27, 29, 34, 37, 38, 43, 44, 46, 48, 50, 53, 60, 67, 69, 70, 74, 77, 83, 86, 87, 91, 94, 95, 98, 99, 100, 101, 104, 105, 110, 112, 113, 119, 121, 123, 128, 129, 132 et 137 de l\u8217?ONU et du règlement technique mondial nº&lt;LWCR:NBS&gt;9, ainsi que sur les propositions de trois nouveaux règlements de l\u8217?ONU_x000b_"/>
    <w:docVar w:name="LW_OBJETACTEPRINCIPAL.CP" w:val="relative à la position à prendre au nom de l\u8217?Union européenne, au sein des comités compétents de la Commission économique pour l\u8217?Europe des Nations unies, sur les propositions de modifications des règlements nos 3, 4, 6, 7, 11, 14, 16, 17, 19, 23, 24, 27, 29, 34, 37, 38, 43, 44, 46, 48, 50, 53, 60, 67, 69, 70, 74, 77, 83, 86, 87, 91, 94, 95, 98, 99, 100, 101, 104, 105, 110, 112, 113, 119, 121, 123, 128, 129, 132 et 137 de l\u8217?ONU et du règlement technique mondial nº 9, ainsi que sur les propositions de trois nouveaux règlements de l\u8217?ONU_x000b_"/>
    <w:docVar w:name="LW_PART_NBR" w:val="1"/>
    <w:docVar w:name="LW_PART_NBR_TOTAL" w:val="1"/>
    <w:docVar w:name="LW_REF.INST.NEW" w:val="COM"/>
    <w:docVar w:name="LW_REF.INST.NEW_ADOPTED" w:val="final"/>
    <w:docVar w:name="LW_REF.INST.NEW_TEXT" w:val="(2018) 6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9432">
      <w:bodyDiv w:val="1"/>
      <w:marLeft w:val="0"/>
      <w:marRight w:val="0"/>
      <w:marTop w:val="0"/>
      <w:marBottom w:val="0"/>
      <w:divBdr>
        <w:top w:val="none" w:sz="0" w:space="0" w:color="auto"/>
        <w:left w:val="none" w:sz="0" w:space="0" w:color="auto"/>
        <w:bottom w:val="none" w:sz="0" w:space="0" w:color="auto"/>
        <w:right w:val="none" w:sz="0" w:space="0" w:color="auto"/>
      </w:divBdr>
    </w:div>
    <w:div w:id="1276327042">
      <w:bodyDiv w:val="1"/>
      <w:marLeft w:val="0"/>
      <w:marRight w:val="0"/>
      <w:marTop w:val="0"/>
      <w:marBottom w:val="0"/>
      <w:divBdr>
        <w:top w:val="none" w:sz="0" w:space="0" w:color="auto"/>
        <w:left w:val="none" w:sz="0" w:space="0" w:color="auto"/>
        <w:bottom w:val="none" w:sz="0" w:space="0" w:color="auto"/>
        <w:right w:val="none" w:sz="0" w:space="0" w:color="auto"/>
      </w:divBdr>
    </w:div>
    <w:div w:id="1751465643">
      <w:bodyDiv w:val="1"/>
      <w:marLeft w:val="0"/>
      <w:marRight w:val="0"/>
      <w:marTop w:val="0"/>
      <w:marBottom w:val="0"/>
      <w:divBdr>
        <w:top w:val="none" w:sz="0" w:space="0" w:color="auto"/>
        <w:left w:val="none" w:sz="0" w:space="0" w:color="auto"/>
        <w:bottom w:val="none" w:sz="0" w:space="0" w:color="auto"/>
        <w:right w:val="none" w:sz="0" w:space="0" w:color="auto"/>
      </w:divBdr>
    </w:div>
    <w:div w:id="1767771731">
      <w:bodyDiv w:val="1"/>
      <w:marLeft w:val="0"/>
      <w:marRight w:val="0"/>
      <w:marTop w:val="0"/>
      <w:marBottom w:val="0"/>
      <w:divBdr>
        <w:top w:val="none" w:sz="0" w:space="0" w:color="auto"/>
        <w:left w:val="none" w:sz="0" w:space="0" w:color="auto"/>
        <w:bottom w:val="none" w:sz="0" w:space="0" w:color="auto"/>
        <w:right w:val="none" w:sz="0" w:space="0" w:color="auto"/>
      </w:divBdr>
    </w:div>
    <w:div w:id="1815756432">
      <w:bodyDiv w:val="1"/>
      <w:marLeft w:val="0"/>
      <w:marRight w:val="0"/>
      <w:marTop w:val="0"/>
      <w:marBottom w:val="0"/>
      <w:divBdr>
        <w:top w:val="none" w:sz="0" w:space="0" w:color="auto"/>
        <w:left w:val="none" w:sz="0" w:space="0" w:color="auto"/>
        <w:bottom w:val="none" w:sz="0" w:space="0" w:color="auto"/>
        <w:right w:val="none" w:sz="0" w:space="0" w:color="auto"/>
      </w:divBdr>
    </w:div>
    <w:div w:id="183641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unece.org/trans/main/wp29/wp29wgs/wp29gen/gen201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00090-48F7-47EA-8B10-09042629F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7</Pages>
  <Words>1749</Words>
  <Characters>10690</Characters>
  <Application>Microsoft Office Word</Application>
  <DocSecurity>0</DocSecurity>
  <Lines>427</Lines>
  <Paragraphs>282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BRASSART Odile (GROW)</dc:creator>
  <cp:lastModifiedBy>DIGIT/A3</cp:lastModifiedBy>
  <cp:revision>8</cp:revision>
  <cp:lastPrinted>2018-05-03T11:38:00Z</cp:lastPrinted>
  <dcterms:created xsi:type="dcterms:W3CDTF">2018-09-27T16:27:00Z</dcterms:created>
  <dcterms:modified xsi:type="dcterms:W3CDTF">2018-10-10T08:20:00Z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6.0.1, Build 20180503</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0</vt:lpwstr>
  </property>
  <property fmtid="{D5CDD505-2E9C-101B-9397-08002B2CF9AE}" pid="13" name="DQCStatus">
    <vt:lpwstr>Green (DQC version 03)</vt:lpwstr>
  </property>
</Properties>
</file>