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044EF" w14:textId="10997FBC" w:rsidR="002424E0" w:rsidRPr="00643D80" w:rsidRDefault="00E16391" w:rsidP="00643D80">
      <w:pPr>
        <w:pStyle w:val="TechnicalBlock"/>
        <w:ind w:left="-1134" w:right="-1134"/>
      </w:pPr>
      <w:bookmarkStart w:id="0" w:name="DW_BM_COVERPAGE"/>
      <w:r>
        <w:pict w14:anchorId="0A9EF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203/18.&#10;Subject Codes: PRESSE 36 PR CO 36.&#10;Heading: OUTCOME OF THE COUNCIL MEETING.&#10;Institutional Framework: Council of the European Union.&#10;Language: EN.&#10;Distribution Code: Not Set.&#10;GUID: 4696109991209367335_0" style="width:574pt;height:413pt">
            <v:imagedata r:id="rId7" o:title=""/>
          </v:shape>
        </w:pict>
      </w:r>
      <w:bookmarkEnd w:id="0"/>
    </w:p>
    <w:p w14:paraId="06918B06" w14:textId="77777777" w:rsidR="003C5A34" w:rsidRDefault="003C5A34" w:rsidP="003C5A34">
      <w:pPr>
        <w:pStyle w:val="TechnicalBlock"/>
        <w:ind w:left="-1134" w:right="-1134"/>
        <w:sectPr w:rsidR="003C5A34" w:rsidSect="00643D8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14:paraId="243F1F6C" w14:textId="68C11CFF" w:rsidR="004B3F67" w:rsidRDefault="009D0867" w:rsidP="009D0867">
      <w:pPr>
        <w:pStyle w:val="TOCHeading"/>
      </w:pPr>
      <w:r>
        <w:lastRenderedPageBreak/>
        <w:t>CONTENTS</w:t>
      </w:r>
      <w:r w:rsidRPr="009D0867">
        <w:rPr>
          <w:vertAlign w:val="superscript"/>
        </w:rPr>
        <w:t>1</w:t>
      </w:r>
    </w:p>
    <w:p w14:paraId="7CD852D4" w14:textId="55512765" w:rsidR="009D0867" w:rsidRDefault="009D0867" w:rsidP="009D0867">
      <w:pPr>
        <w:pStyle w:val="TOC5"/>
      </w:pPr>
      <w:r>
        <w:t>ITEMS DEBATED</w:t>
      </w:r>
    </w:p>
    <w:p w14:paraId="328EBE69" w14:textId="472CC96A" w:rsidR="009D0867" w:rsidRDefault="009D0867" w:rsidP="009D0867">
      <w:pPr>
        <w:pStyle w:val="TOC7"/>
        <w:rPr>
          <w:rFonts w:asciiTheme="minorHAnsi" w:eastAsiaTheme="minorEastAsia" w:hAnsiTheme="minorHAnsi" w:cstheme="minorBidi"/>
          <w:noProof/>
          <w:sz w:val="22"/>
          <w:lang w:eastAsia="en-GB"/>
        </w:rPr>
      </w:pPr>
      <w:r>
        <w:rPr>
          <w:noProof/>
        </w:rPr>
        <w:t>VAT SYSTEM – SHORT-TERM FIXES</w:t>
      </w:r>
      <w:r>
        <w:rPr>
          <w:noProof/>
        </w:rPr>
        <w:tab/>
      </w:r>
      <w:r>
        <w:rPr>
          <w:noProof/>
        </w:rPr>
        <w:fldChar w:fldCharType="begin"/>
      </w:r>
      <w:r>
        <w:rPr>
          <w:noProof/>
        </w:rPr>
        <w:instrText xml:space="preserve"> PAGEREF \h _Toc517445169 \* MERGEFORMAT </w:instrText>
      </w:r>
      <w:r>
        <w:rPr>
          <w:noProof/>
        </w:rPr>
      </w:r>
      <w:r>
        <w:rPr>
          <w:noProof/>
        </w:rPr>
        <w:fldChar w:fldCharType="separate"/>
      </w:r>
      <w:r>
        <w:rPr>
          <w:noProof/>
        </w:rPr>
        <w:t>4</w:t>
      </w:r>
      <w:r>
        <w:rPr>
          <w:noProof/>
        </w:rPr>
        <w:fldChar w:fldCharType="end"/>
      </w:r>
    </w:p>
    <w:p w14:paraId="292B9564" w14:textId="7821B0D8" w:rsidR="009D0867" w:rsidRDefault="009D0867" w:rsidP="009D0867">
      <w:pPr>
        <w:pStyle w:val="TOC6"/>
        <w:rPr>
          <w:rFonts w:asciiTheme="minorHAnsi" w:eastAsiaTheme="minorEastAsia" w:hAnsiTheme="minorHAnsi" w:cstheme="minorBidi"/>
          <w:noProof/>
          <w:sz w:val="22"/>
          <w:lang w:eastAsia="en-GB"/>
        </w:rPr>
      </w:pPr>
      <w:r>
        <w:rPr>
          <w:noProof/>
        </w:rPr>
        <w:t>EUROPEAN DEPOSIT INSURANCE SCHEME</w:t>
      </w:r>
      <w:r>
        <w:rPr>
          <w:noProof/>
        </w:rPr>
        <w:tab/>
      </w:r>
      <w:r>
        <w:rPr>
          <w:noProof/>
        </w:rPr>
        <w:fldChar w:fldCharType="begin"/>
      </w:r>
      <w:r>
        <w:rPr>
          <w:noProof/>
        </w:rPr>
        <w:instrText xml:space="preserve"> PAGEREF \h _Toc517445170 \* MERGEFORMAT </w:instrText>
      </w:r>
      <w:r>
        <w:rPr>
          <w:noProof/>
        </w:rPr>
      </w:r>
      <w:r>
        <w:rPr>
          <w:noProof/>
        </w:rPr>
        <w:fldChar w:fldCharType="separate"/>
      </w:r>
      <w:r>
        <w:rPr>
          <w:noProof/>
        </w:rPr>
        <w:t>5</w:t>
      </w:r>
      <w:r>
        <w:rPr>
          <w:noProof/>
        </w:rPr>
        <w:fldChar w:fldCharType="end"/>
      </w:r>
    </w:p>
    <w:p w14:paraId="080EEF9A" w14:textId="2EE31E2D" w:rsidR="009D0867" w:rsidRDefault="009D0867" w:rsidP="009D0867">
      <w:pPr>
        <w:pStyle w:val="TOC6"/>
        <w:rPr>
          <w:rFonts w:asciiTheme="minorHAnsi" w:eastAsiaTheme="minorEastAsia" w:hAnsiTheme="minorHAnsi" w:cstheme="minorBidi"/>
          <w:noProof/>
          <w:sz w:val="22"/>
          <w:lang w:eastAsia="en-GB"/>
        </w:rPr>
      </w:pPr>
      <w:r w:rsidRPr="002259CD">
        <w:rPr>
          <w:noProof/>
          <w:lang w:val="en-US"/>
        </w:rPr>
        <w:t>S</w:t>
      </w:r>
      <w:r>
        <w:rPr>
          <w:noProof/>
        </w:rPr>
        <w:t>TABILITY AND GROWTH PACT – FRANCE, HUNGARY AND ROMANIA</w:t>
      </w:r>
      <w:r>
        <w:rPr>
          <w:noProof/>
        </w:rPr>
        <w:tab/>
      </w:r>
      <w:r>
        <w:rPr>
          <w:noProof/>
        </w:rPr>
        <w:fldChar w:fldCharType="begin"/>
      </w:r>
      <w:r>
        <w:rPr>
          <w:noProof/>
        </w:rPr>
        <w:instrText xml:space="preserve"> PAGEREF \h _Toc517445171 \* MERGEFORMAT </w:instrText>
      </w:r>
      <w:r>
        <w:rPr>
          <w:noProof/>
        </w:rPr>
      </w:r>
      <w:r>
        <w:rPr>
          <w:noProof/>
        </w:rPr>
        <w:fldChar w:fldCharType="separate"/>
      </w:r>
      <w:r>
        <w:rPr>
          <w:noProof/>
        </w:rPr>
        <w:t>6</w:t>
      </w:r>
      <w:r>
        <w:rPr>
          <w:noProof/>
        </w:rPr>
        <w:fldChar w:fldCharType="end"/>
      </w:r>
    </w:p>
    <w:p w14:paraId="400AAB5B" w14:textId="7A8F281D" w:rsidR="009D0867" w:rsidRDefault="009D0867" w:rsidP="009D0867">
      <w:pPr>
        <w:pStyle w:val="TOC6"/>
        <w:rPr>
          <w:rFonts w:asciiTheme="minorHAnsi" w:eastAsiaTheme="minorEastAsia" w:hAnsiTheme="minorHAnsi" w:cstheme="minorBidi"/>
          <w:noProof/>
          <w:sz w:val="22"/>
          <w:lang w:eastAsia="en-GB"/>
        </w:rPr>
      </w:pPr>
      <w:r>
        <w:rPr>
          <w:noProof/>
        </w:rPr>
        <w:t>ECONOMIC AND MONETARY UNION – CONVERGENCE REPORTS</w:t>
      </w:r>
      <w:r>
        <w:rPr>
          <w:noProof/>
        </w:rPr>
        <w:tab/>
      </w:r>
      <w:r>
        <w:rPr>
          <w:noProof/>
        </w:rPr>
        <w:fldChar w:fldCharType="begin"/>
      </w:r>
      <w:r>
        <w:rPr>
          <w:noProof/>
        </w:rPr>
        <w:instrText xml:space="preserve"> PAGEREF \h _Toc517445172 \* MERGEFORMAT </w:instrText>
      </w:r>
      <w:r>
        <w:rPr>
          <w:noProof/>
        </w:rPr>
      </w:r>
      <w:r>
        <w:rPr>
          <w:noProof/>
        </w:rPr>
        <w:fldChar w:fldCharType="separate"/>
      </w:r>
      <w:r>
        <w:rPr>
          <w:noProof/>
        </w:rPr>
        <w:t>7</w:t>
      </w:r>
      <w:r>
        <w:rPr>
          <w:noProof/>
        </w:rPr>
        <w:fldChar w:fldCharType="end"/>
      </w:r>
    </w:p>
    <w:p w14:paraId="745C95AD" w14:textId="2D92536F" w:rsidR="009D0867" w:rsidRDefault="009D0867" w:rsidP="009D0867">
      <w:pPr>
        <w:pStyle w:val="TOC6"/>
        <w:rPr>
          <w:rFonts w:asciiTheme="minorHAnsi" w:eastAsiaTheme="minorEastAsia" w:hAnsiTheme="minorHAnsi" w:cstheme="minorBidi"/>
          <w:noProof/>
          <w:sz w:val="22"/>
          <w:lang w:eastAsia="en-GB"/>
        </w:rPr>
      </w:pPr>
      <w:r>
        <w:rPr>
          <w:noProof/>
        </w:rPr>
        <w:t>ECONOMIC AND FISCAL POLICIES – COUNTRY-SPECIFIC RECOMMENDATIONS</w:t>
      </w:r>
      <w:r>
        <w:rPr>
          <w:noProof/>
        </w:rPr>
        <w:tab/>
      </w:r>
      <w:r>
        <w:rPr>
          <w:noProof/>
        </w:rPr>
        <w:fldChar w:fldCharType="begin"/>
      </w:r>
      <w:r>
        <w:rPr>
          <w:noProof/>
        </w:rPr>
        <w:instrText xml:space="preserve"> PAGEREF \h _Toc517445173 \* MERGEFORMAT </w:instrText>
      </w:r>
      <w:r>
        <w:rPr>
          <w:noProof/>
        </w:rPr>
      </w:r>
      <w:r>
        <w:rPr>
          <w:noProof/>
        </w:rPr>
        <w:fldChar w:fldCharType="separate"/>
      </w:r>
      <w:r>
        <w:rPr>
          <w:noProof/>
        </w:rPr>
        <w:t>8</w:t>
      </w:r>
      <w:r>
        <w:rPr>
          <w:noProof/>
        </w:rPr>
        <w:fldChar w:fldCharType="end"/>
      </w:r>
    </w:p>
    <w:p w14:paraId="1EE702F7" w14:textId="61A7BA32" w:rsidR="009D0867" w:rsidRDefault="009D0867" w:rsidP="009D0867">
      <w:pPr>
        <w:pStyle w:val="TOC6"/>
        <w:rPr>
          <w:rFonts w:asciiTheme="minorHAnsi" w:eastAsiaTheme="minorEastAsia" w:hAnsiTheme="minorHAnsi" w:cstheme="minorBidi"/>
          <w:noProof/>
          <w:sz w:val="22"/>
          <w:lang w:eastAsia="en-GB"/>
        </w:rPr>
      </w:pPr>
      <w:r>
        <w:rPr>
          <w:noProof/>
        </w:rPr>
        <w:t>OTHER BUSINESS</w:t>
      </w:r>
      <w:r>
        <w:rPr>
          <w:noProof/>
        </w:rPr>
        <w:tab/>
      </w:r>
      <w:r>
        <w:rPr>
          <w:noProof/>
        </w:rPr>
        <w:fldChar w:fldCharType="begin"/>
      </w:r>
      <w:r>
        <w:rPr>
          <w:noProof/>
        </w:rPr>
        <w:instrText xml:space="preserve"> PAGEREF \h _Toc517445174 \* MERGEFORMAT </w:instrText>
      </w:r>
      <w:r>
        <w:rPr>
          <w:noProof/>
        </w:rPr>
      </w:r>
      <w:r>
        <w:rPr>
          <w:noProof/>
        </w:rPr>
        <w:fldChar w:fldCharType="separate"/>
      </w:r>
      <w:r>
        <w:rPr>
          <w:noProof/>
        </w:rPr>
        <w:t>9</w:t>
      </w:r>
      <w:r>
        <w:rPr>
          <w:noProof/>
        </w:rPr>
        <w:fldChar w:fldCharType="end"/>
      </w:r>
    </w:p>
    <w:p w14:paraId="1F696D9D" w14:textId="7129F191" w:rsidR="009D0867" w:rsidRDefault="009D0867" w:rsidP="009D0867">
      <w:pPr>
        <w:pStyle w:val="TOC9"/>
        <w:rPr>
          <w:rFonts w:asciiTheme="minorHAnsi" w:eastAsiaTheme="minorEastAsia" w:hAnsiTheme="minorHAnsi" w:cstheme="minorBidi"/>
          <w:noProof/>
          <w:sz w:val="22"/>
          <w:lang w:eastAsia="en-GB"/>
        </w:rPr>
      </w:pPr>
      <w:r>
        <w:rPr>
          <w:noProof/>
        </w:rPr>
        <w:t>Financial services</w:t>
      </w:r>
      <w:r>
        <w:rPr>
          <w:noProof/>
        </w:rPr>
        <w:tab/>
      </w:r>
      <w:r>
        <w:rPr>
          <w:noProof/>
        </w:rPr>
        <w:fldChar w:fldCharType="begin"/>
      </w:r>
      <w:r>
        <w:rPr>
          <w:noProof/>
        </w:rPr>
        <w:instrText xml:space="preserve"> PAGEREF \h _Toc517445175 \* MERGEFORMAT </w:instrText>
      </w:r>
      <w:r>
        <w:rPr>
          <w:noProof/>
        </w:rPr>
      </w:r>
      <w:r>
        <w:rPr>
          <w:noProof/>
        </w:rPr>
        <w:fldChar w:fldCharType="separate"/>
      </w:r>
      <w:r>
        <w:rPr>
          <w:noProof/>
        </w:rPr>
        <w:t>9</w:t>
      </w:r>
      <w:r>
        <w:rPr>
          <w:noProof/>
        </w:rPr>
        <w:fldChar w:fldCharType="end"/>
      </w:r>
    </w:p>
    <w:p w14:paraId="2A9ED623" w14:textId="705EBD62" w:rsidR="009D0867" w:rsidRDefault="009D0867" w:rsidP="009D0867">
      <w:pPr>
        <w:pStyle w:val="TOC9"/>
        <w:rPr>
          <w:rFonts w:asciiTheme="minorHAnsi" w:eastAsiaTheme="minorEastAsia" w:hAnsiTheme="minorHAnsi" w:cstheme="minorBidi"/>
          <w:noProof/>
          <w:sz w:val="22"/>
          <w:lang w:eastAsia="en-GB"/>
        </w:rPr>
      </w:pPr>
      <w:r>
        <w:rPr>
          <w:noProof/>
        </w:rPr>
        <w:t>Insolvency</w:t>
      </w:r>
      <w:r>
        <w:rPr>
          <w:noProof/>
        </w:rPr>
        <w:tab/>
      </w:r>
      <w:r>
        <w:rPr>
          <w:noProof/>
        </w:rPr>
        <w:fldChar w:fldCharType="begin"/>
      </w:r>
      <w:r>
        <w:rPr>
          <w:noProof/>
        </w:rPr>
        <w:instrText xml:space="preserve"> PAGEREF \h _Toc517445176 \* MERGEFORMAT </w:instrText>
      </w:r>
      <w:r>
        <w:rPr>
          <w:noProof/>
        </w:rPr>
      </w:r>
      <w:r>
        <w:rPr>
          <w:noProof/>
        </w:rPr>
        <w:fldChar w:fldCharType="separate"/>
      </w:r>
      <w:r>
        <w:rPr>
          <w:noProof/>
        </w:rPr>
        <w:t>9</w:t>
      </w:r>
      <w:r>
        <w:rPr>
          <w:noProof/>
        </w:rPr>
        <w:fldChar w:fldCharType="end"/>
      </w:r>
    </w:p>
    <w:p w14:paraId="2A89B5BD" w14:textId="2A206E3C" w:rsidR="009D0867" w:rsidRDefault="009D0867" w:rsidP="009D0867">
      <w:pPr>
        <w:pStyle w:val="TOC6"/>
        <w:rPr>
          <w:rFonts w:asciiTheme="minorHAnsi" w:eastAsiaTheme="minorEastAsia" w:hAnsiTheme="minorHAnsi" w:cstheme="minorBidi"/>
          <w:noProof/>
          <w:sz w:val="22"/>
          <w:lang w:eastAsia="en-GB"/>
        </w:rPr>
      </w:pPr>
      <w:r>
        <w:rPr>
          <w:noProof/>
        </w:rPr>
        <w:t>MEETINGS IN THE MARGINS OF THE COUNCIL</w:t>
      </w:r>
      <w:r>
        <w:rPr>
          <w:noProof/>
        </w:rPr>
        <w:tab/>
      </w:r>
      <w:r>
        <w:rPr>
          <w:noProof/>
        </w:rPr>
        <w:fldChar w:fldCharType="begin"/>
      </w:r>
      <w:r>
        <w:rPr>
          <w:noProof/>
        </w:rPr>
        <w:instrText xml:space="preserve"> PAGEREF \h _Toc517445177 \* MERGEFORMAT </w:instrText>
      </w:r>
      <w:r>
        <w:rPr>
          <w:noProof/>
        </w:rPr>
      </w:r>
      <w:r>
        <w:rPr>
          <w:noProof/>
        </w:rPr>
        <w:fldChar w:fldCharType="separate"/>
      </w:r>
      <w:r>
        <w:rPr>
          <w:noProof/>
        </w:rPr>
        <w:t>10</w:t>
      </w:r>
      <w:r>
        <w:rPr>
          <w:noProof/>
        </w:rPr>
        <w:fldChar w:fldCharType="end"/>
      </w:r>
    </w:p>
    <w:p w14:paraId="000DCFE8" w14:textId="2B7C8F37" w:rsidR="009D0867" w:rsidRDefault="009D0867" w:rsidP="009D0867">
      <w:pPr>
        <w:pStyle w:val="TOC9"/>
        <w:rPr>
          <w:rFonts w:asciiTheme="minorHAnsi" w:eastAsiaTheme="minorEastAsia" w:hAnsiTheme="minorHAnsi" w:cstheme="minorBidi"/>
          <w:noProof/>
          <w:sz w:val="22"/>
          <w:lang w:eastAsia="en-GB"/>
        </w:rPr>
      </w:pPr>
      <w:r>
        <w:rPr>
          <w:noProof/>
        </w:rPr>
        <w:t>ESM board of governors</w:t>
      </w:r>
      <w:r>
        <w:rPr>
          <w:noProof/>
        </w:rPr>
        <w:tab/>
      </w:r>
      <w:r>
        <w:rPr>
          <w:noProof/>
        </w:rPr>
        <w:fldChar w:fldCharType="begin"/>
      </w:r>
      <w:r>
        <w:rPr>
          <w:noProof/>
        </w:rPr>
        <w:instrText xml:space="preserve"> PAGEREF \h _Toc517445178 \* MERGEFORMAT </w:instrText>
      </w:r>
      <w:r>
        <w:rPr>
          <w:noProof/>
        </w:rPr>
      </w:r>
      <w:r>
        <w:rPr>
          <w:noProof/>
        </w:rPr>
        <w:fldChar w:fldCharType="separate"/>
      </w:r>
      <w:r>
        <w:rPr>
          <w:noProof/>
        </w:rPr>
        <w:t>10</w:t>
      </w:r>
      <w:r>
        <w:rPr>
          <w:noProof/>
        </w:rPr>
        <w:fldChar w:fldCharType="end"/>
      </w:r>
    </w:p>
    <w:p w14:paraId="2CEDAC42" w14:textId="33AB09DF" w:rsidR="009D0867" w:rsidRDefault="009D0867" w:rsidP="009D0867">
      <w:pPr>
        <w:pStyle w:val="TOC9"/>
        <w:rPr>
          <w:rFonts w:asciiTheme="minorHAnsi" w:eastAsiaTheme="minorEastAsia" w:hAnsiTheme="minorHAnsi" w:cstheme="minorBidi"/>
          <w:noProof/>
          <w:sz w:val="22"/>
          <w:lang w:eastAsia="en-GB"/>
        </w:rPr>
      </w:pPr>
      <w:r>
        <w:rPr>
          <w:noProof/>
        </w:rPr>
        <w:t>Eurogroup</w:t>
      </w:r>
      <w:r>
        <w:rPr>
          <w:noProof/>
        </w:rPr>
        <w:tab/>
      </w:r>
      <w:r>
        <w:rPr>
          <w:noProof/>
        </w:rPr>
        <w:fldChar w:fldCharType="begin"/>
      </w:r>
      <w:r>
        <w:rPr>
          <w:noProof/>
        </w:rPr>
        <w:instrText xml:space="preserve"> PAGEREF \h _Toc517445179 \* MERGEFORMAT </w:instrText>
      </w:r>
      <w:r>
        <w:rPr>
          <w:noProof/>
        </w:rPr>
      </w:r>
      <w:r>
        <w:rPr>
          <w:noProof/>
        </w:rPr>
        <w:fldChar w:fldCharType="separate"/>
      </w:r>
      <w:r>
        <w:rPr>
          <w:noProof/>
        </w:rPr>
        <w:t>10</w:t>
      </w:r>
      <w:r>
        <w:rPr>
          <w:noProof/>
        </w:rPr>
        <w:fldChar w:fldCharType="end"/>
      </w:r>
    </w:p>
    <w:p w14:paraId="34F62390" w14:textId="4E277C3A" w:rsidR="009D0867" w:rsidRDefault="009D0867" w:rsidP="009D0867">
      <w:pPr>
        <w:pStyle w:val="TOC9"/>
        <w:rPr>
          <w:rFonts w:asciiTheme="minorHAnsi" w:eastAsiaTheme="minorEastAsia" w:hAnsiTheme="minorHAnsi" w:cstheme="minorBidi"/>
          <w:noProof/>
          <w:sz w:val="22"/>
          <w:lang w:eastAsia="en-GB"/>
        </w:rPr>
      </w:pPr>
      <w:r>
        <w:rPr>
          <w:noProof/>
        </w:rPr>
        <w:t>EIB board of governors</w:t>
      </w:r>
      <w:r>
        <w:rPr>
          <w:noProof/>
        </w:rPr>
        <w:tab/>
      </w:r>
      <w:r>
        <w:rPr>
          <w:noProof/>
        </w:rPr>
        <w:fldChar w:fldCharType="begin"/>
      </w:r>
      <w:r>
        <w:rPr>
          <w:noProof/>
        </w:rPr>
        <w:instrText xml:space="preserve"> PAGEREF \h _Toc517445180 \* MERGEFORMAT </w:instrText>
      </w:r>
      <w:r>
        <w:rPr>
          <w:noProof/>
        </w:rPr>
      </w:r>
      <w:r>
        <w:rPr>
          <w:noProof/>
        </w:rPr>
        <w:fldChar w:fldCharType="separate"/>
      </w:r>
      <w:r>
        <w:rPr>
          <w:noProof/>
        </w:rPr>
        <w:t>10</w:t>
      </w:r>
      <w:r>
        <w:rPr>
          <w:noProof/>
        </w:rPr>
        <w:fldChar w:fldCharType="end"/>
      </w:r>
    </w:p>
    <w:p w14:paraId="256130E6" w14:textId="30740523" w:rsidR="009D0867" w:rsidRPr="009D0867" w:rsidRDefault="009D0867" w:rsidP="009D0867">
      <w:pPr>
        <w:pStyle w:val="TOC9"/>
      </w:pPr>
      <w:r>
        <w:rPr>
          <w:noProof/>
        </w:rPr>
        <w:t>Ministerial breakfast</w:t>
      </w:r>
      <w:r>
        <w:rPr>
          <w:noProof/>
        </w:rPr>
        <w:tab/>
      </w:r>
      <w:r>
        <w:rPr>
          <w:noProof/>
        </w:rPr>
        <w:fldChar w:fldCharType="begin"/>
      </w:r>
      <w:r>
        <w:rPr>
          <w:noProof/>
        </w:rPr>
        <w:instrText xml:space="preserve"> PAGEREF \h _Toc517445181 \* MERGEFORMAT </w:instrText>
      </w:r>
      <w:r>
        <w:rPr>
          <w:noProof/>
        </w:rPr>
      </w:r>
      <w:r>
        <w:rPr>
          <w:noProof/>
        </w:rPr>
        <w:fldChar w:fldCharType="separate"/>
      </w:r>
      <w:r>
        <w:rPr>
          <w:noProof/>
        </w:rPr>
        <w:t>10</w:t>
      </w:r>
      <w:r>
        <w:rPr>
          <w:noProof/>
        </w:rPr>
        <w:fldChar w:fldCharType="end"/>
      </w:r>
    </w:p>
    <w:p w14:paraId="79D14F72" w14:textId="444BE76D" w:rsidR="009D0867" w:rsidRDefault="009D0867" w:rsidP="009D0867">
      <w:pPr>
        <w:pStyle w:val="TOC5"/>
      </w:pPr>
      <w:r>
        <w:lastRenderedPageBreak/>
        <w:t>OTHER ITEMS APPROVED</w:t>
      </w:r>
    </w:p>
    <w:p w14:paraId="5CD28662" w14:textId="031457B6" w:rsidR="009D0867" w:rsidRDefault="009D0867" w:rsidP="009D0867">
      <w:pPr>
        <w:pStyle w:val="TOC8"/>
        <w:rPr>
          <w:rFonts w:asciiTheme="minorHAnsi" w:eastAsiaTheme="minorEastAsia" w:hAnsiTheme="minorHAnsi" w:cstheme="minorBidi"/>
          <w:i w:val="0"/>
          <w:noProof/>
          <w:sz w:val="22"/>
          <w:lang w:eastAsia="en-GB"/>
        </w:rPr>
      </w:pPr>
      <w:r w:rsidRPr="00C8250E">
        <w:rPr>
          <w:rFonts w:asciiTheme="majorBidi" w:hAnsiTheme="majorBidi" w:cstheme="majorBidi"/>
          <w:noProof/>
        </w:rPr>
        <w:t>ECONOMIC AND FINANCIAL AFFAIRS</w:t>
      </w:r>
    </w:p>
    <w:p w14:paraId="137A4D8C" w14:textId="0930F512" w:rsidR="009D0867" w:rsidRDefault="009D0867" w:rsidP="009D0867">
      <w:pPr>
        <w:pStyle w:val="TOC9"/>
        <w:keepNext/>
        <w:rPr>
          <w:rFonts w:asciiTheme="minorHAnsi" w:eastAsiaTheme="minorEastAsia" w:hAnsiTheme="minorHAnsi" w:cstheme="minorBidi"/>
          <w:noProof/>
          <w:sz w:val="22"/>
          <w:lang w:eastAsia="en-GB"/>
        </w:rPr>
      </w:pPr>
      <w:r>
        <w:rPr>
          <w:noProof/>
        </w:rPr>
        <w:t>VAT fraud – Administrative cooperation</w:t>
      </w:r>
      <w:r>
        <w:rPr>
          <w:noProof/>
        </w:rPr>
        <w:tab/>
      </w:r>
      <w:r>
        <w:rPr>
          <w:noProof/>
        </w:rPr>
        <w:fldChar w:fldCharType="begin"/>
      </w:r>
      <w:r>
        <w:rPr>
          <w:noProof/>
        </w:rPr>
        <w:instrText xml:space="preserve"> PAGEREF \h _Toc517445183 \* MERGEFORMAT </w:instrText>
      </w:r>
      <w:r>
        <w:rPr>
          <w:noProof/>
        </w:rPr>
      </w:r>
      <w:r>
        <w:rPr>
          <w:noProof/>
        </w:rPr>
        <w:fldChar w:fldCharType="separate"/>
      </w:r>
      <w:r>
        <w:rPr>
          <w:noProof/>
        </w:rPr>
        <w:t>11</w:t>
      </w:r>
      <w:r>
        <w:rPr>
          <w:noProof/>
        </w:rPr>
        <w:fldChar w:fldCharType="end"/>
      </w:r>
    </w:p>
    <w:p w14:paraId="55FDB592" w14:textId="3A94688C" w:rsidR="009D0867" w:rsidRDefault="009D0867" w:rsidP="009D0867">
      <w:pPr>
        <w:pStyle w:val="TOC9"/>
        <w:keepNext/>
        <w:rPr>
          <w:rFonts w:asciiTheme="minorHAnsi" w:eastAsiaTheme="minorEastAsia" w:hAnsiTheme="minorHAnsi" w:cstheme="minorBidi"/>
          <w:noProof/>
          <w:sz w:val="22"/>
          <w:lang w:eastAsia="en-GB"/>
        </w:rPr>
      </w:pPr>
      <w:r>
        <w:rPr>
          <w:noProof/>
        </w:rPr>
        <w:t>VAT minimum standard rate</w:t>
      </w:r>
      <w:r>
        <w:rPr>
          <w:noProof/>
        </w:rPr>
        <w:tab/>
      </w:r>
      <w:r>
        <w:rPr>
          <w:noProof/>
        </w:rPr>
        <w:fldChar w:fldCharType="begin"/>
      </w:r>
      <w:r>
        <w:rPr>
          <w:noProof/>
        </w:rPr>
        <w:instrText xml:space="preserve"> PAGEREF \h _Toc517445184 \* MERGEFORMAT </w:instrText>
      </w:r>
      <w:r>
        <w:rPr>
          <w:noProof/>
        </w:rPr>
      </w:r>
      <w:r>
        <w:rPr>
          <w:noProof/>
        </w:rPr>
        <w:fldChar w:fldCharType="separate"/>
      </w:r>
      <w:r>
        <w:rPr>
          <w:noProof/>
        </w:rPr>
        <w:t>11</w:t>
      </w:r>
      <w:r>
        <w:rPr>
          <w:noProof/>
        </w:rPr>
        <w:fldChar w:fldCharType="end"/>
      </w:r>
    </w:p>
    <w:p w14:paraId="012B8759" w14:textId="3A5022EC" w:rsidR="009D0867" w:rsidRDefault="009D0867" w:rsidP="009D0867">
      <w:pPr>
        <w:pStyle w:val="TOC9"/>
        <w:keepNext/>
        <w:rPr>
          <w:rFonts w:asciiTheme="minorHAnsi" w:eastAsiaTheme="minorEastAsia" w:hAnsiTheme="minorHAnsi" w:cstheme="minorBidi"/>
          <w:noProof/>
          <w:sz w:val="22"/>
          <w:lang w:eastAsia="en-GB"/>
        </w:rPr>
      </w:pPr>
      <w:r>
        <w:rPr>
          <w:noProof/>
        </w:rPr>
        <w:t>Code of conduct on business taxation</w:t>
      </w:r>
      <w:r>
        <w:rPr>
          <w:noProof/>
        </w:rPr>
        <w:tab/>
      </w:r>
      <w:r>
        <w:rPr>
          <w:noProof/>
        </w:rPr>
        <w:fldChar w:fldCharType="begin"/>
      </w:r>
      <w:r>
        <w:rPr>
          <w:noProof/>
        </w:rPr>
        <w:instrText xml:space="preserve"> PAGEREF \h _Toc517445185 \* MERGEFORMAT </w:instrText>
      </w:r>
      <w:r>
        <w:rPr>
          <w:noProof/>
        </w:rPr>
      </w:r>
      <w:r>
        <w:rPr>
          <w:noProof/>
        </w:rPr>
        <w:fldChar w:fldCharType="separate"/>
      </w:r>
      <w:r>
        <w:rPr>
          <w:noProof/>
        </w:rPr>
        <w:t>12</w:t>
      </w:r>
      <w:r>
        <w:rPr>
          <w:noProof/>
        </w:rPr>
        <w:fldChar w:fldCharType="end"/>
      </w:r>
    </w:p>
    <w:p w14:paraId="7DF4049F" w14:textId="57AEE692" w:rsidR="009D0867" w:rsidRDefault="009D0867" w:rsidP="009D0867">
      <w:pPr>
        <w:pStyle w:val="TOC9"/>
        <w:keepNext/>
        <w:rPr>
          <w:rFonts w:asciiTheme="minorHAnsi" w:eastAsiaTheme="minorEastAsia" w:hAnsiTheme="minorHAnsi" w:cstheme="minorBidi"/>
          <w:noProof/>
          <w:sz w:val="22"/>
          <w:lang w:eastAsia="en-GB"/>
        </w:rPr>
      </w:pPr>
      <w:r>
        <w:rPr>
          <w:noProof/>
        </w:rPr>
        <w:t>VAT - Germany and Poland - Frontier bridge</w:t>
      </w:r>
      <w:r>
        <w:rPr>
          <w:noProof/>
        </w:rPr>
        <w:tab/>
      </w:r>
      <w:r>
        <w:rPr>
          <w:noProof/>
        </w:rPr>
        <w:fldChar w:fldCharType="begin"/>
      </w:r>
      <w:r>
        <w:rPr>
          <w:noProof/>
        </w:rPr>
        <w:instrText xml:space="preserve"> PAGEREF \h _Toc517445186 \* MERGEFORMAT </w:instrText>
      </w:r>
      <w:r>
        <w:rPr>
          <w:noProof/>
        </w:rPr>
      </w:r>
      <w:r>
        <w:rPr>
          <w:noProof/>
        </w:rPr>
        <w:fldChar w:fldCharType="separate"/>
      </w:r>
      <w:r>
        <w:rPr>
          <w:noProof/>
        </w:rPr>
        <w:t>13</w:t>
      </w:r>
      <w:r>
        <w:rPr>
          <w:noProof/>
        </w:rPr>
        <w:fldChar w:fldCharType="end"/>
      </w:r>
    </w:p>
    <w:p w14:paraId="156236CF" w14:textId="51B75FE8" w:rsidR="009D0867" w:rsidRDefault="009D0867" w:rsidP="009D0867">
      <w:pPr>
        <w:pStyle w:val="TOC9"/>
        <w:keepNext/>
        <w:rPr>
          <w:rFonts w:asciiTheme="minorHAnsi" w:eastAsiaTheme="minorEastAsia" w:hAnsiTheme="minorHAnsi" w:cstheme="minorBidi"/>
          <w:noProof/>
          <w:sz w:val="22"/>
          <w:lang w:eastAsia="en-GB"/>
        </w:rPr>
      </w:pPr>
      <w:r>
        <w:rPr>
          <w:noProof/>
        </w:rPr>
        <w:t>Agreement with Norway – VAT</w:t>
      </w:r>
      <w:r>
        <w:rPr>
          <w:noProof/>
        </w:rPr>
        <w:tab/>
      </w:r>
      <w:r>
        <w:rPr>
          <w:noProof/>
        </w:rPr>
        <w:fldChar w:fldCharType="begin"/>
      </w:r>
      <w:r>
        <w:rPr>
          <w:noProof/>
        </w:rPr>
        <w:instrText xml:space="preserve"> PAGEREF \h _Toc517445187 \* MERGEFORMAT </w:instrText>
      </w:r>
      <w:r>
        <w:rPr>
          <w:noProof/>
        </w:rPr>
      </w:r>
      <w:r>
        <w:rPr>
          <w:noProof/>
        </w:rPr>
        <w:fldChar w:fldCharType="separate"/>
      </w:r>
      <w:r>
        <w:rPr>
          <w:noProof/>
        </w:rPr>
        <w:t>13</w:t>
      </w:r>
      <w:r>
        <w:rPr>
          <w:noProof/>
        </w:rPr>
        <w:fldChar w:fldCharType="end"/>
      </w:r>
    </w:p>
    <w:p w14:paraId="73DD698E" w14:textId="18824855" w:rsidR="009D0867" w:rsidRDefault="009D0867" w:rsidP="009D0867">
      <w:pPr>
        <w:pStyle w:val="TOC9"/>
        <w:keepNext/>
        <w:rPr>
          <w:rFonts w:asciiTheme="minorHAnsi" w:eastAsiaTheme="minorEastAsia" w:hAnsiTheme="minorHAnsi" w:cstheme="minorBidi"/>
          <w:noProof/>
          <w:sz w:val="22"/>
          <w:lang w:eastAsia="en-GB"/>
        </w:rPr>
      </w:pPr>
      <w:r>
        <w:rPr>
          <w:noProof/>
        </w:rPr>
        <w:t>Report on tax issues</w:t>
      </w:r>
      <w:r>
        <w:rPr>
          <w:noProof/>
        </w:rPr>
        <w:tab/>
      </w:r>
      <w:r>
        <w:rPr>
          <w:noProof/>
        </w:rPr>
        <w:fldChar w:fldCharType="begin"/>
      </w:r>
      <w:r>
        <w:rPr>
          <w:noProof/>
        </w:rPr>
        <w:instrText xml:space="preserve"> PAGEREF \h _Toc517445188 \* MERGEFORMAT </w:instrText>
      </w:r>
      <w:r>
        <w:rPr>
          <w:noProof/>
        </w:rPr>
      </w:r>
      <w:r>
        <w:rPr>
          <w:noProof/>
        </w:rPr>
        <w:fldChar w:fldCharType="separate"/>
      </w:r>
      <w:r>
        <w:rPr>
          <w:noProof/>
        </w:rPr>
        <w:t>14</w:t>
      </w:r>
      <w:r>
        <w:rPr>
          <w:noProof/>
        </w:rPr>
        <w:fldChar w:fldCharType="end"/>
      </w:r>
    </w:p>
    <w:p w14:paraId="10275BEF" w14:textId="222FA8A7" w:rsidR="009D0867" w:rsidRDefault="009D0867" w:rsidP="009D0867">
      <w:pPr>
        <w:pStyle w:val="TOC9"/>
        <w:rPr>
          <w:rFonts w:asciiTheme="minorHAnsi" w:eastAsiaTheme="minorEastAsia" w:hAnsiTheme="minorHAnsi" w:cstheme="minorBidi"/>
          <w:noProof/>
          <w:sz w:val="22"/>
          <w:lang w:eastAsia="en-GB"/>
        </w:rPr>
      </w:pPr>
      <w:r>
        <w:rPr>
          <w:noProof/>
        </w:rPr>
        <w:t>Lietuvos bankas - External auditors</w:t>
      </w:r>
      <w:r>
        <w:rPr>
          <w:noProof/>
        </w:rPr>
        <w:tab/>
      </w:r>
      <w:r>
        <w:rPr>
          <w:noProof/>
        </w:rPr>
        <w:fldChar w:fldCharType="begin"/>
      </w:r>
      <w:r>
        <w:rPr>
          <w:noProof/>
        </w:rPr>
        <w:instrText xml:space="preserve"> PAGEREF \h _Toc517445189 \* MERGEFORMAT </w:instrText>
      </w:r>
      <w:r>
        <w:rPr>
          <w:noProof/>
        </w:rPr>
      </w:r>
      <w:r>
        <w:rPr>
          <w:noProof/>
        </w:rPr>
        <w:fldChar w:fldCharType="separate"/>
      </w:r>
      <w:r>
        <w:rPr>
          <w:noProof/>
        </w:rPr>
        <w:t>14</w:t>
      </w:r>
      <w:r>
        <w:rPr>
          <w:noProof/>
        </w:rPr>
        <w:fldChar w:fldCharType="end"/>
      </w:r>
    </w:p>
    <w:p w14:paraId="50FE904D" w14:textId="1367F5D3" w:rsidR="009D0867" w:rsidRDefault="009D0867" w:rsidP="009D0867">
      <w:pPr>
        <w:pStyle w:val="TOC8"/>
        <w:rPr>
          <w:rFonts w:asciiTheme="minorHAnsi" w:eastAsiaTheme="minorEastAsia" w:hAnsiTheme="minorHAnsi" w:cstheme="minorBidi"/>
          <w:i w:val="0"/>
          <w:noProof/>
          <w:sz w:val="22"/>
          <w:lang w:eastAsia="en-GB"/>
        </w:rPr>
      </w:pPr>
      <w:r w:rsidRPr="00C8250E">
        <w:rPr>
          <w:rFonts w:asciiTheme="majorBidi" w:hAnsiTheme="majorBidi" w:cstheme="majorBidi"/>
          <w:noProof/>
        </w:rPr>
        <w:t>BUDGETS</w:t>
      </w:r>
    </w:p>
    <w:p w14:paraId="50F2C7D1" w14:textId="345129FD" w:rsidR="009D0867" w:rsidRDefault="009D0867" w:rsidP="009D0867">
      <w:pPr>
        <w:pStyle w:val="TOC9"/>
        <w:rPr>
          <w:rFonts w:asciiTheme="minorHAnsi" w:eastAsiaTheme="minorEastAsia" w:hAnsiTheme="minorHAnsi" w:cstheme="minorBidi"/>
          <w:noProof/>
          <w:sz w:val="22"/>
          <w:lang w:eastAsia="en-GB"/>
        </w:rPr>
      </w:pPr>
      <w:r>
        <w:rPr>
          <w:noProof/>
        </w:rPr>
        <w:t>Funding for the Facility for Refugees in Turkey - Draft amending budget no 3/2018</w:t>
      </w:r>
      <w:r>
        <w:rPr>
          <w:noProof/>
        </w:rPr>
        <w:tab/>
      </w:r>
      <w:r>
        <w:rPr>
          <w:noProof/>
        </w:rPr>
        <w:fldChar w:fldCharType="begin"/>
      </w:r>
      <w:r>
        <w:rPr>
          <w:noProof/>
        </w:rPr>
        <w:instrText xml:space="preserve"> PAGEREF \h _Toc517445191 \* MERGEFORMAT </w:instrText>
      </w:r>
      <w:r>
        <w:rPr>
          <w:noProof/>
        </w:rPr>
      </w:r>
      <w:r>
        <w:rPr>
          <w:noProof/>
        </w:rPr>
        <w:fldChar w:fldCharType="separate"/>
      </w:r>
      <w:r>
        <w:rPr>
          <w:noProof/>
        </w:rPr>
        <w:t>15</w:t>
      </w:r>
      <w:r>
        <w:rPr>
          <w:noProof/>
        </w:rPr>
        <w:fldChar w:fldCharType="end"/>
      </w:r>
    </w:p>
    <w:p w14:paraId="0CE881B5" w14:textId="357929A0" w:rsidR="009D0867" w:rsidRDefault="009D0867" w:rsidP="009D0867">
      <w:pPr>
        <w:pStyle w:val="TOC8"/>
        <w:rPr>
          <w:rFonts w:asciiTheme="minorHAnsi" w:eastAsiaTheme="minorEastAsia" w:hAnsiTheme="minorHAnsi" w:cstheme="minorBidi"/>
          <w:i w:val="0"/>
          <w:noProof/>
          <w:sz w:val="22"/>
          <w:lang w:eastAsia="en-GB"/>
        </w:rPr>
      </w:pPr>
      <w:r w:rsidRPr="00C8250E">
        <w:rPr>
          <w:rFonts w:asciiTheme="majorBidi" w:hAnsiTheme="majorBidi" w:cstheme="majorBidi"/>
          <w:noProof/>
        </w:rPr>
        <w:t>FOREIGN AFFAIRS</w:t>
      </w:r>
    </w:p>
    <w:p w14:paraId="4EC4BBFE" w14:textId="40296D4B" w:rsidR="009D0867" w:rsidRDefault="009D0867" w:rsidP="009D0867">
      <w:pPr>
        <w:pStyle w:val="TOC9"/>
        <w:rPr>
          <w:rFonts w:asciiTheme="minorHAnsi" w:eastAsiaTheme="minorEastAsia" w:hAnsiTheme="minorHAnsi" w:cstheme="minorBidi"/>
          <w:noProof/>
          <w:sz w:val="22"/>
          <w:lang w:eastAsia="en-GB"/>
        </w:rPr>
      </w:pPr>
      <w:r>
        <w:rPr>
          <w:noProof/>
        </w:rPr>
        <w:t>Relations with African Caribbean and Pacific countries</w:t>
      </w:r>
      <w:r>
        <w:rPr>
          <w:noProof/>
        </w:rPr>
        <w:tab/>
      </w:r>
      <w:r>
        <w:rPr>
          <w:noProof/>
        </w:rPr>
        <w:fldChar w:fldCharType="begin"/>
      </w:r>
      <w:r>
        <w:rPr>
          <w:noProof/>
        </w:rPr>
        <w:instrText xml:space="preserve"> PAGEREF \h _Toc517445193 \* MERGEFORMAT </w:instrText>
      </w:r>
      <w:r>
        <w:rPr>
          <w:noProof/>
        </w:rPr>
      </w:r>
      <w:r>
        <w:rPr>
          <w:noProof/>
        </w:rPr>
        <w:fldChar w:fldCharType="separate"/>
      </w:r>
      <w:r>
        <w:rPr>
          <w:noProof/>
        </w:rPr>
        <w:t>15</w:t>
      </w:r>
      <w:r>
        <w:rPr>
          <w:noProof/>
        </w:rPr>
        <w:fldChar w:fldCharType="end"/>
      </w:r>
    </w:p>
    <w:p w14:paraId="6C6CE4CD" w14:textId="70166F9B" w:rsidR="009D0867" w:rsidRDefault="009D0867" w:rsidP="009D0867">
      <w:pPr>
        <w:pStyle w:val="TOC8"/>
        <w:rPr>
          <w:rFonts w:asciiTheme="minorHAnsi" w:eastAsiaTheme="minorEastAsia" w:hAnsiTheme="minorHAnsi" w:cstheme="minorBidi"/>
          <w:i w:val="0"/>
          <w:noProof/>
          <w:sz w:val="22"/>
          <w:lang w:eastAsia="en-GB"/>
        </w:rPr>
      </w:pPr>
      <w:r w:rsidRPr="00C8250E">
        <w:rPr>
          <w:rFonts w:asciiTheme="majorBidi" w:hAnsiTheme="majorBidi" w:cstheme="majorBidi"/>
          <w:noProof/>
        </w:rPr>
        <w:t>CUSTOMS UNION</w:t>
      </w:r>
    </w:p>
    <w:p w14:paraId="2EFA2CDF" w14:textId="05AEB759" w:rsidR="009D0867" w:rsidRDefault="009D0867" w:rsidP="009D0867">
      <w:pPr>
        <w:pStyle w:val="TOC9"/>
      </w:pPr>
      <w:r>
        <w:rPr>
          <w:noProof/>
        </w:rPr>
        <w:t>World Customs Organization</w:t>
      </w:r>
      <w:r>
        <w:rPr>
          <w:noProof/>
        </w:rPr>
        <w:tab/>
      </w:r>
      <w:r>
        <w:rPr>
          <w:noProof/>
        </w:rPr>
        <w:fldChar w:fldCharType="begin"/>
      </w:r>
      <w:r>
        <w:rPr>
          <w:noProof/>
        </w:rPr>
        <w:instrText xml:space="preserve"> PAGEREF \h _Toc517445195 \* MERGEFORMAT </w:instrText>
      </w:r>
      <w:r>
        <w:rPr>
          <w:noProof/>
        </w:rPr>
      </w:r>
      <w:r>
        <w:rPr>
          <w:noProof/>
        </w:rPr>
        <w:fldChar w:fldCharType="separate"/>
      </w:r>
      <w:r>
        <w:rPr>
          <w:noProof/>
        </w:rPr>
        <w:t>16</w:t>
      </w:r>
      <w:r>
        <w:rPr>
          <w:noProof/>
        </w:rPr>
        <w:fldChar w:fldCharType="end"/>
      </w:r>
    </w:p>
    <w:p w14:paraId="40E4D22D" w14:textId="77777777" w:rsidR="009D0867" w:rsidRDefault="009D0867" w:rsidP="003C5A34">
      <w:pPr>
        <w:sectPr w:rsidR="009D0867" w:rsidSect="00643D80">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14:paraId="40CCF422" w14:textId="77777777" w:rsidR="003C5A34" w:rsidRDefault="003C5A34" w:rsidP="003C5A34">
      <w:pPr>
        <w:pStyle w:val="ItemsDebatedHeading"/>
      </w:pPr>
      <w:r w:rsidRPr="003C5A34">
        <w:lastRenderedPageBreak/>
        <w:t>ITEMS DEBATED</w:t>
      </w:r>
    </w:p>
    <w:p w14:paraId="6D56368F" w14:textId="23D7117A" w:rsidR="008A1A04" w:rsidRDefault="008A1A04" w:rsidP="00631AD6">
      <w:pPr>
        <w:pStyle w:val="ItemDebated"/>
      </w:pPr>
      <w:bookmarkStart w:id="5" w:name="_Toc517445169"/>
      <w:r>
        <w:t xml:space="preserve">VAT </w:t>
      </w:r>
      <w:r w:rsidR="00974ED9">
        <w:t>SYSTEM – SHORT-TERM FIXES</w:t>
      </w:r>
      <w:bookmarkEnd w:id="5"/>
    </w:p>
    <w:p w14:paraId="1F7802DD" w14:textId="5180EE1F" w:rsidR="008A1A04" w:rsidRPr="003651AB" w:rsidRDefault="008A1A04" w:rsidP="003071F7">
      <w:pPr>
        <w:rPr>
          <w:rFonts w:asciiTheme="majorBidi" w:hAnsiTheme="majorBidi" w:cstheme="majorBidi"/>
          <w:szCs w:val="24"/>
        </w:rPr>
      </w:pPr>
      <w:r w:rsidRPr="003651AB">
        <w:rPr>
          <w:rFonts w:asciiTheme="majorBidi" w:hAnsiTheme="majorBidi" w:cstheme="majorBidi"/>
          <w:szCs w:val="24"/>
        </w:rPr>
        <w:t xml:space="preserve">The Council </w:t>
      </w:r>
      <w:r w:rsidR="00D5720B">
        <w:rPr>
          <w:rFonts w:asciiTheme="majorBidi" w:hAnsiTheme="majorBidi" w:cstheme="majorBidi"/>
          <w:szCs w:val="24"/>
        </w:rPr>
        <w:t>discussed</w:t>
      </w:r>
      <w:r w:rsidR="003071F7">
        <w:rPr>
          <w:rFonts w:asciiTheme="majorBidi" w:hAnsiTheme="majorBidi" w:cstheme="majorBidi"/>
          <w:szCs w:val="24"/>
        </w:rPr>
        <w:t xml:space="preserve"> proposed</w:t>
      </w:r>
      <w:r w:rsidRPr="003651AB">
        <w:rPr>
          <w:rFonts w:asciiTheme="majorBidi" w:hAnsiTheme="majorBidi" w:cstheme="majorBidi"/>
          <w:szCs w:val="24"/>
        </w:rPr>
        <w:t xml:space="preserve"> adjustments to the EU's VAT rules to fix specific issues pending the introduction of a new VAT system.</w:t>
      </w:r>
    </w:p>
    <w:p w14:paraId="39D1EA05" w14:textId="36554657" w:rsidR="003071F7" w:rsidRPr="003651AB" w:rsidRDefault="003071F7" w:rsidP="003071F7">
      <w:pPr>
        <w:rPr>
          <w:rFonts w:asciiTheme="majorBidi" w:hAnsiTheme="majorBidi" w:cstheme="majorBidi"/>
          <w:szCs w:val="24"/>
        </w:rPr>
      </w:pPr>
      <w:r>
        <w:rPr>
          <w:rFonts w:asciiTheme="majorBidi" w:hAnsiTheme="majorBidi" w:cstheme="majorBidi"/>
          <w:szCs w:val="24"/>
        </w:rPr>
        <w:t>With d</w:t>
      </w:r>
      <w:r w:rsidRPr="003651AB">
        <w:rPr>
          <w:rFonts w:asciiTheme="majorBidi" w:hAnsiTheme="majorBidi" w:cstheme="majorBidi"/>
          <w:szCs w:val="24"/>
        </w:rPr>
        <w:t xml:space="preserve">iscussions </w:t>
      </w:r>
      <w:r>
        <w:rPr>
          <w:rFonts w:asciiTheme="majorBidi" w:hAnsiTheme="majorBidi" w:cstheme="majorBidi"/>
          <w:szCs w:val="24"/>
        </w:rPr>
        <w:t>underway</w:t>
      </w:r>
      <w:r w:rsidRPr="003651AB">
        <w:rPr>
          <w:rFonts w:asciiTheme="majorBidi" w:hAnsiTheme="majorBidi" w:cstheme="majorBidi"/>
          <w:szCs w:val="24"/>
        </w:rPr>
        <w:t xml:space="preserve"> on a definitive VAT system to replace the current </w:t>
      </w:r>
      <w:r>
        <w:rPr>
          <w:rFonts w:asciiTheme="majorBidi" w:hAnsiTheme="majorBidi" w:cstheme="majorBidi"/>
          <w:szCs w:val="24"/>
        </w:rPr>
        <w:t>transitional</w:t>
      </w:r>
      <w:r w:rsidRPr="003651AB">
        <w:rPr>
          <w:rFonts w:asciiTheme="majorBidi" w:hAnsiTheme="majorBidi" w:cstheme="majorBidi"/>
          <w:szCs w:val="24"/>
        </w:rPr>
        <w:t xml:space="preserve"> arrangements, four short-term 'quick fixes' are proposed.</w:t>
      </w:r>
    </w:p>
    <w:p w14:paraId="19C06F38" w14:textId="77777777" w:rsidR="002927BF" w:rsidRPr="003651AB" w:rsidRDefault="002927BF" w:rsidP="002927BF">
      <w:pPr>
        <w:rPr>
          <w:rFonts w:asciiTheme="majorBidi" w:hAnsiTheme="majorBidi" w:cstheme="majorBidi"/>
          <w:szCs w:val="24"/>
        </w:rPr>
      </w:pPr>
      <w:r>
        <w:rPr>
          <w:rFonts w:asciiTheme="majorBidi" w:hAnsiTheme="majorBidi" w:cstheme="majorBidi"/>
          <w:szCs w:val="24"/>
        </w:rPr>
        <w:t>They</w:t>
      </w:r>
      <w:r w:rsidRPr="003651AB">
        <w:rPr>
          <w:rFonts w:asciiTheme="majorBidi" w:hAnsiTheme="majorBidi" w:cstheme="majorBidi"/>
          <w:szCs w:val="24"/>
        </w:rPr>
        <w:t xml:space="preserve"> relate to</w:t>
      </w:r>
      <w:r>
        <w:rPr>
          <w:rFonts w:asciiTheme="majorBidi" w:hAnsiTheme="majorBidi" w:cstheme="majorBidi"/>
          <w:szCs w:val="24"/>
        </w:rPr>
        <w:t xml:space="preserve"> </w:t>
      </w:r>
      <w:r w:rsidRPr="003651AB">
        <w:rPr>
          <w:rFonts w:asciiTheme="majorBidi" w:hAnsiTheme="majorBidi" w:cstheme="majorBidi"/>
          <w:szCs w:val="24"/>
        </w:rPr>
        <w:t>call-off stock</w:t>
      </w:r>
      <w:r>
        <w:rPr>
          <w:rFonts w:asciiTheme="majorBidi" w:hAnsiTheme="majorBidi" w:cstheme="majorBidi"/>
          <w:szCs w:val="24"/>
        </w:rPr>
        <w:t xml:space="preserve">, </w:t>
      </w:r>
      <w:r w:rsidRPr="003651AB">
        <w:rPr>
          <w:rFonts w:asciiTheme="majorBidi" w:hAnsiTheme="majorBidi" w:cstheme="majorBidi"/>
          <w:szCs w:val="24"/>
        </w:rPr>
        <w:t>the VAT identification number</w:t>
      </w:r>
      <w:r>
        <w:rPr>
          <w:rFonts w:asciiTheme="majorBidi" w:hAnsiTheme="majorBidi" w:cstheme="majorBidi"/>
          <w:szCs w:val="24"/>
        </w:rPr>
        <w:t xml:space="preserve">, </w:t>
      </w:r>
      <w:r w:rsidRPr="003651AB">
        <w:rPr>
          <w:rFonts w:asciiTheme="majorBidi" w:hAnsiTheme="majorBidi" w:cstheme="majorBidi"/>
          <w:szCs w:val="24"/>
        </w:rPr>
        <w:t>chain transactions</w:t>
      </w:r>
      <w:r>
        <w:rPr>
          <w:rFonts w:asciiTheme="majorBidi" w:hAnsiTheme="majorBidi" w:cstheme="majorBidi"/>
          <w:szCs w:val="24"/>
        </w:rPr>
        <w:t xml:space="preserve"> and </w:t>
      </w:r>
      <w:r w:rsidRPr="003651AB">
        <w:rPr>
          <w:rFonts w:asciiTheme="majorBidi" w:hAnsiTheme="majorBidi" w:cstheme="majorBidi"/>
          <w:szCs w:val="24"/>
        </w:rPr>
        <w:t>proof of intra-EU supply.</w:t>
      </w:r>
    </w:p>
    <w:p w14:paraId="5A1295F3" w14:textId="59FAF209" w:rsidR="008A1A04" w:rsidRPr="003651AB" w:rsidRDefault="003071F7" w:rsidP="002927BF">
      <w:pPr>
        <w:rPr>
          <w:rFonts w:asciiTheme="majorBidi" w:hAnsiTheme="majorBidi" w:cstheme="majorBidi"/>
          <w:szCs w:val="24"/>
        </w:rPr>
      </w:pPr>
      <w:r>
        <w:rPr>
          <w:rFonts w:asciiTheme="majorBidi" w:hAnsiTheme="majorBidi" w:cstheme="majorBidi"/>
          <w:szCs w:val="24"/>
        </w:rPr>
        <w:t xml:space="preserve">Despite progress on these, the Council was unable to reach agreement at this stage, given the wish of some member states to </w:t>
      </w:r>
      <w:r w:rsidR="002927BF">
        <w:rPr>
          <w:rFonts w:asciiTheme="majorBidi" w:hAnsiTheme="majorBidi" w:cstheme="majorBidi"/>
          <w:szCs w:val="24"/>
        </w:rPr>
        <w:t>fix a fifth issue</w:t>
      </w:r>
      <w:r w:rsidR="002927BF" w:rsidRPr="002927BF">
        <w:rPr>
          <w:rFonts w:asciiTheme="majorBidi" w:hAnsiTheme="majorBidi" w:cstheme="majorBidi"/>
          <w:szCs w:val="24"/>
        </w:rPr>
        <w:t xml:space="preserve"> </w:t>
      </w:r>
      <w:r w:rsidR="002927BF">
        <w:rPr>
          <w:rFonts w:asciiTheme="majorBidi" w:hAnsiTheme="majorBidi" w:cstheme="majorBidi"/>
          <w:szCs w:val="24"/>
        </w:rPr>
        <w:t>that</w:t>
      </w:r>
      <w:r w:rsidR="002927BF" w:rsidRPr="003651AB">
        <w:rPr>
          <w:rFonts w:asciiTheme="majorBidi" w:hAnsiTheme="majorBidi" w:cstheme="majorBidi"/>
          <w:szCs w:val="24"/>
        </w:rPr>
        <w:t xml:space="preserve"> </w:t>
      </w:r>
      <w:r w:rsidR="002927BF">
        <w:rPr>
          <w:rFonts w:asciiTheme="majorBidi" w:hAnsiTheme="majorBidi" w:cstheme="majorBidi"/>
          <w:szCs w:val="24"/>
        </w:rPr>
        <w:t>was</w:t>
      </w:r>
      <w:r w:rsidR="00735E01">
        <w:rPr>
          <w:rFonts w:asciiTheme="majorBidi" w:hAnsiTheme="majorBidi" w:cstheme="majorBidi"/>
          <w:szCs w:val="24"/>
        </w:rPr>
        <w:t xml:space="preserve"> no</w:t>
      </w:r>
      <w:r w:rsidR="002927BF">
        <w:rPr>
          <w:rFonts w:asciiTheme="majorBidi" w:hAnsiTheme="majorBidi" w:cstheme="majorBidi"/>
          <w:szCs w:val="24"/>
        </w:rPr>
        <w:t xml:space="preserve">t covered by </w:t>
      </w:r>
      <w:r w:rsidR="002927BF" w:rsidRPr="003651AB">
        <w:rPr>
          <w:rFonts w:asciiTheme="majorBidi" w:hAnsiTheme="majorBidi" w:cstheme="majorBidi"/>
          <w:szCs w:val="24"/>
        </w:rPr>
        <w:t>the Commission's proposals</w:t>
      </w:r>
      <w:r w:rsidR="008A1A04" w:rsidRPr="003651AB">
        <w:rPr>
          <w:rFonts w:asciiTheme="majorBidi" w:hAnsiTheme="majorBidi" w:cstheme="majorBidi"/>
          <w:szCs w:val="24"/>
        </w:rPr>
        <w:t>.</w:t>
      </w:r>
    </w:p>
    <w:p w14:paraId="5EC64690" w14:textId="4BB6CEF8" w:rsidR="008A1A04" w:rsidRDefault="002927BF" w:rsidP="002927BF">
      <w:pPr>
        <w:rPr>
          <w:rFonts w:asciiTheme="majorBidi" w:hAnsiTheme="majorBidi" w:cstheme="majorBidi"/>
          <w:szCs w:val="24"/>
        </w:rPr>
      </w:pPr>
      <w:r>
        <w:rPr>
          <w:rFonts w:asciiTheme="majorBidi" w:hAnsiTheme="majorBidi" w:cstheme="majorBidi"/>
          <w:szCs w:val="24"/>
        </w:rPr>
        <w:t xml:space="preserve">This provision involves </w:t>
      </w:r>
      <w:r w:rsidR="008A1A04" w:rsidRPr="003651AB">
        <w:rPr>
          <w:rFonts w:asciiTheme="majorBidi" w:hAnsiTheme="majorBidi" w:cstheme="majorBidi"/>
          <w:szCs w:val="24"/>
        </w:rPr>
        <w:t>the addition of a VAT exemption for groups of taxable persons that pool services and share costs.</w:t>
      </w:r>
    </w:p>
    <w:p w14:paraId="4E1596D8" w14:textId="19A400F5" w:rsidR="002927BF" w:rsidRPr="003651AB" w:rsidRDefault="002927BF" w:rsidP="00735E01">
      <w:pPr>
        <w:rPr>
          <w:rFonts w:asciiTheme="majorBidi" w:hAnsiTheme="majorBidi" w:cstheme="majorBidi"/>
          <w:szCs w:val="24"/>
        </w:rPr>
      </w:pPr>
      <w:r>
        <w:rPr>
          <w:rFonts w:asciiTheme="majorBidi" w:hAnsiTheme="majorBidi" w:cstheme="majorBidi"/>
          <w:szCs w:val="24"/>
        </w:rPr>
        <w:t xml:space="preserve">The dossier </w:t>
      </w:r>
      <w:r w:rsidR="00520741">
        <w:rPr>
          <w:rFonts w:asciiTheme="majorBidi" w:hAnsiTheme="majorBidi" w:cstheme="majorBidi"/>
          <w:szCs w:val="24"/>
        </w:rPr>
        <w:t xml:space="preserve">is </w:t>
      </w:r>
      <w:r>
        <w:rPr>
          <w:rFonts w:asciiTheme="majorBidi" w:hAnsiTheme="majorBidi" w:cstheme="majorBidi"/>
          <w:szCs w:val="24"/>
        </w:rPr>
        <w:t xml:space="preserve">referred to the incoming presidency with a view to resolving this </w:t>
      </w:r>
      <w:r w:rsidR="00735E01">
        <w:rPr>
          <w:rFonts w:asciiTheme="majorBidi" w:hAnsiTheme="majorBidi" w:cstheme="majorBidi"/>
          <w:szCs w:val="24"/>
        </w:rPr>
        <w:t>outstand</w:t>
      </w:r>
      <w:r>
        <w:rPr>
          <w:rFonts w:asciiTheme="majorBidi" w:hAnsiTheme="majorBidi" w:cstheme="majorBidi"/>
          <w:szCs w:val="24"/>
        </w:rPr>
        <w:t>ing issue.</w:t>
      </w:r>
    </w:p>
    <w:p w14:paraId="113DCE39" w14:textId="4833401A" w:rsidR="008A1A04" w:rsidRDefault="008A1A04" w:rsidP="00735E01">
      <w:pPr>
        <w:rPr>
          <w:rFonts w:asciiTheme="majorBidi" w:hAnsiTheme="majorBidi" w:cstheme="majorBidi"/>
          <w:szCs w:val="24"/>
        </w:rPr>
      </w:pPr>
      <w:r w:rsidRPr="003651AB">
        <w:rPr>
          <w:rFonts w:asciiTheme="majorBidi" w:hAnsiTheme="majorBidi" w:cstheme="majorBidi"/>
          <w:szCs w:val="24"/>
        </w:rPr>
        <w:t xml:space="preserve">The Council </w:t>
      </w:r>
      <w:r w:rsidR="00735E01">
        <w:rPr>
          <w:rFonts w:asciiTheme="majorBidi" w:hAnsiTheme="majorBidi" w:cstheme="majorBidi"/>
          <w:szCs w:val="24"/>
        </w:rPr>
        <w:t>require</w:t>
      </w:r>
      <w:r w:rsidRPr="003651AB">
        <w:rPr>
          <w:rFonts w:asciiTheme="majorBidi" w:hAnsiTheme="majorBidi" w:cstheme="majorBidi"/>
          <w:szCs w:val="24"/>
        </w:rPr>
        <w:t>s unanimity to adopt the proposals, after consulting the European Parliament. (Legal basis: article 113 of the Treaty on the Functioning of the European Union and article 397 of regulation 282/2011.)</w:t>
      </w:r>
      <w:r w:rsidR="002927BF">
        <w:rPr>
          <w:rFonts w:asciiTheme="majorBidi" w:hAnsiTheme="majorBidi" w:cstheme="majorBidi"/>
          <w:szCs w:val="24"/>
        </w:rPr>
        <w:t xml:space="preserve"> </w:t>
      </w:r>
      <w:r w:rsidRPr="003651AB">
        <w:rPr>
          <w:rFonts w:asciiTheme="majorBidi" w:hAnsiTheme="majorBidi" w:cstheme="majorBidi"/>
          <w:szCs w:val="24"/>
        </w:rPr>
        <w:t>The Parliament’s opinion is pending.</w:t>
      </w:r>
    </w:p>
    <w:p w14:paraId="5033C21B" w14:textId="77777777" w:rsidR="00420519" w:rsidRPr="00160675" w:rsidRDefault="00835E27" w:rsidP="00420519">
      <w:pPr>
        <w:pStyle w:val="ItemDebated"/>
      </w:pPr>
      <w:r>
        <w:rPr>
          <w:rFonts w:asciiTheme="majorBidi" w:hAnsiTheme="majorBidi" w:cstheme="majorBidi"/>
          <w:szCs w:val="24"/>
        </w:rPr>
        <w:br w:type="page"/>
      </w:r>
      <w:bookmarkStart w:id="6" w:name="_Toc517445170"/>
      <w:r w:rsidR="00420519" w:rsidRPr="00160675">
        <w:lastRenderedPageBreak/>
        <w:t>EUROPEAN DEPOSIT INSURANCE SCHEME</w:t>
      </w:r>
      <w:bookmarkEnd w:id="6"/>
    </w:p>
    <w:p w14:paraId="6CAA723A" w14:textId="77777777" w:rsidR="00420519" w:rsidRPr="003651AB" w:rsidRDefault="00420519" w:rsidP="00420519">
      <w:pPr>
        <w:rPr>
          <w:rFonts w:asciiTheme="majorBidi" w:hAnsiTheme="majorBidi" w:cstheme="majorBidi"/>
          <w:iCs/>
          <w:szCs w:val="24"/>
        </w:rPr>
      </w:pPr>
      <w:r w:rsidRPr="003651AB">
        <w:rPr>
          <w:rFonts w:asciiTheme="majorBidi" w:hAnsiTheme="majorBidi" w:cstheme="majorBidi"/>
          <w:szCs w:val="24"/>
        </w:rPr>
        <w:t>The Council t</w:t>
      </w:r>
      <w:r>
        <w:rPr>
          <w:rFonts w:asciiTheme="majorBidi" w:hAnsiTheme="majorBidi" w:cstheme="majorBidi"/>
          <w:szCs w:val="24"/>
        </w:rPr>
        <w:t>oo</w:t>
      </w:r>
      <w:r w:rsidRPr="003651AB">
        <w:rPr>
          <w:rFonts w:asciiTheme="majorBidi" w:hAnsiTheme="majorBidi" w:cstheme="majorBidi"/>
          <w:szCs w:val="24"/>
        </w:rPr>
        <w:t>k note of progress on</w:t>
      </w:r>
      <w:r w:rsidRPr="003651AB">
        <w:rPr>
          <w:rFonts w:asciiTheme="majorBidi" w:hAnsiTheme="majorBidi" w:cstheme="majorBidi"/>
          <w:iCs/>
          <w:szCs w:val="24"/>
        </w:rPr>
        <w:t xml:space="preserve"> a proposal for a European deposit insurance scheme (</w:t>
      </w:r>
      <w:r w:rsidRPr="003651AB">
        <w:rPr>
          <w:rFonts w:asciiTheme="majorBidi" w:hAnsiTheme="majorBidi" w:cstheme="majorBidi"/>
          <w:szCs w:val="24"/>
        </w:rPr>
        <w:t>EDIS</w:t>
      </w:r>
      <w:r w:rsidRPr="003651AB">
        <w:rPr>
          <w:rFonts w:asciiTheme="majorBidi" w:hAnsiTheme="majorBidi" w:cstheme="majorBidi"/>
          <w:iCs/>
          <w:szCs w:val="24"/>
        </w:rPr>
        <w:t>), a key element in plans for strengthening the EU's banking union.</w:t>
      </w:r>
    </w:p>
    <w:p w14:paraId="61ED14E7" w14:textId="77777777" w:rsidR="00420519" w:rsidRPr="003651AB" w:rsidRDefault="00420519" w:rsidP="00420519">
      <w:pPr>
        <w:rPr>
          <w:rFonts w:asciiTheme="majorBidi" w:hAnsiTheme="majorBidi" w:cstheme="majorBidi"/>
          <w:szCs w:val="24"/>
        </w:rPr>
      </w:pPr>
      <w:r w:rsidRPr="003651AB">
        <w:rPr>
          <w:rFonts w:asciiTheme="majorBidi" w:hAnsiTheme="majorBidi" w:cstheme="majorBidi"/>
          <w:bCs/>
          <w:noProof/>
          <w:szCs w:val="24"/>
        </w:rPr>
        <w:t xml:space="preserve">The proposed regulation </w:t>
      </w:r>
      <w:r w:rsidRPr="003651AB">
        <w:rPr>
          <w:rFonts w:asciiTheme="majorBidi" w:hAnsiTheme="majorBidi" w:cstheme="majorBidi"/>
          <w:szCs w:val="24"/>
        </w:rPr>
        <w:t>is aimed at establishing an EU-level insurance scheme to strengthen the protection of bank deposits.</w:t>
      </w:r>
    </w:p>
    <w:p w14:paraId="5F47C93E" w14:textId="77777777" w:rsidR="00420519" w:rsidRPr="003651AB" w:rsidRDefault="00420519" w:rsidP="00420519">
      <w:pPr>
        <w:rPr>
          <w:rFonts w:asciiTheme="majorBidi" w:hAnsiTheme="majorBidi" w:cstheme="majorBidi"/>
          <w:szCs w:val="24"/>
        </w:rPr>
      </w:pPr>
      <w:r w:rsidRPr="003651AB">
        <w:rPr>
          <w:rFonts w:asciiTheme="majorBidi" w:hAnsiTheme="majorBidi" w:cstheme="majorBidi"/>
          <w:szCs w:val="24"/>
        </w:rPr>
        <w:t>A six-monthly progress report summarises work within the Council's working group, both on EDIS and on reducing risk and other measures related to the banking union. It is intended to facilitate further work.</w:t>
      </w:r>
    </w:p>
    <w:p w14:paraId="60003BDE" w14:textId="3B8A7E27" w:rsidR="00420519" w:rsidRPr="003651AB" w:rsidRDefault="00420519" w:rsidP="00735E01">
      <w:pPr>
        <w:rPr>
          <w:rFonts w:asciiTheme="majorBidi" w:hAnsiTheme="majorBidi" w:cstheme="majorBidi"/>
          <w:szCs w:val="24"/>
        </w:rPr>
      </w:pPr>
      <w:r w:rsidRPr="003651AB">
        <w:rPr>
          <w:rFonts w:asciiTheme="majorBidi" w:hAnsiTheme="majorBidi" w:cstheme="majorBidi"/>
          <w:szCs w:val="24"/>
        </w:rPr>
        <w:t xml:space="preserve">Whereas deposit guarantee schemes provide protection at national level in the event of bank failure, they remain vulnerable to local shocks. Providing insurance at EU level, EDIS is </w:t>
      </w:r>
      <w:r w:rsidR="00735E01">
        <w:rPr>
          <w:rFonts w:asciiTheme="majorBidi" w:hAnsiTheme="majorBidi" w:cstheme="majorBidi"/>
          <w:szCs w:val="24"/>
        </w:rPr>
        <w:t>proposed</w:t>
      </w:r>
      <w:r w:rsidRPr="003651AB">
        <w:rPr>
          <w:rFonts w:asciiTheme="majorBidi" w:hAnsiTheme="majorBidi" w:cstheme="majorBidi"/>
          <w:szCs w:val="24"/>
        </w:rPr>
        <w:t xml:space="preserve"> as the third ‘pillar’ of the EU’s banking union, alongside the existing single supervisory mechanism for the industry and single resolution mechanism for unviable banks.</w:t>
      </w:r>
    </w:p>
    <w:p w14:paraId="0405A684" w14:textId="77777777" w:rsidR="00420519" w:rsidRPr="003651AB" w:rsidRDefault="00420519" w:rsidP="00420519">
      <w:pPr>
        <w:rPr>
          <w:rFonts w:asciiTheme="majorBidi" w:hAnsiTheme="majorBidi" w:cstheme="majorBidi"/>
          <w:szCs w:val="24"/>
        </w:rPr>
      </w:pPr>
      <w:r w:rsidRPr="003651AB">
        <w:rPr>
          <w:rFonts w:asciiTheme="majorBidi" w:hAnsiTheme="majorBidi" w:cstheme="majorBidi"/>
          <w:bCs/>
          <w:noProof/>
          <w:szCs w:val="24"/>
        </w:rPr>
        <w:t>The banking union is aimed at establishing a sound basis for Europe’s banking industry, and ensuring</w:t>
      </w:r>
      <w:r w:rsidRPr="003651AB">
        <w:rPr>
          <w:rFonts w:asciiTheme="majorBidi" w:hAnsiTheme="majorBidi" w:cstheme="majorBidi"/>
          <w:szCs w:val="24"/>
        </w:rPr>
        <w:t xml:space="preserve"> that unviable banks are resolved without recourse to taxpayers’ money</w:t>
      </w:r>
      <w:r w:rsidRPr="003651AB">
        <w:rPr>
          <w:rFonts w:asciiTheme="majorBidi" w:hAnsiTheme="majorBidi" w:cstheme="majorBidi"/>
          <w:bCs/>
          <w:noProof/>
          <w:szCs w:val="24"/>
        </w:rPr>
        <w:t xml:space="preserve">. </w:t>
      </w:r>
      <w:r w:rsidRPr="003651AB">
        <w:rPr>
          <w:rFonts w:asciiTheme="majorBidi" w:hAnsiTheme="majorBidi" w:cstheme="majorBidi"/>
          <w:szCs w:val="24"/>
        </w:rPr>
        <w:t>Launched in 2012</w:t>
      </w:r>
      <w:r w:rsidRPr="003651AB">
        <w:rPr>
          <w:rFonts w:asciiTheme="majorBidi" w:hAnsiTheme="majorBidi" w:cstheme="majorBidi"/>
          <w:bCs/>
          <w:noProof/>
          <w:szCs w:val="24"/>
        </w:rPr>
        <w:t xml:space="preserve">, it </w:t>
      </w:r>
      <w:r w:rsidRPr="003651AB">
        <w:rPr>
          <w:rFonts w:asciiTheme="majorBidi" w:hAnsiTheme="majorBidi" w:cstheme="majorBidi"/>
          <w:szCs w:val="24"/>
        </w:rPr>
        <w:t>currently comprises the 19 countries of the euro area, whilst 7 other member states have also stated their intention to join.</w:t>
      </w:r>
    </w:p>
    <w:p w14:paraId="67D1DAE3" w14:textId="2A762B0E" w:rsidR="00420519" w:rsidRPr="003651AB" w:rsidRDefault="00420519" w:rsidP="00420519">
      <w:pPr>
        <w:rPr>
          <w:rFonts w:asciiTheme="majorBidi" w:hAnsiTheme="majorBidi" w:cstheme="majorBidi"/>
          <w:bCs/>
          <w:noProof/>
          <w:szCs w:val="24"/>
          <w:u w:val="single"/>
        </w:rPr>
      </w:pPr>
      <w:r w:rsidRPr="003651AB">
        <w:rPr>
          <w:rFonts w:asciiTheme="majorBidi" w:hAnsiTheme="majorBidi" w:cstheme="majorBidi"/>
          <w:szCs w:val="24"/>
        </w:rPr>
        <w:t>In June 2016, the Council agreed that negotiations on EDIS at political level wou</w:t>
      </w:r>
      <w:r w:rsidR="00735E01">
        <w:rPr>
          <w:rFonts w:asciiTheme="majorBidi" w:hAnsiTheme="majorBidi" w:cstheme="majorBidi"/>
          <w:szCs w:val="24"/>
        </w:rPr>
        <w:t>ld start as soon as progress had</w:t>
      </w:r>
      <w:r w:rsidRPr="003651AB">
        <w:rPr>
          <w:rFonts w:asciiTheme="majorBidi" w:hAnsiTheme="majorBidi" w:cstheme="majorBidi"/>
          <w:szCs w:val="24"/>
        </w:rPr>
        <w:t xml:space="preserve"> been made on measures to reduce risk in the financial sector. Discussions since then have been of a technical nature.</w:t>
      </w:r>
    </w:p>
    <w:p w14:paraId="78C7147F" w14:textId="77777777" w:rsidR="00420519" w:rsidRPr="003651AB" w:rsidRDefault="00420519" w:rsidP="00420519">
      <w:pPr>
        <w:rPr>
          <w:rFonts w:asciiTheme="majorBidi" w:hAnsiTheme="majorBidi" w:cstheme="majorBidi"/>
          <w:szCs w:val="24"/>
        </w:rPr>
      </w:pPr>
      <w:r w:rsidRPr="003651AB">
        <w:rPr>
          <w:rFonts w:asciiTheme="majorBidi" w:hAnsiTheme="majorBidi" w:cstheme="majorBidi"/>
          <w:szCs w:val="24"/>
        </w:rPr>
        <w:t>The regulation needs a qualified majority for adoption by the Council, in agreement with the European Parliament. (Legal basis: article 114 of the Treaty on the Functioning of the European Union.)</w:t>
      </w:r>
    </w:p>
    <w:p w14:paraId="086A4AC5" w14:textId="77777777" w:rsidR="00420519" w:rsidRDefault="00E16391" w:rsidP="00420519">
      <w:pPr>
        <w:pStyle w:val="ListParagraph"/>
        <w:spacing w:before="120" w:after="240" w:line="276" w:lineRule="auto"/>
        <w:ind w:left="0"/>
        <w:rPr>
          <w:rStyle w:val="Hyperlink"/>
          <w:rFonts w:asciiTheme="majorBidi" w:hAnsiTheme="majorBidi" w:cstheme="majorBidi"/>
          <w:bCs/>
          <w:noProof/>
          <w:szCs w:val="24"/>
        </w:rPr>
      </w:pPr>
      <w:hyperlink r:id="rId17" w:history="1">
        <w:r w:rsidR="00420519" w:rsidRPr="003651AB">
          <w:rPr>
            <w:rStyle w:val="Hyperlink"/>
            <w:rFonts w:asciiTheme="majorBidi" w:hAnsiTheme="majorBidi" w:cstheme="majorBidi"/>
            <w:bCs/>
            <w:noProof/>
            <w:szCs w:val="24"/>
          </w:rPr>
          <w:t>June 2018 progress report on the EDIS proposal</w:t>
        </w:r>
      </w:hyperlink>
    </w:p>
    <w:p w14:paraId="70C31A24" w14:textId="77777777" w:rsidR="00420519" w:rsidRDefault="00E16391" w:rsidP="00420519">
      <w:pPr>
        <w:pStyle w:val="ListParagraph"/>
        <w:spacing w:before="120" w:after="240" w:line="276" w:lineRule="auto"/>
        <w:ind w:left="0"/>
        <w:rPr>
          <w:rStyle w:val="Hyperlink"/>
          <w:rFonts w:asciiTheme="majorBidi" w:hAnsiTheme="majorBidi" w:cstheme="majorBidi"/>
          <w:szCs w:val="24"/>
        </w:rPr>
      </w:pPr>
      <w:hyperlink r:id="rId18" w:history="1">
        <w:r w:rsidR="00420519" w:rsidRPr="003651AB">
          <w:rPr>
            <w:rStyle w:val="Hyperlink"/>
            <w:rFonts w:asciiTheme="majorBidi" w:hAnsiTheme="majorBidi" w:cstheme="majorBidi"/>
            <w:szCs w:val="24"/>
          </w:rPr>
          <w:t>June 2016 Council conclusions on a roadmap to complete the banking union</w:t>
        </w:r>
      </w:hyperlink>
    </w:p>
    <w:p w14:paraId="5C37FA92" w14:textId="77777777" w:rsidR="00631AD6" w:rsidRPr="00160675" w:rsidRDefault="00420519" w:rsidP="00631AD6">
      <w:pPr>
        <w:pStyle w:val="ItemDebated"/>
      </w:pPr>
      <w:r>
        <w:rPr>
          <w:lang w:val="en-US"/>
        </w:rPr>
        <w:br w:type="page"/>
      </w:r>
      <w:bookmarkStart w:id="7" w:name="_Toc517445173"/>
      <w:bookmarkStart w:id="8" w:name="_Toc517445171"/>
      <w:r w:rsidR="00631AD6" w:rsidRPr="00160675">
        <w:lastRenderedPageBreak/>
        <w:t>ECONOMIC AND FISCAL POLICIES – COUNTRY-SPECIFIC RECOMMENDATIONS</w:t>
      </w:r>
      <w:bookmarkEnd w:id="7"/>
    </w:p>
    <w:p w14:paraId="6A94877B" w14:textId="77777777" w:rsidR="00631AD6" w:rsidRPr="003651AB" w:rsidRDefault="00631AD6" w:rsidP="00631AD6">
      <w:pPr>
        <w:rPr>
          <w:rFonts w:asciiTheme="majorBidi" w:hAnsiTheme="majorBidi" w:cstheme="majorBidi"/>
          <w:szCs w:val="24"/>
        </w:rPr>
      </w:pPr>
      <w:r w:rsidRPr="003651AB">
        <w:rPr>
          <w:rFonts w:asciiTheme="majorBidi" w:hAnsiTheme="majorBidi" w:cstheme="majorBidi"/>
          <w:szCs w:val="24"/>
        </w:rPr>
        <w:t>The Council approve</w:t>
      </w:r>
      <w:r>
        <w:rPr>
          <w:rFonts w:asciiTheme="majorBidi" w:hAnsiTheme="majorBidi" w:cstheme="majorBidi"/>
          <w:szCs w:val="24"/>
        </w:rPr>
        <w:t>d</w:t>
      </w:r>
      <w:r w:rsidRPr="003651AB">
        <w:rPr>
          <w:rFonts w:asciiTheme="majorBidi" w:hAnsiTheme="majorBidi" w:cstheme="majorBidi"/>
          <w:szCs w:val="24"/>
        </w:rPr>
        <w:t>, under the 2018 ‘</w:t>
      </w:r>
      <w:r w:rsidRPr="003651AB">
        <w:rPr>
          <w:rFonts w:asciiTheme="majorBidi" w:hAnsiTheme="majorBidi" w:cstheme="majorBidi"/>
          <w:iCs/>
          <w:szCs w:val="24"/>
        </w:rPr>
        <w:t>European Semester’ monitoring process,</w:t>
      </w:r>
      <w:r w:rsidRPr="003651AB">
        <w:rPr>
          <w:rFonts w:asciiTheme="majorBidi" w:hAnsiTheme="majorBidi" w:cstheme="majorBidi"/>
          <w:szCs w:val="24"/>
        </w:rPr>
        <w:t xml:space="preserve"> draft recommendations to 27 member states</w:t>
      </w:r>
      <w:r w:rsidRPr="003651AB">
        <w:rPr>
          <w:rStyle w:val="FootnoteReference"/>
          <w:rFonts w:asciiTheme="majorBidi" w:hAnsiTheme="majorBidi" w:cstheme="majorBidi"/>
          <w:szCs w:val="24"/>
        </w:rPr>
        <w:footnoteReference w:id="1"/>
      </w:r>
      <w:r w:rsidRPr="003651AB">
        <w:rPr>
          <w:rFonts w:asciiTheme="majorBidi" w:hAnsiTheme="majorBidi" w:cstheme="majorBidi"/>
          <w:szCs w:val="24"/>
        </w:rPr>
        <w:t xml:space="preserve"> on their economic and fiscal policies.</w:t>
      </w:r>
    </w:p>
    <w:p w14:paraId="5F1E6EB8" w14:textId="77777777" w:rsidR="00631AD6" w:rsidRPr="003651AB" w:rsidRDefault="00631AD6" w:rsidP="00631AD6">
      <w:pPr>
        <w:rPr>
          <w:rFonts w:asciiTheme="majorBidi" w:hAnsiTheme="majorBidi" w:cstheme="majorBidi"/>
          <w:szCs w:val="24"/>
        </w:rPr>
      </w:pPr>
      <w:r w:rsidRPr="003651AB">
        <w:rPr>
          <w:rFonts w:asciiTheme="majorBidi" w:hAnsiTheme="majorBidi" w:cstheme="majorBidi"/>
          <w:szCs w:val="24"/>
        </w:rPr>
        <w:t>The draft recommendations assess the economic policies set out in the member states' ‘national reform programmes’. They include draft opinions on the fiscal policies contained in their ‘stability’ and ‘convergence’ programmes.</w:t>
      </w:r>
    </w:p>
    <w:p w14:paraId="2D8A7E68" w14:textId="77777777" w:rsidR="00631AD6" w:rsidRDefault="00631AD6" w:rsidP="00631AD6">
      <w:pPr>
        <w:rPr>
          <w:rFonts w:asciiTheme="majorBidi" w:hAnsiTheme="majorBidi" w:cstheme="majorBidi"/>
          <w:szCs w:val="24"/>
        </w:rPr>
      </w:pPr>
      <w:r w:rsidRPr="003651AB">
        <w:rPr>
          <w:rFonts w:asciiTheme="majorBidi" w:hAnsiTheme="majorBidi" w:cstheme="majorBidi"/>
          <w:szCs w:val="24"/>
        </w:rPr>
        <w:t>The texts will be forwarded to the General Affairs Council on 26 June, and to the European Council for endorsement at its meeting on 28 and 29 June 2018.</w:t>
      </w:r>
    </w:p>
    <w:p w14:paraId="35203565" w14:textId="7850C6C7" w:rsidR="00631AD6" w:rsidRDefault="00631AD6" w:rsidP="00735E01">
      <w:pPr>
        <w:rPr>
          <w:rFonts w:asciiTheme="majorBidi" w:hAnsiTheme="majorBidi" w:cstheme="majorBidi"/>
          <w:szCs w:val="24"/>
        </w:rPr>
      </w:pPr>
      <w:r>
        <w:rPr>
          <w:rFonts w:asciiTheme="majorBidi" w:hAnsiTheme="majorBidi" w:cstheme="majorBidi"/>
          <w:szCs w:val="24"/>
        </w:rPr>
        <w:t>Similar preparations were made by t</w:t>
      </w:r>
      <w:r w:rsidRPr="003651AB">
        <w:rPr>
          <w:rFonts w:asciiTheme="majorBidi" w:hAnsiTheme="majorBidi" w:cstheme="majorBidi"/>
          <w:szCs w:val="24"/>
        </w:rPr>
        <w:t>he Employment, Social Policy, Health and Consumer Affairs Council on 21 June</w:t>
      </w:r>
      <w:r>
        <w:rPr>
          <w:rFonts w:asciiTheme="majorBidi" w:hAnsiTheme="majorBidi" w:cstheme="majorBidi"/>
          <w:szCs w:val="24"/>
        </w:rPr>
        <w:t xml:space="preserve"> </w:t>
      </w:r>
      <w:r w:rsidR="00735E01">
        <w:rPr>
          <w:rFonts w:asciiTheme="majorBidi" w:hAnsiTheme="majorBidi" w:cstheme="majorBidi"/>
          <w:szCs w:val="24"/>
        </w:rPr>
        <w:t>with regard to</w:t>
      </w:r>
      <w:r w:rsidRPr="003651AB">
        <w:rPr>
          <w:rFonts w:asciiTheme="majorBidi" w:hAnsiTheme="majorBidi" w:cstheme="majorBidi"/>
          <w:szCs w:val="24"/>
        </w:rPr>
        <w:t xml:space="preserve"> </w:t>
      </w:r>
      <w:r>
        <w:rPr>
          <w:rFonts w:asciiTheme="majorBidi" w:hAnsiTheme="majorBidi" w:cstheme="majorBidi"/>
          <w:szCs w:val="24"/>
        </w:rPr>
        <w:t xml:space="preserve">member states' </w:t>
      </w:r>
      <w:r w:rsidRPr="003651AB">
        <w:rPr>
          <w:rFonts w:asciiTheme="majorBidi" w:hAnsiTheme="majorBidi" w:cstheme="majorBidi"/>
          <w:szCs w:val="24"/>
        </w:rPr>
        <w:t>employment</w:t>
      </w:r>
      <w:r>
        <w:rPr>
          <w:rFonts w:asciiTheme="majorBidi" w:hAnsiTheme="majorBidi" w:cstheme="majorBidi"/>
          <w:szCs w:val="24"/>
        </w:rPr>
        <w:t xml:space="preserve"> policies.</w:t>
      </w:r>
    </w:p>
    <w:p w14:paraId="2FAD46D3" w14:textId="77777777" w:rsidR="00631AD6" w:rsidRDefault="00631AD6" w:rsidP="00631AD6">
      <w:pPr>
        <w:rPr>
          <w:rFonts w:asciiTheme="majorBidi" w:hAnsiTheme="majorBidi" w:cstheme="majorBidi"/>
          <w:szCs w:val="24"/>
        </w:rPr>
      </w:pPr>
      <w:r w:rsidRPr="003651AB">
        <w:rPr>
          <w:rFonts w:asciiTheme="majorBidi" w:hAnsiTheme="majorBidi" w:cstheme="majorBidi"/>
          <w:szCs w:val="24"/>
        </w:rPr>
        <w:t>The whole package is due to be adopted in July 2018.</w:t>
      </w:r>
    </w:p>
    <w:p w14:paraId="2582CC0B" w14:textId="77777777" w:rsidR="00631AD6" w:rsidRDefault="00E16391" w:rsidP="00631AD6">
      <w:pPr>
        <w:rPr>
          <w:rFonts w:asciiTheme="majorBidi" w:hAnsiTheme="majorBidi" w:cstheme="majorBidi"/>
          <w:szCs w:val="24"/>
          <w:u w:val="single"/>
        </w:rPr>
      </w:pPr>
      <w:hyperlink r:id="rId19" w:history="1">
        <w:r w:rsidR="00631AD6" w:rsidRPr="007D7B04">
          <w:rPr>
            <w:rStyle w:val="Hyperlink"/>
            <w:rFonts w:asciiTheme="majorBidi" w:hAnsiTheme="majorBidi" w:cstheme="majorBidi"/>
            <w:szCs w:val="24"/>
          </w:rPr>
          <w:t>Press release on the draft 2018 country-specific recommendations</w:t>
        </w:r>
      </w:hyperlink>
    </w:p>
    <w:p w14:paraId="4D0D0B56" w14:textId="0672F56C" w:rsidR="008A1A04" w:rsidRPr="00160675" w:rsidRDefault="00631AD6" w:rsidP="00420519">
      <w:pPr>
        <w:pStyle w:val="ItemDebated"/>
      </w:pPr>
      <w:r>
        <w:rPr>
          <w:lang w:val="en-US"/>
        </w:rPr>
        <w:br w:type="page"/>
      </w:r>
      <w:r w:rsidR="00420519">
        <w:rPr>
          <w:lang w:val="en-US"/>
        </w:rPr>
        <w:lastRenderedPageBreak/>
        <w:t>S</w:t>
      </w:r>
      <w:r w:rsidR="00FA46E0" w:rsidRPr="00160675">
        <w:t>TABILITY AND GROWTH PACT – FRANCE, HUNGARY AND ROMANIA</w:t>
      </w:r>
      <w:bookmarkEnd w:id="8"/>
    </w:p>
    <w:p w14:paraId="0878C201" w14:textId="35B13AEE" w:rsidR="008A1A04" w:rsidRPr="003651AB" w:rsidRDefault="008A1A04" w:rsidP="00CA66FE">
      <w:pPr>
        <w:rPr>
          <w:rFonts w:asciiTheme="majorBidi" w:hAnsiTheme="majorBidi" w:cstheme="majorBidi"/>
          <w:bCs/>
          <w:snapToGrid w:val="0"/>
          <w:szCs w:val="24"/>
        </w:rPr>
      </w:pPr>
      <w:r w:rsidRPr="003651AB">
        <w:rPr>
          <w:rFonts w:asciiTheme="majorBidi" w:hAnsiTheme="majorBidi" w:cstheme="majorBidi"/>
          <w:bCs/>
          <w:snapToGrid w:val="0"/>
          <w:szCs w:val="24"/>
        </w:rPr>
        <w:t>The Council t</w:t>
      </w:r>
      <w:r w:rsidR="00CA66FE">
        <w:rPr>
          <w:rFonts w:asciiTheme="majorBidi" w:hAnsiTheme="majorBidi" w:cstheme="majorBidi"/>
          <w:bCs/>
          <w:snapToGrid w:val="0"/>
          <w:szCs w:val="24"/>
        </w:rPr>
        <w:t>oo</w:t>
      </w:r>
      <w:r w:rsidRPr="003651AB">
        <w:rPr>
          <w:rFonts w:asciiTheme="majorBidi" w:hAnsiTheme="majorBidi" w:cstheme="majorBidi"/>
          <w:bCs/>
          <w:snapToGrid w:val="0"/>
          <w:szCs w:val="24"/>
        </w:rPr>
        <w:t>k a number of decisions under the Stability and Growth Pact, the EU’s fiscal rulebook.</w:t>
      </w:r>
    </w:p>
    <w:p w14:paraId="5A9EC146" w14:textId="77777777" w:rsidR="00CA66FE" w:rsidRDefault="00CA66FE" w:rsidP="00CA66FE">
      <w:pPr>
        <w:rPr>
          <w:rFonts w:asciiTheme="majorBidi" w:hAnsiTheme="majorBidi" w:cstheme="majorBidi"/>
          <w:bCs/>
          <w:snapToGrid w:val="0"/>
          <w:szCs w:val="24"/>
        </w:rPr>
      </w:pPr>
      <w:r>
        <w:rPr>
          <w:rFonts w:asciiTheme="majorBidi" w:hAnsiTheme="majorBidi" w:cstheme="majorBidi"/>
          <w:bCs/>
          <w:snapToGrid w:val="0"/>
          <w:szCs w:val="24"/>
        </w:rPr>
        <w:t>It</w:t>
      </w:r>
      <w:r w:rsidR="008A1A04" w:rsidRPr="003651AB">
        <w:rPr>
          <w:rFonts w:asciiTheme="majorBidi" w:hAnsiTheme="majorBidi" w:cstheme="majorBidi"/>
          <w:bCs/>
          <w:snapToGrid w:val="0"/>
          <w:szCs w:val="24"/>
        </w:rPr>
        <w:t xml:space="preserve"> close</w:t>
      </w:r>
      <w:r>
        <w:rPr>
          <w:rFonts w:asciiTheme="majorBidi" w:hAnsiTheme="majorBidi" w:cstheme="majorBidi"/>
          <w:bCs/>
          <w:snapToGrid w:val="0"/>
          <w:szCs w:val="24"/>
        </w:rPr>
        <w:t>d</w:t>
      </w:r>
      <w:r w:rsidR="008A1A04" w:rsidRPr="003651AB">
        <w:rPr>
          <w:rFonts w:asciiTheme="majorBidi" w:hAnsiTheme="majorBidi" w:cstheme="majorBidi"/>
          <w:bCs/>
          <w:snapToGrid w:val="0"/>
          <w:szCs w:val="24"/>
        </w:rPr>
        <w:t xml:space="preserve"> the excessi</w:t>
      </w:r>
      <w:r>
        <w:rPr>
          <w:rFonts w:asciiTheme="majorBidi" w:hAnsiTheme="majorBidi" w:cstheme="majorBidi"/>
          <w:bCs/>
          <w:snapToGrid w:val="0"/>
          <w:szCs w:val="24"/>
        </w:rPr>
        <w:t>ve deficit procedure for France,</w:t>
      </w:r>
      <w:r w:rsidR="008A1A04" w:rsidRPr="003651AB">
        <w:rPr>
          <w:rFonts w:asciiTheme="majorBidi" w:hAnsiTheme="majorBidi" w:cstheme="majorBidi"/>
          <w:bCs/>
          <w:snapToGrid w:val="0"/>
          <w:szCs w:val="24"/>
        </w:rPr>
        <w:t xml:space="preserve"> confirm</w:t>
      </w:r>
      <w:r>
        <w:rPr>
          <w:rFonts w:asciiTheme="majorBidi" w:hAnsiTheme="majorBidi" w:cstheme="majorBidi"/>
          <w:bCs/>
          <w:snapToGrid w:val="0"/>
          <w:szCs w:val="24"/>
        </w:rPr>
        <w:t>ing</w:t>
      </w:r>
      <w:r w:rsidR="008A1A04" w:rsidRPr="003651AB">
        <w:rPr>
          <w:rFonts w:asciiTheme="majorBidi" w:hAnsiTheme="majorBidi" w:cstheme="majorBidi"/>
          <w:bCs/>
          <w:snapToGrid w:val="0"/>
          <w:szCs w:val="24"/>
        </w:rPr>
        <w:t xml:space="preserve"> that </w:t>
      </w:r>
      <w:r>
        <w:rPr>
          <w:rFonts w:asciiTheme="majorBidi" w:hAnsiTheme="majorBidi" w:cstheme="majorBidi"/>
          <w:bCs/>
          <w:snapToGrid w:val="0"/>
          <w:szCs w:val="24"/>
        </w:rPr>
        <w:t>it</w:t>
      </w:r>
      <w:r w:rsidR="008A1A04" w:rsidRPr="003651AB">
        <w:rPr>
          <w:rFonts w:asciiTheme="majorBidi" w:hAnsiTheme="majorBidi" w:cstheme="majorBidi"/>
          <w:bCs/>
          <w:snapToGrid w:val="0"/>
          <w:szCs w:val="24"/>
        </w:rPr>
        <w:t xml:space="preserve"> has reduced its deficit below 3% of GDP, the EU's reference value for government deficits.</w:t>
      </w:r>
    </w:p>
    <w:p w14:paraId="7831E1B7" w14:textId="0F8779CC" w:rsidR="00CA66FE" w:rsidRDefault="00CA66FE" w:rsidP="00735E01">
      <w:pPr>
        <w:rPr>
          <w:snapToGrid w:val="0"/>
          <w:szCs w:val="24"/>
        </w:rPr>
      </w:pPr>
      <w:r>
        <w:rPr>
          <w:snapToGrid w:val="0"/>
          <w:szCs w:val="24"/>
        </w:rPr>
        <w:t>As a consequence, 23 of the 24 </w:t>
      </w:r>
      <w:r w:rsidR="00835E27">
        <w:rPr>
          <w:snapToGrid w:val="0"/>
          <w:szCs w:val="24"/>
        </w:rPr>
        <w:t xml:space="preserve">excessive deficit </w:t>
      </w:r>
      <w:r>
        <w:rPr>
          <w:snapToGrid w:val="0"/>
          <w:szCs w:val="24"/>
        </w:rPr>
        <w:t>procedures that were pen</w:t>
      </w:r>
      <w:r w:rsidR="00735E01">
        <w:rPr>
          <w:snapToGrid w:val="0"/>
          <w:szCs w:val="24"/>
        </w:rPr>
        <w:t>ding</w:t>
      </w:r>
      <w:r>
        <w:rPr>
          <w:snapToGrid w:val="0"/>
          <w:szCs w:val="24"/>
        </w:rPr>
        <w:t xml:space="preserve"> at the height of the euro crisis have now been closed.</w:t>
      </w:r>
    </w:p>
    <w:p w14:paraId="0914A983" w14:textId="0027FD46" w:rsidR="00CA66FE" w:rsidRPr="00CA66FE" w:rsidRDefault="00E16391" w:rsidP="00CA66FE">
      <w:pPr>
        <w:rPr>
          <w:snapToGrid w:val="0"/>
          <w:szCs w:val="24"/>
          <w:u w:val="single"/>
        </w:rPr>
      </w:pPr>
      <w:hyperlink r:id="rId20" w:history="1">
        <w:r w:rsidR="00CA66FE" w:rsidRPr="009D0867">
          <w:rPr>
            <w:rStyle w:val="Hyperlink"/>
            <w:snapToGrid w:val="0"/>
            <w:szCs w:val="24"/>
          </w:rPr>
          <w:t>Press release on 2018 closure of the excessive deficit procedure for France</w:t>
        </w:r>
      </w:hyperlink>
    </w:p>
    <w:p w14:paraId="16D68FB2" w14:textId="77777777" w:rsidR="00835E27" w:rsidRDefault="00CA66FE" w:rsidP="00835E27">
      <w:pPr>
        <w:rPr>
          <w:rFonts w:asciiTheme="majorBidi" w:hAnsiTheme="majorBidi" w:cstheme="majorBidi"/>
          <w:bCs/>
          <w:snapToGrid w:val="0"/>
          <w:szCs w:val="24"/>
        </w:rPr>
      </w:pPr>
      <w:r>
        <w:rPr>
          <w:rFonts w:asciiTheme="majorBidi" w:hAnsiTheme="majorBidi" w:cstheme="majorBidi"/>
          <w:bCs/>
          <w:snapToGrid w:val="0"/>
          <w:szCs w:val="24"/>
        </w:rPr>
        <w:t>T</w:t>
      </w:r>
      <w:r w:rsidR="008A1A04" w:rsidRPr="003651AB">
        <w:rPr>
          <w:rFonts w:asciiTheme="majorBidi" w:hAnsiTheme="majorBidi" w:cstheme="majorBidi"/>
          <w:bCs/>
          <w:snapToGrid w:val="0"/>
          <w:szCs w:val="24"/>
        </w:rPr>
        <w:t xml:space="preserve">he Council </w:t>
      </w:r>
      <w:r>
        <w:rPr>
          <w:rFonts w:asciiTheme="majorBidi" w:hAnsiTheme="majorBidi" w:cstheme="majorBidi"/>
          <w:bCs/>
          <w:snapToGrid w:val="0"/>
          <w:szCs w:val="24"/>
        </w:rPr>
        <w:t>also adopted a decision establishing that Romania has once again failed to take effective action to correct a significant budgetary deviation</w:t>
      </w:r>
      <w:r w:rsidR="00835E27">
        <w:rPr>
          <w:rFonts w:asciiTheme="majorBidi" w:hAnsiTheme="majorBidi" w:cstheme="majorBidi"/>
          <w:bCs/>
          <w:snapToGrid w:val="0"/>
          <w:szCs w:val="24"/>
        </w:rPr>
        <w:t>.</w:t>
      </w:r>
    </w:p>
    <w:p w14:paraId="06BEC281" w14:textId="00919A0D" w:rsidR="008A1A04" w:rsidRDefault="00835E27" w:rsidP="00835E27">
      <w:pPr>
        <w:rPr>
          <w:rFonts w:asciiTheme="majorBidi" w:hAnsiTheme="majorBidi" w:cstheme="majorBidi"/>
          <w:bCs/>
          <w:snapToGrid w:val="0"/>
          <w:szCs w:val="24"/>
        </w:rPr>
      </w:pPr>
      <w:r>
        <w:rPr>
          <w:rFonts w:asciiTheme="majorBidi" w:hAnsiTheme="majorBidi" w:cstheme="majorBidi"/>
          <w:bCs/>
          <w:snapToGrid w:val="0"/>
          <w:szCs w:val="24"/>
        </w:rPr>
        <w:t>It issued a new recommendation to Romania – the third since June 2017 – as well as a recommendation to Hungary on measures to correct their budgetary deviations</w:t>
      </w:r>
      <w:r w:rsidR="008A1A04" w:rsidRPr="003651AB">
        <w:rPr>
          <w:rFonts w:asciiTheme="majorBidi" w:hAnsiTheme="majorBidi" w:cstheme="majorBidi"/>
          <w:bCs/>
          <w:snapToGrid w:val="0"/>
          <w:szCs w:val="24"/>
        </w:rPr>
        <w:t>.</w:t>
      </w:r>
    </w:p>
    <w:p w14:paraId="63C0D63D" w14:textId="58340A3C" w:rsidR="00835E27" w:rsidRPr="00CA66FE" w:rsidRDefault="00E16391" w:rsidP="00835E27">
      <w:pPr>
        <w:rPr>
          <w:snapToGrid w:val="0"/>
          <w:szCs w:val="24"/>
          <w:u w:val="single"/>
        </w:rPr>
      </w:pPr>
      <w:hyperlink r:id="rId21" w:history="1">
        <w:r w:rsidR="00835E27" w:rsidRPr="009D0867">
          <w:rPr>
            <w:rStyle w:val="Hyperlink"/>
            <w:snapToGrid w:val="0"/>
            <w:szCs w:val="24"/>
          </w:rPr>
          <w:t>Press release on 2018 recommendations to Hungary and Romania on budgetary deviations</w:t>
        </w:r>
      </w:hyperlink>
    </w:p>
    <w:p w14:paraId="6DF9A54E" w14:textId="473EDDF4" w:rsidR="008A1A04" w:rsidRPr="00160675" w:rsidRDefault="003651AB" w:rsidP="005353E2">
      <w:pPr>
        <w:pStyle w:val="ItemDebated"/>
      </w:pPr>
      <w:r>
        <w:rPr>
          <w:snapToGrid w:val="0"/>
        </w:rPr>
        <w:br w:type="page"/>
      </w:r>
      <w:bookmarkStart w:id="9" w:name="_Toc517445172"/>
      <w:r w:rsidR="00FA46E0" w:rsidRPr="00FA46E0">
        <w:lastRenderedPageBreak/>
        <w:t>ECONOMIC</w:t>
      </w:r>
      <w:r w:rsidR="00FA46E0" w:rsidRPr="00160675">
        <w:t xml:space="preserve"> AND MONETARY UNION – CONVERGENCE REPORTS</w:t>
      </w:r>
      <w:bookmarkEnd w:id="9"/>
    </w:p>
    <w:p w14:paraId="56BE409A" w14:textId="2A3DEE11" w:rsidR="001968D2" w:rsidRDefault="008A1A04" w:rsidP="001968D2">
      <w:pPr>
        <w:outlineLvl w:val="0"/>
        <w:rPr>
          <w:rFonts w:asciiTheme="majorBidi" w:hAnsiTheme="majorBidi" w:cstheme="majorBidi"/>
          <w:szCs w:val="24"/>
        </w:rPr>
      </w:pPr>
      <w:r w:rsidRPr="003651AB">
        <w:rPr>
          <w:rFonts w:asciiTheme="majorBidi" w:hAnsiTheme="majorBidi" w:cstheme="majorBidi"/>
          <w:szCs w:val="24"/>
        </w:rPr>
        <w:t>The Commission and the European Central Bank present</w:t>
      </w:r>
      <w:r w:rsidR="001968D2">
        <w:rPr>
          <w:rFonts w:asciiTheme="majorBidi" w:hAnsiTheme="majorBidi" w:cstheme="majorBidi"/>
          <w:szCs w:val="24"/>
        </w:rPr>
        <w:t>ed</w:t>
      </w:r>
      <w:r w:rsidRPr="003651AB">
        <w:rPr>
          <w:rFonts w:asciiTheme="majorBidi" w:hAnsiTheme="majorBidi" w:cstheme="majorBidi"/>
          <w:szCs w:val="24"/>
        </w:rPr>
        <w:t xml:space="preserve"> reports on the </w:t>
      </w:r>
      <w:r w:rsidR="001968D2">
        <w:rPr>
          <w:rFonts w:asciiTheme="majorBidi" w:hAnsiTheme="majorBidi" w:cstheme="majorBidi"/>
          <w:szCs w:val="24"/>
        </w:rPr>
        <w:t>readiness for euro membership of the 7 non-eurozone member states that have a derogation</w:t>
      </w:r>
      <w:r w:rsidR="001968D2" w:rsidRPr="003651AB">
        <w:rPr>
          <w:rStyle w:val="FootnoteReference"/>
          <w:rFonts w:asciiTheme="majorBidi" w:hAnsiTheme="majorBidi" w:cstheme="majorBidi"/>
          <w:szCs w:val="24"/>
        </w:rPr>
        <w:footnoteReference w:id="2"/>
      </w:r>
      <w:r w:rsidR="001968D2">
        <w:rPr>
          <w:rFonts w:asciiTheme="majorBidi" w:hAnsiTheme="majorBidi" w:cstheme="majorBidi"/>
          <w:szCs w:val="24"/>
        </w:rPr>
        <w:t xml:space="preserve"> from economic and monetary union (EMU).</w:t>
      </w:r>
    </w:p>
    <w:p w14:paraId="5C9BFAB6" w14:textId="565F69F3" w:rsidR="001968D2" w:rsidRPr="003651AB" w:rsidRDefault="001968D2" w:rsidP="00735E01">
      <w:pPr>
        <w:outlineLvl w:val="0"/>
        <w:rPr>
          <w:rFonts w:asciiTheme="majorBidi" w:hAnsiTheme="majorBidi" w:cstheme="majorBidi"/>
          <w:szCs w:val="24"/>
        </w:rPr>
      </w:pPr>
      <w:r w:rsidRPr="003651AB">
        <w:rPr>
          <w:rFonts w:asciiTheme="majorBidi" w:hAnsiTheme="majorBidi" w:cstheme="majorBidi"/>
          <w:szCs w:val="24"/>
        </w:rPr>
        <w:t xml:space="preserve">The reports find that </w:t>
      </w:r>
      <w:r w:rsidR="00735E01">
        <w:rPr>
          <w:rFonts w:asciiTheme="majorBidi" w:hAnsiTheme="majorBidi" w:cstheme="majorBidi"/>
          <w:szCs w:val="24"/>
        </w:rPr>
        <w:t>all</w:t>
      </w:r>
      <w:r w:rsidRPr="003651AB">
        <w:rPr>
          <w:rFonts w:asciiTheme="majorBidi" w:hAnsiTheme="majorBidi" w:cstheme="majorBidi"/>
          <w:szCs w:val="24"/>
        </w:rPr>
        <w:t xml:space="preserve"> 7 have made progress with regard to </w:t>
      </w:r>
      <w:r>
        <w:rPr>
          <w:rFonts w:asciiTheme="majorBidi" w:hAnsiTheme="majorBidi" w:cstheme="majorBidi"/>
          <w:szCs w:val="24"/>
        </w:rPr>
        <w:t>EMU</w:t>
      </w:r>
      <w:r w:rsidRPr="003651AB">
        <w:rPr>
          <w:rFonts w:asciiTheme="majorBidi" w:hAnsiTheme="majorBidi" w:cstheme="majorBidi"/>
          <w:szCs w:val="24"/>
        </w:rPr>
        <w:t xml:space="preserve"> convergence criteria, </w:t>
      </w:r>
      <w:r>
        <w:rPr>
          <w:rFonts w:asciiTheme="majorBidi" w:hAnsiTheme="majorBidi" w:cstheme="majorBidi"/>
          <w:szCs w:val="24"/>
        </w:rPr>
        <w:t xml:space="preserve">but </w:t>
      </w:r>
      <w:r w:rsidRPr="003651AB">
        <w:rPr>
          <w:rFonts w:asciiTheme="majorBidi" w:hAnsiTheme="majorBidi" w:cstheme="majorBidi"/>
          <w:szCs w:val="24"/>
        </w:rPr>
        <w:t xml:space="preserve">none of them meet all of the conditions for </w:t>
      </w:r>
      <w:r>
        <w:rPr>
          <w:rFonts w:asciiTheme="majorBidi" w:hAnsiTheme="majorBidi" w:cstheme="majorBidi"/>
          <w:szCs w:val="24"/>
        </w:rPr>
        <w:t>adopt</w:t>
      </w:r>
      <w:r w:rsidRPr="003651AB">
        <w:rPr>
          <w:rFonts w:asciiTheme="majorBidi" w:hAnsiTheme="majorBidi" w:cstheme="majorBidi"/>
          <w:szCs w:val="24"/>
        </w:rPr>
        <w:t>ing the euro at this stage.</w:t>
      </w:r>
    </w:p>
    <w:p w14:paraId="2158B4EC" w14:textId="30C44188" w:rsidR="001968D2" w:rsidRPr="003651AB" w:rsidRDefault="001968D2" w:rsidP="001968D2">
      <w:pPr>
        <w:outlineLvl w:val="0"/>
        <w:rPr>
          <w:rFonts w:asciiTheme="majorBidi" w:hAnsiTheme="majorBidi" w:cstheme="majorBidi"/>
          <w:szCs w:val="24"/>
        </w:rPr>
      </w:pPr>
      <w:r w:rsidRPr="003651AB">
        <w:rPr>
          <w:rFonts w:asciiTheme="majorBidi" w:hAnsiTheme="majorBidi" w:cstheme="majorBidi"/>
          <w:szCs w:val="24"/>
        </w:rPr>
        <w:t>Nineteen of the EU's 28 member states currently use the euro as their currency. Of the 9 that do not, 7 have a derogation. Bulgaria, Croatia, the Czech Republic, Hungary, Poland, Romania and Sweden</w:t>
      </w:r>
      <w:r>
        <w:rPr>
          <w:rFonts w:asciiTheme="majorBidi" w:hAnsiTheme="majorBidi" w:cstheme="majorBidi"/>
          <w:szCs w:val="24"/>
        </w:rPr>
        <w:t xml:space="preserve"> fall into this category</w:t>
      </w:r>
      <w:r w:rsidRPr="003651AB">
        <w:rPr>
          <w:rFonts w:asciiTheme="majorBidi" w:hAnsiTheme="majorBidi" w:cstheme="majorBidi"/>
          <w:szCs w:val="24"/>
        </w:rPr>
        <w:t>, wh</w:t>
      </w:r>
      <w:r>
        <w:rPr>
          <w:rFonts w:asciiTheme="majorBidi" w:hAnsiTheme="majorBidi" w:cstheme="majorBidi"/>
          <w:szCs w:val="24"/>
        </w:rPr>
        <w:t>ilst</w:t>
      </w:r>
      <w:r w:rsidRPr="003651AB">
        <w:rPr>
          <w:rFonts w:asciiTheme="majorBidi" w:hAnsiTheme="majorBidi" w:cstheme="majorBidi"/>
          <w:szCs w:val="24"/>
        </w:rPr>
        <w:t xml:space="preserve"> Denmark and the United Kingdom are not required to adopt the euro.</w:t>
      </w:r>
    </w:p>
    <w:p w14:paraId="7CDE026D" w14:textId="7463EADD" w:rsidR="001968D2" w:rsidRPr="003651AB" w:rsidRDefault="001968D2" w:rsidP="00735E01">
      <w:pPr>
        <w:outlineLvl w:val="0"/>
        <w:rPr>
          <w:rFonts w:asciiTheme="majorBidi" w:hAnsiTheme="majorBidi" w:cstheme="majorBidi"/>
          <w:szCs w:val="24"/>
        </w:rPr>
      </w:pPr>
      <w:r w:rsidRPr="003651AB">
        <w:rPr>
          <w:rFonts w:asciiTheme="majorBidi" w:hAnsiTheme="majorBidi" w:cstheme="majorBidi"/>
          <w:szCs w:val="24"/>
        </w:rPr>
        <w:t xml:space="preserve">Article 140 of the Treaty on the Functioning of the European Union requires the Commission and the ECB to issue convergence reports every two years, or if </w:t>
      </w:r>
      <w:r w:rsidR="00735E01">
        <w:rPr>
          <w:rFonts w:asciiTheme="majorBidi" w:hAnsiTheme="majorBidi" w:cstheme="majorBidi"/>
          <w:szCs w:val="24"/>
        </w:rPr>
        <w:t xml:space="preserve">requested by </w:t>
      </w:r>
      <w:r w:rsidRPr="003651AB">
        <w:rPr>
          <w:rFonts w:asciiTheme="majorBidi" w:hAnsiTheme="majorBidi" w:cstheme="majorBidi"/>
          <w:szCs w:val="24"/>
        </w:rPr>
        <w:t>a non-eurozone member state.</w:t>
      </w:r>
    </w:p>
    <w:p w14:paraId="7A6DD489" w14:textId="77777777" w:rsidR="001968D2" w:rsidRPr="003651AB" w:rsidRDefault="001968D2" w:rsidP="001968D2">
      <w:pPr>
        <w:outlineLvl w:val="0"/>
        <w:rPr>
          <w:rFonts w:asciiTheme="majorBidi" w:hAnsiTheme="majorBidi" w:cstheme="majorBidi"/>
          <w:szCs w:val="24"/>
        </w:rPr>
      </w:pPr>
      <w:r w:rsidRPr="003651AB">
        <w:rPr>
          <w:rFonts w:asciiTheme="majorBidi" w:hAnsiTheme="majorBidi" w:cstheme="majorBidi"/>
          <w:szCs w:val="24"/>
        </w:rPr>
        <w:t>The reports assess:</w:t>
      </w:r>
    </w:p>
    <w:p w14:paraId="627F762A" w14:textId="77777777" w:rsidR="001968D2" w:rsidRPr="003651AB" w:rsidRDefault="001968D2" w:rsidP="001968D2">
      <w:pPr>
        <w:ind w:left="720" w:hanging="720"/>
        <w:outlineLvl w:val="0"/>
        <w:rPr>
          <w:rFonts w:asciiTheme="majorBidi" w:hAnsiTheme="majorBidi" w:cstheme="majorBidi"/>
          <w:szCs w:val="24"/>
        </w:rPr>
      </w:pPr>
      <w:r w:rsidRPr="003651AB">
        <w:rPr>
          <w:rFonts w:asciiTheme="majorBidi" w:hAnsiTheme="majorBidi" w:cstheme="majorBidi"/>
          <w:szCs w:val="24"/>
        </w:rPr>
        <w:t>-</w:t>
      </w:r>
      <w:r w:rsidRPr="003651AB">
        <w:rPr>
          <w:rFonts w:asciiTheme="majorBidi" w:hAnsiTheme="majorBidi" w:cstheme="majorBidi"/>
          <w:szCs w:val="24"/>
        </w:rPr>
        <w:tab/>
        <w:t>the fulfilment of EMU obligations, including the compatibility of national legislation and central bank statutes with treaty provisions and with the statutes of the European System of Central Banks;</w:t>
      </w:r>
    </w:p>
    <w:p w14:paraId="4EE526C3" w14:textId="77777777" w:rsidR="001968D2" w:rsidRPr="003651AB" w:rsidRDefault="001968D2" w:rsidP="001968D2">
      <w:pPr>
        <w:ind w:left="720" w:hanging="720"/>
        <w:outlineLvl w:val="0"/>
        <w:rPr>
          <w:rFonts w:asciiTheme="majorBidi" w:hAnsiTheme="majorBidi" w:cstheme="majorBidi"/>
          <w:szCs w:val="24"/>
        </w:rPr>
      </w:pPr>
      <w:r w:rsidRPr="003651AB">
        <w:rPr>
          <w:rFonts w:asciiTheme="majorBidi" w:hAnsiTheme="majorBidi" w:cstheme="majorBidi"/>
          <w:szCs w:val="24"/>
        </w:rPr>
        <w:t>-</w:t>
      </w:r>
      <w:r w:rsidRPr="003651AB">
        <w:rPr>
          <w:rFonts w:asciiTheme="majorBidi" w:hAnsiTheme="majorBidi" w:cstheme="majorBidi"/>
          <w:szCs w:val="24"/>
        </w:rPr>
        <w:tab/>
        <w:t>the fulfilment of convergence criteria as regards price stability, the sustainability of public finances, exchange rates and long-term levels of interest rates.</w:t>
      </w:r>
    </w:p>
    <w:p w14:paraId="480CEA32" w14:textId="70789349" w:rsidR="001968D2" w:rsidRPr="003651AB" w:rsidRDefault="001968D2" w:rsidP="001968D2">
      <w:pPr>
        <w:rPr>
          <w:rFonts w:asciiTheme="majorBidi" w:hAnsiTheme="majorBidi" w:cstheme="majorBidi"/>
          <w:szCs w:val="24"/>
        </w:rPr>
      </w:pPr>
      <w:r w:rsidRPr="003651AB">
        <w:rPr>
          <w:rFonts w:asciiTheme="majorBidi" w:hAnsiTheme="majorBidi" w:cstheme="majorBidi"/>
          <w:szCs w:val="24"/>
        </w:rPr>
        <w:t>They also tak</w:t>
      </w:r>
      <w:r w:rsidR="00735E01">
        <w:rPr>
          <w:rFonts w:asciiTheme="majorBidi" w:hAnsiTheme="majorBidi" w:cstheme="majorBidi"/>
          <w:szCs w:val="24"/>
        </w:rPr>
        <w:t>e account of market integration and</w:t>
      </w:r>
      <w:r w:rsidRPr="003651AB">
        <w:rPr>
          <w:rFonts w:asciiTheme="majorBidi" w:hAnsiTheme="majorBidi" w:cstheme="majorBidi"/>
          <w:szCs w:val="24"/>
        </w:rPr>
        <w:t xml:space="preserve"> each country's balance of payments, as well as unit labour costs and other price indices.</w:t>
      </w:r>
    </w:p>
    <w:p w14:paraId="15BE547A" w14:textId="77777777" w:rsidR="001968D2" w:rsidRDefault="00E16391" w:rsidP="001968D2">
      <w:pPr>
        <w:pStyle w:val="ListParagraph"/>
        <w:spacing w:before="120" w:after="240" w:line="276" w:lineRule="auto"/>
        <w:ind w:left="0"/>
        <w:rPr>
          <w:rStyle w:val="Hyperlink"/>
          <w:rFonts w:asciiTheme="majorBidi" w:hAnsiTheme="majorBidi" w:cstheme="majorBidi"/>
          <w:szCs w:val="24"/>
        </w:rPr>
      </w:pPr>
      <w:hyperlink r:id="rId22" w:history="1">
        <w:r w:rsidR="001968D2" w:rsidRPr="003651AB">
          <w:rPr>
            <w:rStyle w:val="Hyperlink"/>
            <w:rFonts w:asciiTheme="majorBidi" w:hAnsiTheme="majorBidi" w:cstheme="majorBidi"/>
            <w:szCs w:val="24"/>
          </w:rPr>
          <w:t>2018 convergence report by the Commission</w:t>
        </w:r>
      </w:hyperlink>
    </w:p>
    <w:p w14:paraId="44164A6C" w14:textId="77777777" w:rsidR="00882625" w:rsidRDefault="00882625" w:rsidP="00882625">
      <w:pPr>
        <w:pStyle w:val="ListParagraph"/>
        <w:spacing w:before="120" w:after="240" w:line="276" w:lineRule="auto"/>
        <w:ind w:left="0"/>
      </w:pPr>
    </w:p>
    <w:p w14:paraId="46023E1C" w14:textId="77777777" w:rsidR="00882625" w:rsidRDefault="00E16391" w:rsidP="00882625">
      <w:pPr>
        <w:pStyle w:val="ListParagraph"/>
        <w:spacing w:before="120" w:after="240" w:line="276" w:lineRule="auto"/>
        <w:ind w:left="0"/>
        <w:rPr>
          <w:rStyle w:val="Hyperlink"/>
          <w:rFonts w:asciiTheme="majorBidi" w:hAnsiTheme="majorBidi" w:cstheme="majorBidi"/>
          <w:szCs w:val="24"/>
        </w:rPr>
      </w:pPr>
      <w:hyperlink r:id="rId23" w:history="1">
        <w:r w:rsidR="001968D2" w:rsidRPr="003651AB">
          <w:rPr>
            <w:rStyle w:val="Hyperlink"/>
            <w:rFonts w:asciiTheme="majorBidi" w:hAnsiTheme="majorBidi" w:cstheme="majorBidi"/>
            <w:szCs w:val="24"/>
          </w:rPr>
          <w:t>2018 convergence report by the ECB</w:t>
        </w:r>
      </w:hyperlink>
    </w:p>
    <w:p w14:paraId="628AE4AF" w14:textId="05984D48" w:rsidR="00FB06D4" w:rsidRPr="003651AB" w:rsidRDefault="003651AB" w:rsidP="00631AD6">
      <w:pPr>
        <w:pStyle w:val="ItemDebated"/>
      </w:pPr>
      <w:r>
        <w:rPr>
          <w:rFonts w:asciiTheme="majorBidi" w:hAnsiTheme="majorBidi" w:cstheme="majorBidi"/>
          <w:szCs w:val="24"/>
        </w:rPr>
        <w:br w:type="page"/>
      </w:r>
      <w:bookmarkStart w:id="10" w:name="_Toc517445174"/>
      <w:r w:rsidR="00113C9C" w:rsidRPr="003651AB">
        <w:lastRenderedPageBreak/>
        <w:t>OTHER BUSINESS</w:t>
      </w:r>
      <w:bookmarkEnd w:id="10"/>
    </w:p>
    <w:p w14:paraId="65269E88" w14:textId="2479D70A" w:rsidR="00D97185" w:rsidRPr="00102B51" w:rsidRDefault="008A1A04" w:rsidP="00102B51">
      <w:pPr>
        <w:pStyle w:val="Sub-sub-itemDebated"/>
      </w:pPr>
      <w:bookmarkStart w:id="11" w:name="_Toc517445175"/>
      <w:r w:rsidRPr="00102B51">
        <w:t>Financial services</w:t>
      </w:r>
      <w:bookmarkEnd w:id="11"/>
    </w:p>
    <w:p w14:paraId="50648A40" w14:textId="77777777" w:rsidR="00D97185" w:rsidRDefault="008A1A04" w:rsidP="00D97185">
      <w:pPr>
        <w:rPr>
          <w:rFonts w:asciiTheme="majorBidi" w:hAnsiTheme="majorBidi" w:cstheme="majorBidi"/>
          <w:szCs w:val="24"/>
        </w:rPr>
      </w:pPr>
      <w:r w:rsidRPr="003651AB">
        <w:rPr>
          <w:rFonts w:asciiTheme="majorBidi" w:hAnsiTheme="majorBidi" w:cstheme="majorBidi"/>
          <w:szCs w:val="24"/>
        </w:rPr>
        <w:t xml:space="preserve">Ministers </w:t>
      </w:r>
      <w:r w:rsidR="00D97185">
        <w:rPr>
          <w:rFonts w:asciiTheme="majorBidi" w:hAnsiTheme="majorBidi" w:cstheme="majorBidi"/>
          <w:szCs w:val="24"/>
        </w:rPr>
        <w:t>took note of</w:t>
      </w:r>
      <w:r w:rsidRPr="003651AB">
        <w:rPr>
          <w:rFonts w:asciiTheme="majorBidi" w:hAnsiTheme="majorBidi" w:cstheme="majorBidi"/>
          <w:szCs w:val="24"/>
        </w:rPr>
        <w:t xml:space="preserve"> work </w:t>
      </w:r>
      <w:r w:rsidR="00D97185">
        <w:rPr>
          <w:rFonts w:asciiTheme="majorBidi" w:hAnsiTheme="majorBidi" w:cstheme="majorBidi"/>
          <w:szCs w:val="24"/>
        </w:rPr>
        <w:t>underway on legislative proposals in the area of financial services.</w:t>
      </w:r>
    </w:p>
    <w:p w14:paraId="4461F083" w14:textId="49266F50" w:rsidR="008A1A04" w:rsidRPr="00D97185" w:rsidRDefault="00E16391" w:rsidP="00102B51">
      <w:pPr>
        <w:rPr>
          <w:rFonts w:asciiTheme="majorBidi" w:hAnsiTheme="majorBidi" w:cstheme="majorBidi"/>
          <w:szCs w:val="24"/>
        </w:rPr>
      </w:pPr>
      <w:hyperlink r:id="rId24" w:history="1">
        <w:r w:rsidR="008A1A04" w:rsidRPr="00102B51">
          <w:rPr>
            <w:rStyle w:val="Hyperlink"/>
            <w:rFonts w:asciiTheme="majorBidi" w:hAnsiTheme="majorBidi" w:cstheme="majorBidi"/>
            <w:szCs w:val="24"/>
          </w:rPr>
          <w:t>June 2018 note on financial services legislative proposals</w:t>
        </w:r>
      </w:hyperlink>
      <w:r w:rsidR="00102B51">
        <w:rPr>
          <w:rFonts w:asciiTheme="majorBidi" w:hAnsiTheme="majorBidi" w:cstheme="majorBidi"/>
          <w:szCs w:val="24"/>
          <w:u w:val="single"/>
        </w:rPr>
        <w:t xml:space="preserve"> </w:t>
      </w:r>
    </w:p>
    <w:p w14:paraId="13B0C14E" w14:textId="569C65DF" w:rsidR="00D97185" w:rsidRPr="00102B51" w:rsidRDefault="008A1A04" w:rsidP="00102B51">
      <w:pPr>
        <w:pStyle w:val="Sub-sub-itemDebated"/>
      </w:pPr>
      <w:bookmarkStart w:id="12" w:name="_Toc517445176"/>
      <w:r w:rsidRPr="00420519">
        <w:t>Insolvency</w:t>
      </w:r>
      <w:bookmarkEnd w:id="12"/>
    </w:p>
    <w:p w14:paraId="149D128C" w14:textId="43CE886E" w:rsidR="00D97185" w:rsidRDefault="008A1A04" w:rsidP="00735E01">
      <w:pPr>
        <w:rPr>
          <w:rFonts w:asciiTheme="majorBidi" w:hAnsiTheme="majorBidi" w:cstheme="majorBidi"/>
          <w:szCs w:val="24"/>
        </w:rPr>
      </w:pPr>
      <w:r w:rsidRPr="003651AB">
        <w:rPr>
          <w:rFonts w:asciiTheme="majorBidi" w:hAnsiTheme="majorBidi" w:cstheme="majorBidi"/>
          <w:szCs w:val="24"/>
        </w:rPr>
        <w:t>Ministers w</w:t>
      </w:r>
      <w:r w:rsidR="00D97185">
        <w:rPr>
          <w:rFonts w:asciiTheme="majorBidi" w:hAnsiTheme="majorBidi" w:cstheme="majorBidi"/>
          <w:szCs w:val="24"/>
        </w:rPr>
        <w:t>er</w:t>
      </w:r>
      <w:r w:rsidRPr="003651AB">
        <w:rPr>
          <w:rFonts w:asciiTheme="majorBidi" w:hAnsiTheme="majorBidi" w:cstheme="majorBidi"/>
          <w:szCs w:val="24"/>
        </w:rPr>
        <w:t xml:space="preserve">e updated </w:t>
      </w:r>
      <w:r w:rsidR="00735E01">
        <w:rPr>
          <w:rFonts w:asciiTheme="majorBidi" w:hAnsiTheme="majorBidi" w:cstheme="majorBidi"/>
          <w:szCs w:val="24"/>
        </w:rPr>
        <w:t>with regard to</w:t>
      </w:r>
      <w:r w:rsidRPr="003651AB">
        <w:rPr>
          <w:rFonts w:asciiTheme="majorBidi" w:hAnsiTheme="majorBidi" w:cstheme="majorBidi"/>
          <w:szCs w:val="24"/>
        </w:rPr>
        <w:t xml:space="preserve"> work within the Justice and Home Affairs Council on a proposal on restructuring and insolvency and restructuring.</w:t>
      </w:r>
    </w:p>
    <w:p w14:paraId="11FB7CF9" w14:textId="77777777" w:rsidR="00A555CA" w:rsidRDefault="00E16391" w:rsidP="00A555CA">
      <w:pPr>
        <w:rPr>
          <w:rStyle w:val="Hyperlink"/>
          <w:rFonts w:asciiTheme="majorBidi" w:hAnsiTheme="majorBidi" w:cstheme="majorBidi"/>
          <w:szCs w:val="24"/>
        </w:rPr>
      </w:pPr>
      <w:hyperlink r:id="rId25" w:tooltip="http://data.consilium.europa.eu/doc/document/ST-14875-2016-INIT/en/pdf" w:history="1">
        <w:r w:rsidR="008A1A04" w:rsidRPr="003651AB">
          <w:rPr>
            <w:rStyle w:val="Hyperlink"/>
            <w:rFonts w:asciiTheme="majorBidi" w:hAnsiTheme="majorBidi" w:cstheme="majorBidi"/>
            <w:szCs w:val="24"/>
          </w:rPr>
          <w:t>2016 proposal for a directive on restructuring and insolvency</w:t>
        </w:r>
      </w:hyperlink>
    </w:p>
    <w:p w14:paraId="7DD48D6C" w14:textId="10CC8AF4" w:rsidR="00113C9C" w:rsidRPr="00A555CA" w:rsidRDefault="00113C9C" w:rsidP="00A555CA">
      <w:pPr>
        <w:pStyle w:val="ItemDebated"/>
        <w:rPr>
          <w:rFonts w:asciiTheme="majorBidi" w:hAnsiTheme="majorBidi" w:cstheme="majorBidi"/>
          <w:szCs w:val="24"/>
        </w:rPr>
      </w:pPr>
      <w:r w:rsidRPr="003651AB">
        <w:br w:type="page"/>
      </w:r>
      <w:bookmarkStart w:id="13" w:name="_Toc517445177"/>
      <w:r w:rsidRPr="003651AB">
        <w:lastRenderedPageBreak/>
        <w:t>MEETINGS IN THE MARGINS OF THE COUNCIL</w:t>
      </w:r>
      <w:bookmarkEnd w:id="13"/>
    </w:p>
    <w:p w14:paraId="177CB8BF" w14:textId="220B2573" w:rsidR="008C476C" w:rsidRPr="008C476C" w:rsidRDefault="008C476C" w:rsidP="00102B51">
      <w:pPr>
        <w:pStyle w:val="Sub-sub-itemDebated"/>
      </w:pPr>
      <w:bookmarkStart w:id="14" w:name="_Toc517445178"/>
      <w:r w:rsidRPr="008C476C">
        <w:t>ESM board of governors</w:t>
      </w:r>
      <w:bookmarkEnd w:id="14"/>
    </w:p>
    <w:p w14:paraId="26C84072" w14:textId="77777777" w:rsidR="008C476C" w:rsidRPr="003651AB" w:rsidRDefault="008C476C" w:rsidP="008C476C">
      <w:pPr>
        <w:rPr>
          <w:rFonts w:asciiTheme="majorBidi" w:hAnsiTheme="majorBidi" w:cstheme="majorBidi"/>
          <w:szCs w:val="24"/>
        </w:rPr>
      </w:pPr>
      <w:r>
        <w:rPr>
          <w:rFonts w:asciiTheme="majorBidi" w:hAnsiTheme="majorBidi" w:cstheme="majorBidi"/>
          <w:szCs w:val="24"/>
        </w:rPr>
        <w:t>T</w:t>
      </w:r>
      <w:r w:rsidRPr="003651AB">
        <w:rPr>
          <w:rFonts w:asciiTheme="majorBidi" w:hAnsiTheme="majorBidi" w:cstheme="majorBidi"/>
          <w:szCs w:val="24"/>
        </w:rPr>
        <w:t xml:space="preserve">he board of governors of the </w:t>
      </w:r>
      <w:r w:rsidRPr="008C476C">
        <w:rPr>
          <w:rFonts w:asciiTheme="majorBidi" w:hAnsiTheme="majorBidi" w:cstheme="majorBidi"/>
          <w:szCs w:val="24"/>
        </w:rPr>
        <w:t>European Stability Mechanism held its</w:t>
      </w:r>
      <w:r w:rsidRPr="003651AB">
        <w:rPr>
          <w:rFonts w:asciiTheme="majorBidi" w:hAnsiTheme="majorBidi" w:cstheme="majorBidi"/>
          <w:szCs w:val="24"/>
        </w:rPr>
        <w:t xml:space="preserve"> annual meeting </w:t>
      </w:r>
      <w:r>
        <w:rPr>
          <w:rFonts w:asciiTheme="majorBidi" w:hAnsiTheme="majorBidi" w:cstheme="majorBidi"/>
          <w:szCs w:val="24"/>
        </w:rPr>
        <w:t>o</w:t>
      </w:r>
      <w:r w:rsidRPr="003651AB">
        <w:rPr>
          <w:rFonts w:asciiTheme="majorBidi" w:hAnsiTheme="majorBidi" w:cstheme="majorBidi"/>
          <w:szCs w:val="24"/>
        </w:rPr>
        <w:t xml:space="preserve">n 21 June </w:t>
      </w:r>
      <w:r>
        <w:rPr>
          <w:rFonts w:asciiTheme="majorBidi" w:hAnsiTheme="majorBidi" w:cstheme="majorBidi"/>
          <w:szCs w:val="24"/>
        </w:rPr>
        <w:t>2018</w:t>
      </w:r>
      <w:r w:rsidRPr="003651AB">
        <w:rPr>
          <w:rFonts w:asciiTheme="majorBidi" w:hAnsiTheme="majorBidi" w:cstheme="majorBidi"/>
          <w:szCs w:val="24"/>
        </w:rPr>
        <w:t>.</w:t>
      </w:r>
    </w:p>
    <w:p w14:paraId="4893F9E0" w14:textId="20A8674C" w:rsidR="008C476C" w:rsidRPr="008C476C" w:rsidRDefault="008C476C" w:rsidP="00102B51">
      <w:pPr>
        <w:pStyle w:val="Sub-sub-itemDebated"/>
      </w:pPr>
      <w:bookmarkStart w:id="15" w:name="_Toc517445179"/>
      <w:r w:rsidRPr="008C476C">
        <w:t>Eurogroup</w:t>
      </w:r>
      <w:bookmarkEnd w:id="15"/>
    </w:p>
    <w:p w14:paraId="76AFEB28" w14:textId="1BB9B04B" w:rsidR="008C476C" w:rsidRDefault="008C476C" w:rsidP="008C476C">
      <w:pPr>
        <w:rPr>
          <w:rFonts w:asciiTheme="majorBidi" w:hAnsiTheme="majorBidi" w:cstheme="majorBidi"/>
          <w:szCs w:val="24"/>
        </w:rPr>
      </w:pPr>
      <w:r>
        <w:rPr>
          <w:rFonts w:asciiTheme="majorBidi" w:hAnsiTheme="majorBidi" w:cstheme="majorBidi"/>
          <w:szCs w:val="24"/>
        </w:rPr>
        <w:t xml:space="preserve">Ministers of the eurozone member states attended a meeting of the Eurogroup </w:t>
      </w:r>
      <w:r w:rsidRPr="003651AB">
        <w:rPr>
          <w:rFonts w:asciiTheme="majorBidi" w:hAnsiTheme="majorBidi" w:cstheme="majorBidi"/>
          <w:szCs w:val="24"/>
        </w:rPr>
        <w:t xml:space="preserve">on </w:t>
      </w:r>
      <w:r>
        <w:rPr>
          <w:rFonts w:asciiTheme="majorBidi" w:hAnsiTheme="majorBidi" w:cstheme="majorBidi"/>
          <w:szCs w:val="24"/>
        </w:rPr>
        <w:t>21 June 2018.</w:t>
      </w:r>
    </w:p>
    <w:p w14:paraId="74E90000" w14:textId="0A1A4A72" w:rsidR="008C476C" w:rsidRPr="003651AB" w:rsidRDefault="008C476C" w:rsidP="00D20D15">
      <w:pPr>
        <w:rPr>
          <w:rFonts w:asciiTheme="majorBidi" w:hAnsiTheme="majorBidi" w:cstheme="majorBidi"/>
          <w:szCs w:val="24"/>
        </w:rPr>
      </w:pPr>
      <w:r>
        <w:rPr>
          <w:rFonts w:asciiTheme="majorBidi" w:hAnsiTheme="majorBidi" w:cstheme="majorBidi"/>
          <w:szCs w:val="24"/>
        </w:rPr>
        <w:t xml:space="preserve">They </w:t>
      </w:r>
      <w:r w:rsidRPr="003651AB">
        <w:rPr>
          <w:rFonts w:asciiTheme="majorBidi" w:hAnsiTheme="majorBidi" w:cstheme="majorBidi"/>
          <w:szCs w:val="24"/>
        </w:rPr>
        <w:t>discuss</w:t>
      </w:r>
      <w:r>
        <w:rPr>
          <w:rFonts w:asciiTheme="majorBidi" w:hAnsiTheme="majorBidi" w:cstheme="majorBidi"/>
          <w:szCs w:val="24"/>
        </w:rPr>
        <w:t>ed</w:t>
      </w:r>
      <w:r w:rsidRPr="003651AB">
        <w:rPr>
          <w:rFonts w:asciiTheme="majorBidi" w:hAnsiTheme="majorBidi" w:cstheme="majorBidi"/>
          <w:szCs w:val="24"/>
        </w:rPr>
        <w:t xml:space="preserve"> </w:t>
      </w:r>
      <w:r w:rsidR="00735E01">
        <w:rPr>
          <w:rFonts w:asciiTheme="majorBidi" w:hAnsiTheme="majorBidi" w:cstheme="majorBidi"/>
          <w:szCs w:val="24"/>
        </w:rPr>
        <w:t xml:space="preserve">the </w:t>
      </w:r>
      <w:r w:rsidRPr="003651AB">
        <w:rPr>
          <w:rFonts w:asciiTheme="majorBidi" w:hAnsiTheme="majorBidi" w:cstheme="majorBidi"/>
          <w:szCs w:val="24"/>
        </w:rPr>
        <w:t xml:space="preserve">completion of Greece's economic adjustment programme, </w:t>
      </w:r>
      <w:r w:rsidR="00D20D15">
        <w:rPr>
          <w:rFonts w:asciiTheme="majorBidi" w:hAnsiTheme="majorBidi" w:cstheme="majorBidi"/>
          <w:szCs w:val="24"/>
        </w:rPr>
        <w:t xml:space="preserve">reaching an agreement on the elements to support the country's exit from the programme in August 2018. They discussed </w:t>
      </w:r>
      <w:r w:rsidRPr="003651AB">
        <w:rPr>
          <w:rFonts w:asciiTheme="majorBidi" w:hAnsiTheme="majorBidi" w:cstheme="majorBidi"/>
          <w:szCs w:val="24"/>
        </w:rPr>
        <w:t xml:space="preserve">post-programme surveillance in Cyprus, the IMF's annual recommendations to the euro area, and Spain's updated draft budgetary plan for 2018. </w:t>
      </w:r>
      <w:r>
        <w:rPr>
          <w:rFonts w:asciiTheme="majorBidi" w:hAnsiTheme="majorBidi" w:cstheme="majorBidi"/>
          <w:szCs w:val="24"/>
        </w:rPr>
        <w:t>The Italian</w:t>
      </w:r>
      <w:r w:rsidRPr="003651AB">
        <w:rPr>
          <w:rFonts w:asciiTheme="majorBidi" w:hAnsiTheme="majorBidi" w:cstheme="majorBidi"/>
          <w:szCs w:val="24"/>
        </w:rPr>
        <w:t xml:space="preserve"> and Spani</w:t>
      </w:r>
      <w:r>
        <w:rPr>
          <w:rFonts w:asciiTheme="majorBidi" w:hAnsiTheme="majorBidi" w:cstheme="majorBidi"/>
          <w:szCs w:val="24"/>
        </w:rPr>
        <w:t>sh ministers</w:t>
      </w:r>
      <w:r w:rsidRPr="003651AB">
        <w:rPr>
          <w:rFonts w:asciiTheme="majorBidi" w:hAnsiTheme="majorBidi" w:cstheme="majorBidi"/>
          <w:szCs w:val="24"/>
        </w:rPr>
        <w:t xml:space="preserve"> present</w:t>
      </w:r>
      <w:r>
        <w:rPr>
          <w:rFonts w:asciiTheme="majorBidi" w:hAnsiTheme="majorBidi" w:cstheme="majorBidi"/>
          <w:szCs w:val="24"/>
        </w:rPr>
        <w:t>ed the</w:t>
      </w:r>
      <w:r w:rsidR="00D20D15">
        <w:rPr>
          <w:rFonts w:asciiTheme="majorBidi" w:hAnsiTheme="majorBidi" w:cstheme="majorBidi"/>
          <w:szCs w:val="24"/>
        </w:rPr>
        <w:t>ir</w:t>
      </w:r>
      <w:r w:rsidRPr="003651AB">
        <w:rPr>
          <w:rFonts w:asciiTheme="majorBidi" w:hAnsiTheme="majorBidi" w:cstheme="majorBidi"/>
          <w:szCs w:val="24"/>
        </w:rPr>
        <w:t xml:space="preserve"> new governments' policy priorities.</w:t>
      </w:r>
    </w:p>
    <w:p w14:paraId="7EA34099" w14:textId="77777777" w:rsidR="008C476C" w:rsidRDefault="008C476C" w:rsidP="008C476C">
      <w:pPr>
        <w:outlineLvl w:val="0"/>
        <w:rPr>
          <w:rFonts w:asciiTheme="majorBidi" w:hAnsiTheme="majorBidi" w:cstheme="majorBidi"/>
          <w:szCs w:val="24"/>
        </w:rPr>
      </w:pPr>
      <w:r w:rsidRPr="003651AB">
        <w:rPr>
          <w:rFonts w:asciiTheme="majorBidi" w:hAnsiTheme="majorBidi" w:cstheme="majorBidi"/>
          <w:szCs w:val="24"/>
        </w:rPr>
        <w:t xml:space="preserve">The Eurogroup </w:t>
      </w:r>
      <w:r>
        <w:rPr>
          <w:rFonts w:asciiTheme="majorBidi" w:hAnsiTheme="majorBidi" w:cstheme="majorBidi"/>
          <w:szCs w:val="24"/>
        </w:rPr>
        <w:t xml:space="preserve">also </w:t>
      </w:r>
      <w:r w:rsidRPr="003651AB">
        <w:rPr>
          <w:rFonts w:asciiTheme="majorBidi" w:hAnsiTheme="majorBidi" w:cstheme="majorBidi"/>
          <w:szCs w:val="24"/>
        </w:rPr>
        <w:t>met</w:t>
      </w:r>
      <w:r>
        <w:rPr>
          <w:rFonts w:asciiTheme="majorBidi" w:hAnsiTheme="majorBidi" w:cstheme="majorBidi"/>
          <w:szCs w:val="24"/>
        </w:rPr>
        <w:t xml:space="preserve"> </w:t>
      </w:r>
      <w:r w:rsidRPr="003651AB">
        <w:rPr>
          <w:rFonts w:asciiTheme="majorBidi" w:hAnsiTheme="majorBidi" w:cstheme="majorBidi"/>
          <w:szCs w:val="24"/>
        </w:rPr>
        <w:t>in an ext</w:t>
      </w:r>
      <w:r>
        <w:rPr>
          <w:rFonts w:asciiTheme="majorBidi" w:hAnsiTheme="majorBidi" w:cstheme="majorBidi"/>
          <w:szCs w:val="24"/>
        </w:rPr>
        <w:t>ended format (27 member states)</w:t>
      </w:r>
      <w:r w:rsidRPr="003651AB">
        <w:rPr>
          <w:rFonts w:asciiTheme="majorBidi" w:hAnsiTheme="majorBidi" w:cstheme="majorBidi"/>
          <w:szCs w:val="24"/>
        </w:rPr>
        <w:t xml:space="preserve"> to prepare for the Euro Summit on 29 June 2018.</w:t>
      </w:r>
    </w:p>
    <w:p w14:paraId="29B1FD0F" w14:textId="52921902" w:rsidR="008C476C" w:rsidRPr="003651AB" w:rsidRDefault="008C476C" w:rsidP="008C476C">
      <w:pPr>
        <w:outlineLvl w:val="0"/>
        <w:rPr>
          <w:rFonts w:asciiTheme="majorBidi" w:hAnsiTheme="majorBidi" w:cstheme="majorBidi"/>
          <w:szCs w:val="24"/>
        </w:rPr>
      </w:pPr>
      <w:r>
        <w:rPr>
          <w:rFonts w:asciiTheme="majorBidi" w:hAnsiTheme="majorBidi" w:cstheme="majorBidi"/>
          <w:szCs w:val="24"/>
        </w:rPr>
        <w:t xml:space="preserve">It discussed </w:t>
      </w:r>
      <w:r w:rsidRPr="003651AB">
        <w:rPr>
          <w:rFonts w:asciiTheme="majorBidi" w:hAnsiTheme="majorBidi" w:cstheme="majorBidi"/>
          <w:szCs w:val="24"/>
        </w:rPr>
        <w:t>the further development of the EU's economic and monetary union.</w:t>
      </w:r>
    </w:p>
    <w:p w14:paraId="2C45E212" w14:textId="45C3ABC9" w:rsidR="008C476C" w:rsidRPr="003651AB" w:rsidRDefault="00E16391" w:rsidP="008C476C">
      <w:pPr>
        <w:rPr>
          <w:rFonts w:asciiTheme="majorBidi" w:hAnsiTheme="majorBidi" w:cstheme="majorBidi"/>
          <w:szCs w:val="24"/>
        </w:rPr>
      </w:pPr>
      <w:hyperlink r:id="rId26" w:history="1">
        <w:r w:rsidR="008C476C" w:rsidRPr="003651AB">
          <w:rPr>
            <w:rStyle w:val="Hyperlink"/>
            <w:rFonts w:asciiTheme="majorBidi" w:hAnsiTheme="majorBidi" w:cstheme="majorBidi"/>
            <w:szCs w:val="24"/>
          </w:rPr>
          <w:t xml:space="preserve">Eurogroup </w:t>
        </w:r>
        <w:r w:rsidR="008C476C">
          <w:rPr>
            <w:rStyle w:val="Hyperlink"/>
            <w:rFonts w:asciiTheme="majorBidi" w:hAnsiTheme="majorBidi" w:cstheme="majorBidi"/>
            <w:szCs w:val="24"/>
          </w:rPr>
          <w:t>m</w:t>
        </w:r>
        <w:r w:rsidR="008C476C" w:rsidRPr="003651AB">
          <w:rPr>
            <w:rStyle w:val="Hyperlink"/>
            <w:rFonts w:asciiTheme="majorBidi" w:hAnsiTheme="majorBidi" w:cstheme="majorBidi"/>
            <w:szCs w:val="24"/>
          </w:rPr>
          <w:t>ai</w:t>
        </w:r>
        <w:r w:rsidR="008C476C">
          <w:rPr>
            <w:rStyle w:val="Hyperlink"/>
            <w:rFonts w:asciiTheme="majorBidi" w:hAnsiTheme="majorBidi" w:cstheme="majorBidi"/>
            <w:szCs w:val="24"/>
          </w:rPr>
          <w:t>n resu</w:t>
        </w:r>
        <w:r w:rsidR="008C476C" w:rsidRPr="003651AB">
          <w:rPr>
            <w:rStyle w:val="Hyperlink"/>
            <w:rFonts w:asciiTheme="majorBidi" w:hAnsiTheme="majorBidi" w:cstheme="majorBidi"/>
            <w:szCs w:val="24"/>
          </w:rPr>
          <w:t>lts</w:t>
        </w:r>
      </w:hyperlink>
    </w:p>
    <w:p w14:paraId="396E1C10" w14:textId="778FA320" w:rsidR="008C476C" w:rsidRPr="00160675" w:rsidRDefault="008C476C" w:rsidP="00102B51">
      <w:pPr>
        <w:pStyle w:val="Sub-sub-itemDebated"/>
      </w:pPr>
      <w:bookmarkStart w:id="16" w:name="_Toc517445180"/>
      <w:r w:rsidRPr="00160675">
        <w:t>EIB board of governors</w:t>
      </w:r>
      <w:bookmarkEnd w:id="16"/>
    </w:p>
    <w:p w14:paraId="5C524C2F" w14:textId="084A48CF" w:rsidR="008A1A04" w:rsidRPr="003651AB" w:rsidRDefault="008A1A04" w:rsidP="008C476C">
      <w:pPr>
        <w:rPr>
          <w:rFonts w:asciiTheme="majorBidi" w:hAnsiTheme="majorBidi" w:cstheme="majorBidi"/>
          <w:iCs/>
          <w:szCs w:val="24"/>
        </w:rPr>
      </w:pPr>
      <w:r w:rsidRPr="003651AB">
        <w:rPr>
          <w:rFonts w:asciiTheme="majorBidi" w:hAnsiTheme="majorBidi" w:cstheme="majorBidi"/>
          <w:iCs/>
          <w:szCs w:val="24"/>
        </w:rPr>
        <w:t xml:space="preserve">Ministers met in their capacity as governors of the </w:t>
      </w:r>
      <w:r w:rsidRPr="008C476C">
        <w:rPr>
          <w:rFonts w:asciiTheme="majorBidi" w:hAnsiTheme="majorBidi" w:cstheme="majorBidi"/>
          <w:iCs/>
          <w:szCs w:val="24"/>
        </w:rPr>
        <w:t>European Investment Bank</w:t>
      </w:r>
      <w:r w:rsidRPr="003651AB">
        <w:rPr>
          <w:rFonts w:asciiTheme="majorBidi" w:hAnsiTheme="majorBidi" w:cstheme="majorBidi"/>
          <w:iCs/>
          <w:szCs w:val="24"/>
        </w:rPr>
        <w:t xml:space="preserve"> for the EIB's annual </w:t>
      </w:r>
      <w:r w:rsidR="008039C5">
        <w:rPr>
          <w:rFonts w:asciiTheme="majorBidi" w:hAnsiTheme="majorBidi" w:cstheme="majorBidi"/>
          <w:iCs/>
          <w:szCs w:val="24"/>
        </w:rPr>
        <w:t>board of governors</w:t>
      </w:r>
      <w:r w:rsidRPr="003651AB">
        <w:rPr>
          <w:rFonts w:asciiTheme="majorBidi" w:hAnsiTheme="majorBidi" w:cstheme="majorBidi"/>
          <w:iCs/>
          <w:szCs w:val="24"/>
        </w:rPr>
        <w:t xml:space="preserve"> meeting.</w:t>
      </w:r>
    </w:p>
    <w:p w14:paraId="52431485" w14:textId="5C71FEA1" w:rsidR="008039C5" w:rsidRPr="00160675" w:rsidRDefault="008039C5" w:rsidP="00102B51">
      <w:pPr>
        <w:pStyle w:val="Sub-sub-itemDebated"/>
      </w:pPr>
      <w:bookmarkStart w:id="17" w:name="_Toc517445181"/>
      <w:r w:rsidRPr="00160675">
        <w:t>Ministerial breakfast</w:t>
      </w:r>
      <w:bookmarkEnd w:id="17"/>
    </w:p>
    <w:p w14:paraId="5C418901" w14:textId="50FA0240" w:rsidR="008A1A04" w:rsidRPr="003651AB" w:rsidRDefault="008039C5" w:rsidP="008039C5">
      <w:pPr>
        <w:rPr>
          <w:rFonts w:asciiTheme="majorBidi" w:hAnsiTheme="majorBidi" w:cstheme="majorBidi"/>
          <w:iCs/>
          <w:szCs w:val="24"/>
        </w:rPr>
      </w:pPr>
      <w:r w:rsidRPr="003651AB">
        <w:rPr>
          <w:rFonts w:asciiTheme="majorBidi" w:hAnsiTheme="majorBidi" w:cstheme="majorBidi"/>
          <w:iCs/>
          <w:szCs w:val="24"/>
        </w:rPr>
        <w:t xml:space="preserve">Ministers </w:t>
      </w:r>
      <w:r w:rsidR="008A1A04" w:rsidRPr="003651AB">
        <w:rPr>
          <w:rFonts w:asciiTheme="majorBidi" w:hAnsiTheme="majorBidi" w:cstheme="majorBidi"/>
          <w:iCs/>
          <w:szCs w:val="24"/>
        </w:rPr>
        <w:t>h</w:t>
      </w:r>
      <w:r>
        <w:rPr>
          <w:rFonts w:asciiTheme="majorBidi" w:hAnsiTheme="majorBidi" w:cstheme="majorBidi"/>
          <w:iCs/>
          <w:szCs w:val="24"/>
        </w:rPr>
        <w:t>e</w:t>
      </w:r>
      <w:r w:rsidR="008A1A04" w:rsidRPr="003651AB">
        <w:rPr>
          <w:rFonts w:asciiTheme="majorBidi" w:hAnsiTheme="majorBidi" w:cstheme="majorBidi"/>
          <w:iCs/>
          <w:szCs w:val="24"/>
        </w:rPr>
        <w:t>ld a breakfast meeting</w:t>
      </w:r>
      <w:r>
        <w:rPr>
          <w:rFonts w:asciiTheme="majorBidi" w:hAnsiTheme="majorBidi" w:cstheme="majorBidi"/>
          <w:iCs/>
          <w:szCs w:val="24"/>
        </w:rPr>
        <w:t xml:space="preserve"> </w:t>
      </w:r>
      <w:r w:rsidR="008A1A04" w:rsidRPr="003651AB">
        <w:rPr>
          <w:rFonts w:asciiTheme="majorBidi" w:hAnsiTheme="majorBidi" w:cstheme="majorBidi"/>
          <w:iCs/>
          <w:szCs w:val="24"/>
        </w:rPr>
        <w:t xml:space="preserve">to discuss the </w:t>
      </w:r>
      <w:r w:rsidR="008A1A04" w:rsidRPr="008039C5">
        <w:rPr>
          <w:rFonts w:asciiTheme="majorBidi" w:hAnsiTheme="majorBidi" w:cstheme="majorBidi"/>
          <w:bCs/>
          <w:iCs/>
          <w:szCs w:val="24"/>
        </w:rPr>
        <w:t>economic situation</w:t>
      </w:r>
      <w:r w:rsidR="008A1A04" w:rsidRPr="003651AB">
        <w:rPr>
          <w:rFonts w:asciiTheme="majorBidi" w:hAnsiTheme="majorBidi" w:cstheme="majorBidi"/>
          <w:iCs/>
          <w:szCs w:val="24"/>
        </w:rPr>
        <w:t xml:space="preserve">. They </w:t>
      </w:r>
      <w:r>
        <w:rPr>
          <w:rFonts w:asciiTheme="majorBidi" w:hAnsiTheme="majorBidi" w:cstheme="majorBidi"/>
          <w:iCs/>
          <w:szCs w:val="24"/>
        </w:rPr>
        <w:t xml:space="preserve">also </w:t>
      </w:r>
      <w:r w:rsidR="008A1A04" w:rsidRPr="003651AB">
        <w:rPr>
          <w:rFonts w:asciiTheme="majorBidi" w:hAnsiTheme="majorBidi" w:cstheme="majorBidi"/>
          <w:iCs/>
          <w:szCs w:val="24"/>
        </w:rPr>
        <w:t>discuss</w:t>
      </w:r>
      <w:r>
        <w:rPr>
          <w:rFonts w:asciiTheme="majorBidi" w:hAnsiTheme="majorBidi" w:cstheme="majorBidi"/>
          <w:iCs/>
          <w:szCs w:val="24"/>
        </w:rPr>
        <w:t>ed</w:t>
      </w:r>
      <w:r w:rsidR="008A1A04" w:rsidRPr="003651AB">
        <w:rPr>
          <w:rFonts w:asciiTheme="majorBidi" w:hAnsiTheme="majorBidi" w:cstheme="majorBidi"/>
          <w:iCs/>
          <w:szCs w:val="24"/>
        </w:rPr>
        <w:t xml:space="preserve"> the EU's </w:t>
      </w:r>
      <w:r w:rsidR="008A1A04" w:rsidRPr="008039C5">
        <w:rPr>
          <w:rFonts w:asciiTheme="majorBidi" w:hAnsiTheme="majorBidi" w:cstheme="majorBidi"/>
          <w:iCs/>
          <w:szCs w:val="24"/>
        </w:rPr>
        <w:t>multiannual financial framework</w:t>
      </w:r>
      <w:r w:rsidR="008A1A04" w:rsidRPr="003651AB">
        <w:rPr>
          <w:rFonts w:asciiTheme="majorBidi" w:hAnsiTheme="majorBidi" w:cstheme="majorBidi"/>
          <w:iCs/>
          <w:szCs w:val="24"/>
        </w:rPr>
        <w:t xml:space="preserve"> for the 2021-27 period, and </w:t>
      </w:r>
      <w:r>
        <w:rPr>
          <w:rFonts w:asciiTheme="majorBidi" w:hAnsiTheme="majorBidi" w:cstheme="majorBidi"/>
          <w:iCs/>
          <w:szCs w:val="24"/>
        </w:rPr>
        <w:t>t</w:t>
      </w:r>
      <w:r>
        <w:rPr>
          <w:rFonts w:asciiTheme="majorBidi" w:hAnsiTheme="majorBidi" w:cstheme="majorBidi"/>
          <w:szCs w:val="24"/>
        </w:rPr>
        <w:t>he French</w:t>
      </w:r>
      <w:r w:rsidRPr="003651AB">
        <w:rPr>
          <w:rFonts w:asciiTheme="majorBidi" w:hAnsiTheme="majorBidi" w:cstheme="majorBidi"/>
          <w:szCs w:val="24"/>
        </w:rPr>
        <w:t xml:space="preserve"> and </w:t>
      </w:r>
      <w:r>
        <w:rPr>
          <w:rFonts w:asciiTheme="majorBidi" w:hAnsiTheme="majorBidi" w:cstheme="majorBidi"/>
          <w:szCs w:val="24"/>
        </w:rPr>
        <w:t>German ministers</w:t>
      </w:r>
      <w:r w:rsidRPr="003651AB">
        <w:rPr>
          <w:rFonts w:asciiTheme="majorBidi" w:hAnsiTheme="majorBidi" w:cstheme="majorBidi"/>
          <w:szCs w:val="24"/>
        </w:rPr>
        <w:t xml:space="preserve"> </w:t>
      </w:r>
      <w:r>
        <w:rPr>
          <w:rFonts w:asciiTheme="majorBidi" w:hAnsiTheme="majorBidi" w:cstheme="majorBidi"/>
          <w:iCs/>
          <w:szCs w:val="24"/>
        </w:rPr>
        <w:t>reported on</w:t>
      </w:r>
      <w:r w:rsidR="008A1A04" w:rsidRPr="003651AB">
        <w:rPr>
          <w:rFonts w:asciiTheme="majorBidi" w:hAnsiTheme="majorBidi" w:cstheme="majorBidi"/>
          <w:iCs/>
          <w:szCs w:val="24"/>
        </w:rPr>
        <w:t xml:space="preserve"> the Franco-German summit at Meseberg on 19 June</w:t>
      </w:r>
      <w:r>
        <w:rPr>
          <w:rFonts w:asciiTheme="majorBidi" w:hAnsiTheme="majorBidi" w:cstheme="majorBidi"/>
          <w:iCs/>
          <w:szCs w:val="24"/>
        </w:rPr>
        <w:t xml:space="preserve"> 2018</w:t>
      </w:r>
      <w:r w:rsidR="008A1A04" w:rsidRPr="003651AB">
        <w:rPr>
          <w:rFonts w:asciiTheme="majorBidi" w:hAnsiTheme="majorBidi" w:cstheme="majorBidi"/>
          <w:iCs/>
          <w:szCs w:val="24"/>
        </w:rPr>
        <w:t>.</w:t>
      </w:r>
    </w:p>
    <w:p w14:paraId="54C89E5F" w14:textId="77777777" w:rsidR="003C5A34" w:rsidRPr="003651AB" w:rsidRDefault="003C5A34" w:rsidP="003651AB">
      <w:pPr>
        <w:rPr>
          <w:rFonts w:asciiTheme="majorBidi" w:hAnsiTheme="majorBidi" w:cstheme="majorBidi"/>
          <w:szCs w:val="24"/>
        </w:rPr>
      </w:pPr>
    </w:p>
    <w:p w14:paraId="2F70977A" w14:textId="77777777" w:rsidR="003C5A34" w:rsidRPr="003651AB" w:rsidRDefault="003C5A34" w:rsidP="003651AB">
      <w:pPr>
        <w:rPr>
          <w:rFonts w:asciiTheme="majorBidi" w:hAnsiTheme="majorBidi" w:cstheme="majorBidi"/>
          <w:szCs w:val="24"/>
        </w:rPr>
        <w:sectPr w:rsidR="003C5A34" w:rsidRPr="003651AB" w:rsidSect="00643D80">
          <w:footnotePr>
            <w:numRestart w:val="eachPage"/>
          </w:footnotePr>
          <w:pgSz w:w="11907" w:h="16839"/>
          <w:pgMar w:top="1134" w:right="1134" w:bottom="1134" w:left="1134" w:header="567" w:footer="567" w:gutter="0"/>
          <w:cols w:space="720"/>
          <w:docGrid w:linePitch="360"/>
        </w:sectPr>
      </w:pPr>
    </w:p>
    <w:p w14:paraId="0D6FEB8E" w14:textId="77777777" w:rsidR="003C5A34" w:rsidRPr="003651AB" w:rsidRDefault="003C5A34" w:rsidP="003651AB">
      <w:pPr>
        <w:pStyle w:val="ItemsApprovedHeading"/>
        <w:spacing w:before="120"/>
        <w:rPr>
          <w:rFonts w:asciiTheme="majorBidi" w:hAnsiTheme="majorBidi" w:cstheme="majorBidi"/>
          <w:szCs w:val="24"/>
        </w:rPr>
      </w:pPr>
      <w:r w:rsidRPr="003651AB">
        <w:rPr>
          <w:rFonts w:asciiTheme="majorBidi" w:hAnsiTheme="majorBidi" w:cstheme="majorBidi"/>
          <w:szCs w:val="24"/>
        </w:rPr>
        <w:lastRenderedPageBreak/>
        <w:t>OTHER ITEMS APPROVED</w:t>
      </w:r>
    </w:p>
    <w:p w14:paraId="19AC5DF6" w14:textId="5C33F657" w:rsidR="000E7BA2" w:rsidRDefault="000E7BA2" w:rsidP="003D1FAB">
      <w:pPr>
        <w:pStyle w:val="ItemApproved"/>
        <w:spacing w:before="120"/>
        <w:rPr>
          <w:rFonts w:asciiTheme="majorBidi" w:hAnsiTheme="majorBidi" w:cstheme="majorBidi"/>
          <w:szCs w:val="24"/>
        </w:rPr>
      </w:pPr>
      <w:r w:rsidRPr="003651AB">
        <w:rPr>
          <w:rFonts w:asciiTheme="majorBidi" w:hAnsiTheme="majorBidi" w:cstheme="majorBidi"/>
          <w:szCs w:val="24"/>
        </w:rPr>
        <w:t>ECONOMIC AND FINANCIAL AFFAIRS</w:t>
      </w:r>
    </w:p>
    <w:p w14:paraId="72E0F0C0" w14:textId="77777777" w:rsidR="003D1FAB" w:rsidRDefault="003D1FAB" w:rsidP="003D1FAB">
      <w:pPr>
        <w:pStyle w:val="Sub-itemApproved"/>
        <w:spacing w:before="120"/>
      </w:pPr>
      <w:bookmarkStart w:id="18" w:name="_Toc517445183"/>
      <w:r>
        <w:t>VAT fraud – Administrative cooperation</w:t>
      </w:r>
      <w:bookmarkEnd w:id="18"/>
    </w:p>
    <w:p w14:paraId="3A80F055" w14:textId="77777777" w:rsidR="003D1FAB" w:rsidRDefault="003D1FAB" w:rsidP="003D1FAB">
      <w:r>
        <w:t>The Council agreed on measures to strengthen administrative cooperation in order to improve the prevention of VAT fraud.</w:t>
      </w:r>
    </w:p>
    <w:p w14:paraId="7F90CD02" w14:textId="77777777" w:rsidR="003D1FAB" w:rsidRDefault="003D1FAB" w:rsidP="003D1FAB">
      <w:r>
        <w:t>The proposed regulation addresses the most widespread forms of cross-border fraud.</w:t>
      </w:r>
    </w:p>
    <w:p w14:paraId="7115C7A6" w14:textId="77777777" w:rsidR="003D1FAB" w:rsidRDefault="003D1FAB" w:rsidP="003D1FAB">
      <w:r>
        <w:t>Amending regulation 904/2010, it sets out to:</w:t>
      </w:r>
    </w:p>
    <w:p w14:paraId="6B992A4E" w14:textId="77777777" w:rsidR="003D1FAB" w:rsidRDefault="003D1FAB" w:rsidP="003D1FAB">
      <w:pPr>
        <w:pStyle w:val="Tiret0"/>
      </w:pPr>
      <w:r>
        <w:t>improve the exchange and analysis of information shared by the member states’ tax administrations and with law enforcement bodies;</w:t>
      </w:r>
    </w:p>
    <w:p w14:paraId="6DF8EE0A" w14:textId="180B7598" w:rsidR="003D1FAB" w:rsidRDefault="003D1FAB" w:rsidP="002C5697">
      <w:pPr>
        <w:pStyle w:val="Tiret0"/>
      </w:pPr>
      <w:r>
        <w:t>strengthen Eurofisc, a network of national tax officials for the excha</w:t>
      </w:r>
      <w:r w:rsidR="002C5697">
        <w:t>nge of information on VAT fraud</w:t>
      </w:r>
      <w:r>
        <w:t>;</w:t>
      </w:r>
    </w:p>
    <w:p w14:paraId="01D0F1A5" w14:textId="77777777" w:rsidR="003D1FAB" w:rsidRDefault="003D1FAB" w:rsidP="003D1FAB">
      <w:r>
        <w:t>It also introduces new instruments for cooperation such as administrative enquiries carried out jointly.</w:t>
      </w:r>
    </w:p>
    <w:p w14:paraId="47D2EBBB" w14:textId="6D162629" w:rsidR="003D1FAB" w:rsidRPr="00A00A53" w:rsidRDefault="00E16391" w:rsidP="003D1FAB">
      <w:pPr>
        <w:rPr>
          <w:u w:val="single"/>
        </w:rPr>
      </w:pPr>
      <w:hyperlink r:id="rId27" w:history="1">
        <w:r w:rsidR="003D1FAB" w:rsidRPr="00184C69">
          <w:rPr>
            <w:rStyle w:val="Hyperlink"/>
          </w:rPr>
          <w:t>Press release on 2018 Council agreement on VAT administrative cooperation</w:t>
        </w:r>
      </w:hyperlink>
    </w:p>
    <w:p w14:paraId="1AFD28A6" w14:textId="77777777" w:rsidR="003D1FAB" w:rsidRDefault="003D1FAB" w:rsidP="003D1FAB">
      <w:pPr>
        <w:pStyle w:val="Sub-itemApproved"/>
        <w:spacing w:before="120"/>
      </w:pPr>
      <w:bookmarkStart w:id="19" w:name="_Toc517445184"/>
      <w:r>
        <w:t>VAT minimum standard rate</w:t>
      </w:r>
      <w:bookmarkEnd w:id="19"/>
    </w:p>
    <w:p w14:paraId="7D0D34CE" w14:textId="77777777" w:rsidR="003D1FAB" w:rsidRDefault="003D1FAB" w:rsidP="003D1FAB">
      <w:r>
        <w:t>The Council adopted a directive making permanent the 15% minimum standard VAT rate currently in force.</w:t>
      </w:r>
    </w:p>
    <w:p w14:paraId="7EAFAE21" w14:textId="61A8D2E6" w:rsidR="003D1FAB" w:rsidRDefault="003D1FAB" w:rsidP="002C5697">
      <w:r>
        <w:t xml:space="preserve">The minimum standard rate prevents excessive divergence in VAT rates in the member states. </w:t>
      </w:r>
      <w:r w:rsidR="002C5697">
        <w:t>This eliminates the risk of d</w:t>
      </w:r>
      <w:r>
        <w:t xml:space="preserve">istortions of competition </w:t>
      </w:r>
      <w:r w:rsidR="002C5697">
        <w:t>through lower VAT rates that would have an impact o</w:t>
      </w:r>
      <w:r>
        <w:t>n cross-border shopping and trade.</w:t>
      </w:r>
    </w:p>
    <w:p w14:paraId="34B82C63" w14:textId="630DC379" w:rsidR="003D1FAB" w:rsidRDefault="003D1FAB" w:rsidP="00735E01">
      <w:r>
        <w:t xml:space="preserve">A 15% minimum standard rate has been maintained on a provisional basis since VAT rules for the EU single market were first applied in 1993. It was last </w:t>
      </w:r>
      <w:r w:rsidR="00735E01">
        <w:t>extend</w:t>
      </w:r>
      <w:r>
        <w:t>ed in May 2016 for two years, expiring on 31 December 2017.</w:t>
      </w:r>
    </w:p>
    <w:p w14:paraId="25BDCFA0" w14:textId="77777777" w:rsidR="002C5697" w:rsidRPr="003D1FAB" w:rsidRDefault="002C5697" w:rsidP="002C5697">
      <w:pPr>
        <w:rPr>
          <w:u w:val="single"/>
        </w:rPr>
      </w:pPr>
      <w:r>
        <w:t>Proposals aimed at replacing the current transitional VAT arrangements by a definitive VAT system and reforming VAT rates are meanwhile under discussion. The Commission issued proposals in January and May 2018.</w:t>
      </w:r>
    </w:p>
    <w:p w14:paraId="7DD2E3BF" w14:textId="77777777" w:rsidR="002C5697" w:rsidRDefault="00E16391" w:rsidP="002C5697">
      <w:pPr>
        <w:rPr>
          <w:rStyle w:val="Hyperlink"/>
        </w:rPr>
      </w:pPr>
      <w:hyperlink r:id="rId28" w:history="1">
        <w:r w:rsidR="002C5697">
          <w:rPr>
            <w:rStyle w:val="Hyperlink"/>
          </w:rPr>
          <w:t>April 2018 draft directive on the minimum standard VAT rate</w:t>
        </w:r>
      </w:hyperlink>
    </w:p>
    <w:p w14:paraId="12AC31E0" w14:textId="583C17DF" w:rsidR="003D1FAB" w:rsidRPr="003D1FAB" w:rsidRDefault="00B42900" w:rsidP="003D1FAB">
      <w:pPr>
        <w:pStyle w:val="Sub-itemApproved"/>
        <w:spacing w:before="120"/>
      </w:pPr>
      <w:r>
        <w:br w:type="page"/>
      </w:r>
      <w:bookmarkStart w:id="20" w:name="_Toc517445185"/>
      <w:r w:rsidR="003D1FAB" w:rsidRPr="003D1FAB">
        <w:lastRenderedPageBreak/>
        <w:t>Code of conduct on business taxation</w:t>
      </w:r>
      <w:bookmarkEnd w:id="20"/>
    </w:p>
    <w:p w14:paraId="73022614" w14:textId="11AE19B2" w:rsidR="003D1FAB" w:rsidRDefault="003D1FAB" w:rsidP="003D1FAB">
      <w:pPr>
        <w:ind w:left="709" w:hanging="709"/>
      </w:pPr>
      <w:r>
        <w:t>The Council adopted the following conclusions:</w:t>
      </w:r>
    </w:p>
    <w:p w14:paraId="367C05F6" w14:textId="77777777" w:rsidR="00281118" w:rsidRDefault="00281118" w:rsidP="00281118">
      <w:pPr>
        <w:ind w:left="709" w:hanging="709"/>
      </w:pPr>
      <w:r>
        <w:t>"With regard to the Code of Conduct (Business Taxation), the Council:</w:t>
      </w:r>
    </w:p>
    <w:p w14:paraId="5113571F" w14:textId="57BDBEDD" w:rsidR="00281118" w:rsidRDefault="00281118" w:rsidP="00281118">
      <w:pPr>
        <w:pStyle w:val="ManualNumPar1"/>
      </w:pPr>
      <w:r>
        <w:t>1.</w:t>
      </w:r>
      <w:r>
        <w:tab/>
        <w:t xml:space="preserve">WELCOMES the progress achieved by the Code of Conduct Group during the Bulgarian Presidency as set out in its report (doc. </w:t>
      </w:r>
      <w:hyperlink r:id="rId29" w:history="1">
        <w:r w:rsidRPr="00963306">
          <w:rPr>
            <w:rStyle w:val="Hyperlink"/>
          </w:rPr>
          <w:t>9637/18</w:t>
        </w:r>
      </w:hyperlink>
      <w:r>
        <w:t>), in particular with regard to the monitoring of commitments taken by jurisdictions in the context of the EU listing exercise;</w:t>
      </w:r>
    </w:p>
    <w:p w14:paraId="6539AEC4" w14:textId="6794EA99" w:rsidR="00281118" w:rsidRDefault="00281118" w:rsidP="00281118">
      <w:pPr>
        <w:ind w:left="709" w:hanging="709"/>
      </w:pPr>
      <w:r>
        <w:t>2.</w:t>
      </w:r>
      <w:r>
        <w:tab/>
        <w:t>ENDORSES the new multiannual work package set out in annex to the progress report by the Group;</w:t>
      </w:r>
    </w:p>
    <w:p w14:paraId="1FC308DC" w14:textId="0FCD2255" w:rsidR="00281118" w:rsidRDefault="00281118" w:rsidP="00281118">
      <w:pPr>
        <w:ind w:left="709" w:hanging="709"/>
      </w:pPr>
      <w:r>
        <w:t>3.</w:t>
      </w:r>
      <w:r>
        <w:tab/>
        <w:t>ASKS the Group to continue monitoring standstill and the implementation of the rollback, including with regard to jurisdictions screened in 2017;</w:t>
      </w:r>
    </w:p>
    <w:p w14:paraId="3551CD80" w14:textId="77777777" w:rsidR="00281118" w:rsidRDefault="00281118" w:rsidP="00281118">
      <w:pPr>
        <w:ind w:left="709" w:hanging="709"/>
      </w:pPr>
      <w:r>
        <w:t>4.</w:t>
      </w:r>
      <w:r>
        <w:tab/>
        <w:t xml:space="preserve">NOTES WITH SATISFACTION the various initiatives undertaken by the Group since the beginning of the year to increase the visibility of its work and further transparency; </w:t>
      </w:r>
    </w:p>
    <w:p w14:paraId="2893F93F" w14:textId="274E76CE" w:rsidR="00281118" w:rsidRDefault="00281118" w:rsidP="00281118">
      <w:pPr>
        <w:ind w:left="709" w:hanging="709"/>
      </w:pPr>
      <w:r>
        <w:t>5.</w:t>
      </w:r>
      <w:r>
        <w:tab/>
        <w:t xml:space="preserve">WELCOMES in particular the publication of a compilation of the guidance agreed by the Group (doc. </w:t>
      </w:r>
      <w:hyperlink r:id="rId30" w:tooltip="http://data.consilium.europa.eu/doc/document/ST-5814-2018-REV-1/en/pdf" w:history="1">
        <w:r w:rsidR="00963306">
          <w:rPr>
            <w:rStyle w:val="Hyperlink"/>
          </w:rPr>
          <w:t>5814/1/18 REV 1</w:t>
        </w:r>
      </w:hyperlink>
      <w:r>
        <w:t xml:space="preserve">) and of an overview of the preferential tax regimes it has examined since its creation in March 1998 (doc. </w:t>
      </w:r>
      <w:hyperlink r:id="rId31" w:tooltip="http://data.consilium.europa.eu/doc/document/ST-9639-2018-INIT/en/pdf" w:history="1">
        <w:r w:rsidR="00963306">
          <w:rPr>
            <w:rStyle w:val="Hyperlink"/>
          </w:rPr>
          <w:t>9639/18</w:t>
        </w:r>
      </w:hyperlink>
      <w:r>
        <w:t xml:space="preserve">), as well as the publication of compilations of all the letters seeking commitments by jurisdictions (doc. </w:t>
      </w:r>
      <w:hyperlink r:id="rId32" w:tooltip="http://data.consilium.europa.eu/doc/document/ST-6671-2018-INIT/en/pdf" w:history="1">
        <w:r w:rsidR="00963306">
          <w:rPr>
            <w:rStyle w:val="Hyperlink"/>
          </w:rPr>
          <w:t>6671/18</w:t>
        </w:r>
      </w:hyperlink>
      <w:r>
        <w:t xml:space="preserve">) and the commitment letters received in return on which consent was given by the jurisdiction concerned (doc. </w:t>
      </w:r>
      <w:hyperlink r:id="rId33" w:tooltip="http://data.consilium.europa.eu/doc/document/ST-6972-2018-INIT/en/pdf" w:history="1">
        <w:r w:rsidR="00963306">
          <w:rPr>
            <w:rStyle w:val="Hyperlink"/>
          </w:rPr>
          <w:t>6972/18</w:t>
        </w:r>
      </w:hyperlink>
      <w:r>
        <w:t>);</w:t>
      </w:r>
    </w:p>
    <w:p w14:paraId="47534722" w14:textId="245735E2" w:rsidR="00281118" w:rsidRDefault="00281118" w:rsidP="00281118">
      <w:pPr>
        <w:ind w:left="709" w:hanging="709"/>
      </w:pPr>
      <w:r>
        <w:t>6.</w:t>
      </w:r>
      <w:r>
        <w:tab/>
        <w:t xml:space="preserve">Equally WELCOMES the progress achieved with regard to the monitoring of the implementation of agreed guidance, including the priority list agreed by the Group </w:t>
      </w:r>
      <w:r w:rsidR="00963306">
        <w:br/>
      </w:r>
      <w:r>
        <w:t xml:space="preserve">(doc. </w:t>
      </w:r>
      <w:hyperlink r:id="rId34" w:tooltip="http://data.consilium.europa.eu/doc/document/ST-6603-2018-INIT/en/pdf" w:history="1">
        <w:r w:rsidR="00963306">
          <w:rPr>
            <w:rStyle w:val="Hyperlink"/>
          </w:rPr>
          <w:t>6603/18</w:t>
        </w:r>
      </w:hyperlink>
      <w:r>
        <w:t>);</w:t>
      </w:r>
    </w:p>
    <w:p w14:paraId="52B885D4" w14:textId="77777777" w:rsidR="00281118" w:rsidRDefault="00281118" w:rsidP="00281118">
      <w:pPr>
        <w:ind w:left="709" w:hanging="709"/>
      </w:pPr>
      <w:r>
        <w:t>7.</w:t>
      </w:r>
      <w:r>
        <w:tab/>
        <w:t xml:space="preserve">INVITES the Group to continue exploring possible defensive measures that could be applied to non-cooperative jurisdictions in a coordinated manner, without prejudice to Member States' obligations under EU and international law; </w:t>
      </w:r>
    </w:p>
    <w:p w14:paraId="2042FC46" w14:textId="03AD1E88" w:rsidR="00281118" w:rsidRDefault="00281118" w:rsidP="00281118">
      <w:pPr>
        <w:ind w:left="709" w:hanging="709"/>
      </w:pPr>
      <w:r>
        <w:t>8.</w:t>
      </w:r>
      <w:r>
        <w:tab/>
        <w:t xml:space="preserve">WELCOMES the procedural guidelines for carrying out the process of monitoring commitments concerning the EU list of non-cooperative jurisdictions for tax purposes </w:t>
      </w:r>
      <w:r>
        <w:br/>
        <w:t xml:space="preserve">(doc. </w:t>
      </w:r>
      <w:hyperlink r:id="rId35" w:tooltip="http://data.consilium.europa.eu/doc/document/ST-6213-2018-INIT/en/pdf" w:history="1">
        <w:r w:rsidR="00963306">
          <w:rPr>
            <w:rStyle w:val="Hyperlink"/>
          </w:rPr>
          <w:t>6213/18</w:t>
        </w:r>
      </w:hyperlink>
      <w:r>
        <w:t>) agreed by the Group in February 2018;</w:t>
      </w:r>
    </w:p>
    <w:p w14:paraId="30A5E912" w14:textId="2D881DB3" w:rsidR="00281118" w:rsidRDefault="00963306" w:rsidP="00281118">
      <w:pPr>
        <w:ind w:left="709" w:hanging="709"/>
      </w:pPr>
      <w:r>
        <w:br w:type="page"/>
      </w:r>
      <w:r w:rsidR="00281118">
        <w:lastRenderedPageBreak/>
        <w:t>9.</w:t>
      </w:r>
      <w:r w:rsidR="00281118">
        <w:tab/>
        <w:t>ENDORSES the way forward proposed by the Group with regard to the revision of the geographical scope of the EU listing exercise;</w:t>
      </w:r>
    </w:p>
    <w:p w14:paraId="77C86C14" w14:textId="77777777" w:rsidR="00281118" w:rsidRDefault="00281118" w:rsidP="00281118">
      <w:pPr>
        <w:ind w:left="709" w:hanging="709"/>
      </w:pPr>
      <w:r>
        <w:t>10.</w:t>
      </w:r>
      <w:r>
        <w:tab/>
        <w:t>ENDORSES the scoping paper on criterion 2.2. set out in annex to the progress report by the Group;</w:t>
      </w:r>
    </w:p>
    <w:p w14:paraId="75D57C67" w14:textId="77777777" w:rsidR="00281118" w:rsidRDefault="00281118" w:rsidP="00281118">
      <w:pPr>
        <w:ind w:left="709" w:hanging="709"/>
      </w:pPr>
      <w:r>
        <w:t>11.</w:t>
      </w:r>
      <w:r>
        <w:tab/>
        <w:t>ENDORSES the guidance on the interpretation of the third criterion set out in annex to the progress report by the Group;</w:t>
      </w:r>
    </w:p>
    <w:p w14:paraId="1F6893DE" w14:textId="60A2F941" w:rsidR="00281118" w:rsidRDefault="00281118" w:rsidP="00281118">
      <w:pPr>
        <w:ind w:left="709" w:hanging="709"/>
      </w:pPr>
      <w:r>
        <w:t>12.</w:t>
      </w:r>
      <w:r>
        <w:tab/>
        <w:t>INVITES the Group to report back to the Council on its work during the Austrian Presidency."</w:t>
      </w:r>
    </w:p>
    <w:p w14:paraId="295E1FA7" w14:textId="77777777" w:rsidR="003D1FAB" w:rsidRPr="003D1FAB" w:rsidRDefault="003D1FAB" w:rsidP="003D1FAB">
      <w:pPr>
        <w:pStyle w:val="Sub-itemApproved"/>
        <w:spacing w:before="120"/>
      </w:pPr>
      <w:bookmarkStart w:id="21" w:name="_Toc517445186"/>
      <w:r w:rsidRPr="003D1FAB">
        <w:t>VAT - Germany and Poland - Frontier bridge</w:t>
      </w:r>
      <w:bookmarkEnd w:id="21"/>
    </w:p>
    <w:p w14:paraId="1AF11A12" w14:textId="2B71131B" w:rsidR="003D1FAB" w:rsidRPr="00142CD1" w:rsidRDefault="003D1FAB" w:rsidP="003D1FAB">
      <w:pPr>
        <w:pStyle w:val="Default"/>
        <w:spacing w:before="120" w:after="240" w:line="276" w:lineRule="auto"/>
      </w:pPr>
      <w:r>
        <w:t xml:space="preserve">The Council adopted a decision </w:t>
      </w:r>
      <w:r w:rsidRPr="00142CD1">
        <w:t>a</w:t>
      </w:r>
      <w:r>
        <w:t>llow</w:t>
      </w:r>
      <w:r w:rsidRPr="00142CD1">
        <w:t xml:space="preserve">ing Germany and Poland to derogate from VAT </w:t>
      </w:r>
      <w:r>
        <w:t xml:space="preserve">rules with regard to the </w:t>
      </w:r>
      <w:r w:rsidRPr="00142CD1">
        <w:t xml:space="preserve">demolition of </w:t>
      </w:r>
      <w:r>
        <w:t>a</w:t>
      </w:r>
      <w:r w:rsidRPr="00142CD1">
        <w:t xml:space="preserve"> border bridge and the construction of a ne</w:t>
      </w:r>
      <w:r>
        <w:t xml:space="preserve">w bridge between Küstrin-Kietz, in </w:t>
      </w:r>
      <w:r w:rsidRPr="00142CD1">
        <w:t>Germany</w:t>
      </w:r>
      <w:r>
        <w:t>,</w:t>
      </w:r>
      <w:r w:rsidRPr="00142CD1">
        <w:t xml:space="preserve"> and Kostrzyn nad Odrą</w:t>
      </w:r>
      <w:r>
        <w:t>, in Poland</w:t>
      </w:r>
      <w:r w:rsidRPr="00142CD1">
        <w:t xml:space="preserve"> (</w:t>
      </w:r>
      <w:hyperlink r:id="rId36" w:history="1">
        <w:r w:rsidRPr="00184C69">
          <w:rPr>
            <w:rStyle w:val="Hyperlink"/>
          </w:rPr>
          <w:t>9793/18</w:t>
        </w:r>
      </w:hyperlink>
      <w:r w:rsidRPr="00184C69">
        <w:t xml:space="preserve"> + </w:t>
      </w:r>
      <w:hyperlink r:id="rId37" w:history="1">
        <w:r w:rsidRPr="00184C69">
          <w:rPr>
            <w:rStyle w:val="Hyperlink"/>
          </w:rPr>
          <w:t>9037/18</w:t>
        </w:r>
      </w:hyperlink>
      <w:r w:rsidRPr="00142CD1">
        <w:t>).</w:t>
      </w:r>
    </w:p>
    <w:p w14:paraId="2E81D432" w14:textId="0F9AB5A5" w:rsidR="003D1FAB" w:rsidRPr="001F368A" w:rsidRDefault="003D1FAB" w:rsidP="00735E01">
      <w:pPr>
        <w:pStyle w:val="Default"/>
        <w:spacing w:before="120" w:after="240" w:line="276" w:lineRule="auto"/>
      </w:pPr>
      <w:r w:rsidRPr="001F368A">
        <w:t xml:space="preserve">By </w:t>
      </w:r>
      <w:r w:rsidR="00735E01">
        <w:t xml:space="preserve">way of </w:t>
      </w:r>
      <w:r w:rsidRPr="001F368A">
        <w:t xml:space="preserve">derogation </w:t>
      </w:r>
      <w:r w:rsidR="00735E01">
        <w:t>fr</w:t>
      </w:r>
      <w:r w:rsidRPr="001F368A">
        <w:t>o</w:t>
      </w:r>
      <w:r w:rsidR="00735E01">
        <w:t>m</w:t>
      </w:r>
      <w:r w:rsidRPr="001F368A">
        <w:t xml:space="preserve"> a territoriality principle </w:t>
      </w:r>
      <w:r w:rsidR="00735E01">
        <w:t>established</w:t>
      </w:r>
      <w:r w:rsidRPr="001F368A">
        <w:t xml:space="preserve"> under VAT rules, supplies of goods and services for the project will, for VAT purposes, be carried out on the territory of Poland and thus be subject to Polish VAT. Germany and Poland </w:t>
      </w:r>
      <w:r>
        <w:t>consider</w:t>
      </w:r>
      <w:r w:rsidRPr="001F368A">
        <w:t xml:space="preserve"> </w:t>
      </w:r>
      <w:r>
        <w:t xml:space="preserve">this arrangement to be </w:t>
      </w:r>
      <w:r w:rsidRPr="001F368A">
        <w:t>justified in order to simplify the procedure for complying with VAT obligations.</w:t>
      </w:r>
    </w:p>
    <w:p w14:paraId="5DBE89FB" w14:textId="77777777" w:rsidR="003C03BA" w:rsidRDefault="003C03BA" w:rsidP="003D1FAB">
      <w:pPr>
        <w:pStyle w:val="Sub-itemApproved"/>
        <w:spacing w:before="120"/>
        <w:rPr>
          <w:bCs/>
        </w:rPr>
      </w:pPr>
      <w:bookmarkStart w:id="22" w:name="_Toc517445187"/>
      <w:r>
        <w:t>Agreement with Norway – VAT</w:t>
      </w:r>
      <w:bookmarkEnd w:id="22"/>
    </w:p>
    <w:p w14:paraId="71C04E3A" w14:textId="4F677D4C" w:rsidR="003C03BA" w:rsidRDefault="003C03BA" w:rsidP="003D1FAB">
      <w:r>
        <w:t>The Council adopt</w:t>
      </w:r>
      <w:r w:rsidR="00A00A53">
        <w:t>ed</w:t>
      </w:r>
      <w:r>
        <w:t xml:space="preserve"> a decision approving an agreement with Norway aimed at </w:t>
      </w:r>
      <w:r w:rsidR="00A00A53">
        <w:t>improv</w:t>
      </w:r>
      <w:r>
        <w:t>ing cooperation in the area of VAT.</w:t>
      </w:r>
    </w:p>
    <w:p w14:paraId="7986046C" w14:textId="77777777" w:rsidR="003C03BA" w:rsidRDefault="003C03BA" w:rsidP="003D1FAB">
      <w:r>
        <w:t>The agreement, signed in Sofia on 6 February 2018, provides EU member states and Norway with a legal framework for administrative cooperation in:</w:t>
      </w:r>
    </w:p>
    <w:p w14:paraId="25649F18" w14:textId="506AC9A3" w:rsidR="003C03BA" w:rsidRDefault="003C03BA" w:rsidP="003D1FAB">
      <w:pPr>
        <w:pStyle w:val="Tiret0"/>
      </w:pPr>
      <w:r>
        <w:t>preventing VAT fraud;</w:t>
      </w:r>
    </w:p>
    <w:p w14:paraId="203818F0" w14:textId="6A3EB69E" w:rsidR="003C03BA" w:rsidRDefault="003C03BA" w:rsidP="003D1FAB">
      <w:pPr>
        <w:pStyle w:val="Tiret0"/>
      </w:pPr>
      <w:r>
        <w:t>assisting each other in the recovery of VAT claims.</w:t>
      </w:r>
    </w:p>
    <w:p w14:paraId="23217207" w14:textId="2D3100DF" w:rsidR="003C03BA" w:rsidRDefault="003C03BA" w:rsidP="003D1FAB">
      <w:r>
        <w:t xml:space="preserve">The agreement follows the same structure that is currently used for cooperation between the </w:t>
      </w:r>
      <w:r w:rsidR="00A00A53">
        <w:t xml:space="preserve">EU's </w:t>
      </w:r>
      <w:r>
        <w:t>member states. It provides the same instruments, such as electronic platforms and e-forms. Fraud schemes often exploit weaknesses in the way VAT transaction chains are controlled when they include counterparts located in third countries.</w:t>
      </w:r>
    </w:p>
    <w:p w14:paraId="55202AEB" w14:textId="2978F451" w:rsidR="003C03BA" w:rsidRDefault="00B42900" w:rsidP="003D1FAB">
      <w:r>
        <w:br w:type="page"/>
      </w:r>
      <w:r w:rsidR="003C03BA">
        <w:lastRenderedPageBreak/>
        <w:t>Norway is the first country with which the EU has an agreement in this field. A member of the European Economic Area, it has a similar VAT system to the EU's and enjoys a good tra</w:t>
      </w:r>
      <w:r w:rsidR="00A00A53">
        <w:t>ck record</w:t>
      </w:r>
      <w:r w:rsidR="003C03BA">
        <w:t xml:space="preserve"> of VAT cooperation with the EU member states.</w:t>
      </w:r>
    </w:p>
    <w:p w14:paraId="2654B822" w14:textId="77777777" w:rsidR="003C03BA" w:rsidRPr="002C5697" w:rsidRDefault="00E16391" w:rsidP="003D1FAB">
      <w:pPr>
        <w:pStyle w:val="ListParagraph"/>
        <w:spacing w:before="120" w:after="240" w:line="276" w:lineRule="auto"/>
        <w:ind w:left="0"/>
        <w:rPr>
          <w:rFonts w:ascii="Arial" w:hAnsi="Arial"/>
          <w:szCs w:val="24"/>
          <w:u w:val="single"/>
        </w:rPr>
      </w:pPr>
      <w:hyperlink r:id="rId38" w:history="1">
        <w:r w:rsidR="003C03BA" w:rsidRPr="002C5697">
          <w:rPr>
            <w:rStyle w:val="Hyperlink"/>
            <w:szCs w:val="24"/>
          </w:rPr>
          <w:t>2017 agreement with Norway on administrative cooperation in the area of VAT</w:t>
        </w:r>
      </w:hyperlink>
    </w:p>
    <w:p w14:paraId="1B28B836" w14:textId="77777777" w:rsidR="003C03BA" w:rsidRDefault="00E16391" w:rsidP="003D1FAB">
      <w:pPr>
        <w:rPr>
          <w:rFonts w:ascii="Arial" w:hAnsi="Arial"/>
          <w:color w:val="000000" w:themeColor="text1"/>
          <w:sz w:val="22"/>
        </w:rPr>
      </w:pPr>
      <w:hyperlink r:id="rId39" w:history="1">
        <w:r w:rsidR="003C03BA">
          <w:rPr>
            <w:rStyle w:val="Hyperlink"/>
          </w:rPr>
          <w:t>Decision on the conclusion of the 2017 EU-Norway agreement on VAT administrative cooperation</w:t>
        </w:r>
      </w:hyperlink>
      <w:r w:rsidR="003C03BA">
        <w:rPr>
          <w:color w:val="000000" w:themeColor="text1"/>
        </w:rPr>
        <w:t xml:space="preserve"> </w:t>
      </w:r>
    </w:p>
    <w:p w14:paraId="6795FFF8" w14:textId="77777777" w:rsidR="003D1FAB" w:rsidRPr="003D1FAB" w:rsidRDefault="003D1FAB" w:rsidP="003D1FAB">
      <w:pPr>
        <w:pStyle w:val="Sub-itemApproved"/>
        <w:spacing w:before="120"/>
      </w:pPr>
      <w:bookmarkStart w:id="23" w:name="_Toc517445188"/>
      <w:r w:rsidRPr="003D1FAB">
        <w:t>Report on tax issues</w:t>
      </w:r>
      <w:bookmarkEnd w:id="23"/>
    </w:p>
    <w:p w14:paraId="0089AA75" w14:textId="77777777" w:rsidR="003D1FAB" w:rsidRDefault="003D1FAB" w:rsidP="003D1FAB">
      <w:pPr>
        <w:ind w:left="709" w:hanging="709"/>
      </w:pPr>
      <w:r>
        <w:t>The Council approved a six-monthly report to the European Council on tax issues.</w:t>
      </w:r>
    </w:p>
    <w:p w14:paraId="3C5D0A6B" w14:textId="1E0D3A75" w:rsidR="003D1FAB" w:rsidRPr="00F879EF" w:rsidRDefault="00E16391" w:rsidP="003D1FAB">
      <w:pPr>
        <w:ind w:left="709" w:hanging="709"/>
        <w:rPr>
          <w:rFonts w:ascii="Arial" w:hAnsi="Arial"/>
          <w:sz w:val="22"/>
          <w:u w:val="single"/>
        </w:rPr>
      </w:pPr>
      <w:hyperlink r:id="rId40" w:history="1">
        <w:r w:rsidR="003D1FAB" w:rsidRPr="00047626">
          <w:rPr>
            <w:rStyle w:val="Hyperlink"/>
          </w:rPr>
          <w:t>June 2018 report to the European Council on tax issues</w:t>
        </w:r>
      </w:hyperlink>
    </w:p>
    <w:p w14:paraId="027767E1" w14:textId="77777777" w:rsidR="003D1FAB" w:rsidRPr="003D1FAB" w:rsidRDefault="003D1FAB" w:rsidP="003D1FAB">
      <w:pPr>
        <w:pStyle w:val="Sub-itemApproved"/>
        <w:spacing w:before="120"/>
      </w:pPr>
      <w:bookmarkStart w:id="24" w:name="_Toc517445189"/>
      <w:r w:rsidRPr="003D1FAB">
        <w:t>Lietuvos bankas - External auditors</w:t>
      </w:r>
      <w:bookmarkEnd w:id="24"/>
    </w:p>
    <w:p w14:paraId="39D8D637" w14:textId="3D770446" w:rsidR="003D1FAB" w:rsidRDefault="003D1FAB" w:rsidP="003D1FAB">
      <w:r>
        <w:t>The Council adopted a decision appointing UAB Deloitte Lietuva as external auditors of the Lietuvos bankas, the central bank of Lithuania, for the financial years 2018 to 2021 (</w:t>
      </w:r>
      <w:hyperlink r:id="rId41" w:tooltip="http://data.consilium.europa.eu/doc/document/ST-9595-2018-INIT/en/pdf" w:history="1">
        <w:r w:rsidR="00D040DF">
          <w:rPr>
            <w:rStyle w:val="Hyperlink"/>
            <w:i/>
            <w:iCs/>
          </w:rPr>
          <w:t>9595/18</w:t>
        </w:r>
      </w:hyperlink>
      <w:r w:rsidRPr="00AE3987">
        <w:rPr>
          <w:i/>
          <w:iCs/>
        </w:rPr>
        <w:t xml:space="preserve"> + </w:t>
      </w:r>
      <w:hyperlink r:id="rId42" w:tooltip="http://data.consilium.europa.eu/doc/document/ST-9602-2018-INIT/en/pdf" w:history="1">
        <w:r w:rsidR="00D040DF">
          <w:rPr>
            <w:rStyle w:val="Hyperlink"/>
            <w:i/>
            <w:iCs/>
          </w:rPr>
          <w:t>9602/18</w:t>
        </w:r>
      </w:hyperlink>
      <w:r>
        <w:t>).</w:t>
      </w:r>
    </w:p>
    <w:p w14:paraId="176AE3C3" w14:textId="1021EAAA" w:rsidR="003D1FAB" w:rsidRPr="003D1FAB" w:rsidRDefault="00B42900" w:rsidP="003D1FAB">
      <w:pPr>
        <w:pStyle w:val="ItemApproved"/>
        <w:spacing w:before="120"/>
        <w:rPr>
          <w:rFonts w:asciiTheme="majorBidi" w:hAnsiTheme="majorBidi" w:cstheme="majorBidi"/>
          <w:szCs w:val="24"/>
        </w:rPr>
      </w:pPr>
      <w:r>
        <w:rPr>
          <w:rFonts w:asciiTheme="majorBidi" w:hAnsiTheme="majorBidi" w:cstheme="majorBidi"/>
          <w:szCs w:val="24"/>
        </w:rPr>
        <w:br w:type="page"/>
      </w:r>
      <w:r w:rsidR="003D1FAB" w:rsidRPr="003D1FAB">
        <w:rPr>
          <w:rFonts w:asciiTheme="majorBidi" w:hAnsiTheme="majorBidi" w:cstheme="majorBidi"/>
          <w:szCs w:val="24"/>
        </w:rPr>
        <w:lastRenderedPageBreak/>
        <w:t>BUDGETS</w:t>
      </w:r>
    </w:p>
    <w:p w14:paraId="5E2951B7" w14:textId="36750F4B" w:rsidR="003D1FAB" w:rsidRPr="003D1FAB" w:rsidRDefault="003D1FAB" w:rsidP="003D1FAB">
      <w:pPr>
        <w:pStyle w:val="Sub-itemApproved"/>
        <w:spacing w:before="120"/>
      </w:pPr>
      <w:bookmarkStart w:id="25" w:name="_Toc517445191"/>
      <w:r w:rsidRPr="003D1FAB">
        <w:t>Funding for the Fac</w:t>
      </w:r>
      <w:r w:rsidR="00D20D15">
        <w:t>ility for Refugees in Turkey - D</w:t>
      </w:r>
      <w:r w:rsidRPr="003D1FAB">
        <w:t>raft amending budget no 3/2018</w:t>
      </w:r>
      <w:bookmarkEnd w:id="25"/>
    </w:p>
    <w:p w14:paraId="51CF1D4A" w14:textId="77777777" w:rsidR="003D1FAB" w:rsidRDefault="003D1FAB" w:rsidP="003D1FAB">
      <w:pPr>
        <w:rPr>
          <w:szCs w:val="24"/>
        </w:rPr>
      </w:pPr>
      <w:r>
        <w:rPr>
          <w:szCs w:val="24"/>
        </w:rPr>
        <w:t xml:space="preserve">The Council approved a Commission proposal to allocate €500 million from the EU budget for 2018 to finance a prolongation of the Facility for Refugees in Turkey. </w:t>
      </w:r>
    </w:p>
    <w:p w14:paraId="45C1140E" w14:textId="77777777" w:rsidR="003D1FAB" w:rsidRDefault="003D1FAB" w:rsidP="003D1FAB">
      <w:pPr>
        <w:rPr>
          <w:szCs w:val="24"/>
        </w:rPr>
      </w:pPr>
      <w:r>
        <w:rPr>
          <w:szCs w:val="24"/>
        </w:rPr>
        <w:t xml:space="preserve">The aim of the draft amending budget no 3 to the 2018 EU budget is to ensure continuity of support for the projects on the ground pending an agreement between the member states on the details of the financing of an additional €3 billion for this facility. </w:t>
      </w:r>
    </w:p>
    <w:p w14:paraId="62714495" w14:textId="696DFF38" w:rsidR="003D1FAB" w:rsidRDefault="003D1FAB" w:rsidP="003D1FAB">
      <w:pPr>
        <w:rPr>
          <w:szCs w:val="24"/>
        </w:rPr>
      </w:pPr>
      <w:r>
        <w:rPr>
          <w:szCs w:val="24"/>
        </w:rPr>
        <w:t>The funding is in particular intended to ensure that the education of child refugees can continue without interruption.</w:t>
      </w:r>
    </w:p>
    <w:p w14:paraId="08D57005" w14:textId="2CA0BE10" w:rsidR="00975BA2" w:rsidRPr="00975BA2" w:rsidRDefault="00F81A81" w:rsidP="00E83990">
      <w:pPr>
        <w:pStyle w:val="ItemApproved"/>
        <w:spacing w:before="120"/>
        <w:rPr>
          <w:rFonts w:asciiTheme="majorBidi" w:hAnsiTheme="majorBidi" w:cstheme="majorBidi"/>
          <w:szCs w:val="24"/>
        </w:rPr>
      </w:pPr>
      <w:r>
        <w:rPr>
          <w:rFonts w:asciiTheme="majorBidi" w:hAnsiTheme="majorBidi" w:cstheme="majorBidi"/>
          <w:szCs w:val="24"/>
        </w:rPr>
        <w:br w:type="page"/>
      </w:r>
      <w:r w:rsidR="00E83990" w:rsidRPr="00E83990">
        <w:rPr>
          <w:rFonts w:asciiTheme="majorBidi" w:hAnsiTheme="majorBidi" w:cstheme="majorBidi"/>
          <w:szCs w:val="24"/>
        </w:rPr>
        <w:lastRenderedPageBreak/>
        <w:t>FOREIGN AFFAIRS</w:t>
      </w:r>
    </w:p>
    <w:p w14:paraId="7F373246" w14:textId="42C634E9" w:rsidR="00975BA2" w:rsidRPr="00975BA2" w:rsidRDefault="00975BA2" w:rsidP="00975BA2">
      <w:pPr>
        <w:pStyle w:val="Sub-itemApproved"/>
        <w:spacing w:before="120"/>
      </w:pPr>
      <w:bookmarkStart w:id="26" w:name="_Toc517445193"/>
      <w:r w:rsidRPr="00975BA2">
        <w:t>Relations with African</w:t>
      </w:r>
      <w:r w:rsidR="00735E01">
        <w:t>,</w:t>
      </w:r>
      <w:r w:rsidRPr="00975BA2">
        <w:t xml:space="preserve"> Caribbean and Pacific countries</w:t>
      </w:r>
      <w:bookmarkEnd w:id="26"/>
      <w:r w:rsidRPr="00975BA2">
        <w:t xml:space="preserve"> </w:t>
      </w:r>
    </w:p>
    <w:p w14:paraId="0390AC0F" w14:textId="673760A7" w:rsidR="00975BA2" w:rsidRPr="00975BA2" w:rsidRDefault="00975BA2" w:rsidP="00975BA2">
      <w:pPr>
        <w:rPr>
          <w:szCs w:val="24"/>
        </w:rPr>
      </w:pPr>
      <w:r w:rsidRPr="00975BA2">
        <w:rPr>
          <w:szCs w:val="24"/>
        </w:rPr>
        <w:t>On 2</w:t>
      </w:r>
      <w:r>
        <w:rPr>
          <w:szCs w:val="24"/>
        </w:rPr>
        <w:t>2</w:t>
      </w:r>
      <w:r w:rsidRPr="00975BA2">
        <w:rPr>
          <w:szCs w:val="24"/>
        </w:rPr>
        <w:t xml:space="preserve"> June 2018, the Council adopted the negotiating mandate for the future agreement between the EU and the African, Caribbean and Pacific (ACP) countries. Formal negotiations will start by the end of August 2018, as provided by the current agreement, the Cotonou Agreement. </w:t>
      </w:r>
    </w:p>
    <w:p w14:paraId="60255C0B" w14:textId="77777777" w:rsidR="00975BA2" w:rsidRPr="00975BA2" w:rsidRDefault="00975BA2" w:rsidP="00975BA2">
      <w:pPr>
        <w:rPr>
          <w:szCs w:val="24"/>
        </w:rPr>
      </w:pPr>
      <w:r w:rsidRPr="00975BA2">
        <w:rPr>
          <w:szCs w:val="24"/>
        </w:rPr>
        <w:t xml:space="preserve">The EU will work towards a substantially revised agreement with a common foundation at ACP level combined with three regional tailored partnerships for Africa, the Caribbean and the Pacific. The future agreement is expected to cover priority areas such as democracy and human rights, economic growth and investment, climate change, poverty eradication, peace and security and migration and mobility. </w:t>
      </w:r>
    </w:p>
    <w:p w14:paraId="1448EC5D" w14:textId="77777777" w:rsidR="00975BA2" w:rsidRPr="00975BA2" w:rsidRDefault="00975BA2" w:rsidP="00975BA2">
      <w:pPr>
        <w:rPr>
          <w:szCs w:val="24"/>
        </w:rPr>
      </w:pPr>
      <w:r w:rsidRPr="00975BA2">
        <w:rPr>
          <w:szCs w:val="24"/>
        </w:rPr>
        <w:t xml:space="preserve">The ACP group adopted its own negotiating position on 30 May 2018 at the ACP Council of Ministers. </w:t>
      </w:r>
    </w:p>
    <w:p w14:paraId="4CA06182" w14:textId="477EB745" w:rsidR="00975BA2" w:rsidRPr="00975BA2" w:rsidRDefault="00975BA2" w:rsidP="00735E01">
      <w:pPr>
        <w:rPr>
          <w:szCs w:val="24"/>
        </w:rPr>
      </w:pPr>
      <w:r w:rsidRPr="00975BA2">
        <w:rPr>
          <w:szCs w:val="24"/>
        </w:rPr>
        <w:t xml:space="preserve">The existing agreement between the EU and the ACP countries, known as the Cotonou Agreement, is set to expire in February 2020. </w:t>
      </w:r>
      <w:r w:rsidR="00735E01">
        <w:rPr>
          <w:szCs w:val="24"/>
        </w:rPr>
        <w:t>With</w:t>
      </w:r>
      <w:r w:rsidRPr="00975BA2">
        <w:rPr>
          <w:szCs w:val="24"/>
        </w:rPr>
        <w:t xml:space="preserve"> this </w:t>
      </w:r>
      <w:r w:rsidR="00735E01">
        <w:rPr>
          <w:szCs w:val="24"/>
        </w:rPr>
        <w:t>in mind</w:t>
      </w:r>
      <w:r w:rsidRPr="00975BA2">
        <w:rPr>
          <w:szCs w:val="24"/>
        </w:rPr>
        <w:t xml:space="preserve">, the Commission has put forward a recommendation to open negotiations to update the framework for cooperation with the ACP countries, together with draft negotiating directives, in December 2017. </w:t>
      </w:r>
    </w:p>
    <w:p w14:paraId="3FC99B22" w14:textId="3427054B" w:rsidR="00975BA2" w:rsidRPr="00975BA2" w:rsidRDefault="00975BA2" w:rsidP="00975BA2">
      <w:pPr>
        <w:rPr>
          <w:szCs w:val="24"/>
        </w:rPr>
      </w:pPr>
      <w:r w:rsidRPr="00975BA2">
        <w:rPr>
          <w:szCs w:val="24"/>
        </w:rPr>
        <w:t>The Cotonou Agreement was adopted in 2000 to replace the 1975 Lomé Convention. It is the most comprehensive partnership agreement between developing countries and the EU, covering the EU's relations with 79 countries, including 48 coun</w:t>
      </w:r>
      <w:r>
        <w:rPr>
          <w:szCs w:val="24"/>
        </w:rPr>
        <w:t>tries from Sub-Saharan Africa.</w:t>
      </w:r>
    </w:p>
    <w:p w14:paraId="34513833" w14:textId="77777777" w:rsidR="00975BA2" w:rsidRPr="005B32A1" w:rsidRDefault="00E16391" w:rsidP="00975BA2">
      <w:pPr>
        <w:rPr>
          <w:rFonts w:asciiTheme="majorBidi" w:hAnsiTheme="majorBidi" w:cstheme="majorBidi"/>
          <w:b/>
          <w:bCs/>
          <w:szCs w:val="24"/>
        </w:rPr>
      </w:pPr>
      <w:hyperlink r:id="rId43" w:history="1">
        <w:r w:rsidR="00975BA2" w:rsidRPr="005B32A1">
          <w:rPr>
            <w:rStyle w:val="Hyperlink"/>
            <w:rFonts w:asciiTheme="majorBidi" w:hAnsiTheme="majorBidi" w:cstheme="majorBidi"/>
            <w:szCs w:val="24"/>
          </w:rPr>
          <w:t>Cotonou agreement</w:t>
        </w:r>
      </w:hyperlink>
      <w:r w:rsidR="00975BA2" w:rsidRPr="005B32A1">
        <w:rPr>
          <w:rFonts w:asciiTheme="majorBidi" w:hAnsiTheme="majorBidi" w:cstheme="majorBidi"/>
          <w:szCs w:val="24"/>
        </w:rPr>
        <w:t>, background information</w:t>
      </w:r>
    </w:p>
    <w:p w14:paraId="05266EF3" w14:textId="77777777" w:rsidR="003D1FAB" w:rsidRPr="003D1FAB" w:rsidRDefault="003D1FAB" w:rsidP="003D1FAB">
      <w:pPr>
        <w:pStyle w:val="ItemApproved"/>
        <w:spacing w:before="120"/>
        <w:rPr>
          <w:rFonts w:asciiTheme="majorBidi" w:hAnsiTheme="majorBidi" w:cstheme="majorBidi"/>
          <w:szCs w:val="24"/>
        </w:rPr>
      </w:pPr>
      <w:r w:rsidRPr="003D1FAB">
        <w:rPr>
          <w:rFonts w:asciiTheme="majorBidi" w:hAnsiTheme="majorBidi" w:cstheme="majorBidi"/>
          <w:szCs w:val="24"/>
        </w:rPr>
        <w:t>CUSTOMS UNION</w:t>
      </w:r>
    </w:p>
    <w:p w14:paraId="3FD4A5C3" w14:textId="77777777" w:rsidR="003D1FAB" w:rsidRPr="003D1FAB" w:rsidRDefault="003D1FAB" w:rsidP="003D1FAB">
      <w:pPr>
        <w:pStyle w:val="Sub-itemApproved"/>
        <w:spacing w:before="120"/>
      </w:pPr>
      <w:bookmarkStart w:id="27" w:name="_Toc517445195"/>
      <w:r w:rsidRPr="003D1FAB">
        <w:t>World Customs Organization</w:t>
      </w:r>
      <w:bookmarkEnd w:id="27"/>
    </w:p>
    <w:p w14:paraId="6EFB25A8" w14:textId="2AD2455D" w:rsidR="003D1FAB" w:rsidRPr="003D1FAB" w:rsidRDefault="003D1FAB" w:rsidP="003D1FAB">
      <w:r>
        <w:t xml:space="preserve">The </w:t>
      </w:r>
      <w:r w:rsidRPr="00624659">
        <w:t>C</w:t>
      </w:r>
      <w:r>
        <w:t xml:space="preserve">ouncil coordinated the EU positions with a view to the following sessions of the </w:t>
      </w:r>
      <w:hyperlink r:id="rId44" w:history="1">
        <w:r w:rsidRPr="00DD2CE9">
          <w:rPr>
            <w:rStyle w:val="Hyperlink"/>
          </w:rPr>
          <w:t>World Customs Organization</w:t>
        </w:r>
      </w:hyperlink>
      <w:r>
        <w:t>:</w:t>
      </w:r>
      <w:r w:rsidRPr="00624659">
        <w:t xml:space="preserve"> </w:t>
      </w:r>
      <w:r>
        <w:t xml:space="preserve">the </w:t>
      </w:r>
      <w:r w:rsidRPr="00624659">
        <w:t xml:space="preserve">Policy Commission </w:t>
      </w:r>
      <w:r>
        <w:t xml:space="preserve">session and the </w:t>
      </w:r>
      <w:r w:rsidRPr="00446B96">
        <w:t>Customs Co-operation Council</w:t>
      </w:r>
      <w:r>
        <w:t xml:space="preserve">, which will take place in Brussels on </w:t>
      </w:r>
      <w:r w:rsidRPr="00624659">
        <w:t xml:space="preserve">25-27 June </w:t>
      </w:r>
      <w:r>
        <w:t xml:space="preserve">and </w:t>
      </w:r>
      <w:r w:rsidRPr="00446B96">
        <w:t>28-30 June 2018</w:t>
      </w:r>
      <w:r>
        <w:t>, respectively.</w:t>
      </w:r>
    </w:p>
    <w:p w14:paraId="6DFC585A" w14:textId="77777777" w:rsidR="00E52E6E" w:rsidRPr="003651AB" w:rsidRDefault="00E52E6E" w:rsidP="003D1FAB">
      <w:pPr>
        <w:pStyle w:val="FinalLine"/>
        <w:spacing w:before="120" w:after="240"/>
        <w:rPr>
          <w:rFonts w:asciiTheme="majorBidi" w:hAnsiTheme="majorBidi" w:cstheme="majorBidi"/>
          <w:szCs w:val="24"/>
        </w:rPr>
      </w:pPr>
      <w:bookmarkStart w:id="28" w:name="_GoBack"/>
      <w:bookmarkEnd w:id="28"/>
    </w:p>
    <w:sectPr w:rsidR="00E52E6E" w:rsidRPr="003651AB" w:rsidSect="00643D80">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53BB" w14:textId="77777777" w:rsidR="00422875" w:rsidRDefault="00422875" w:rsidP="00CC05AB">
      <w:pPr>
        <w:spacing w:before="0" w:after="0" w:line="240" w:lineRule="auto"/>
      </w:pPr>
      <w:r>
        <w:separator/>
      </w:r>
    </w:p>
  </w:endnote>
  <w:endnote w:type="continuationSeparator" w:id="0">
    <w:p w14:paraId="15F2E06D" w14:textId="77777777" w:rsidR="00422875" w:rsidRDefault="00422875"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87C52" w14:textId="77777777" w:rsidR="002C5697" w:rsidRPr="00643D80" w:rsidRDefault="002C5697" w:rsidP="00643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43D80" w:rsidRPr="007410E8" w14:paraId="2B8703AA" w14:textId="77777777" w:rsidTr="00643D80">
      <w:trPr>
        <w:jc w:val="center"/>
      </w:trPr>
      <w:tc>
        <w:tcPr>
          <w:tcW w:w="2604" w:type="pct"/>
          <w:shd w:val="clear" w:color="auto" w:fill="auto"/>
        </w:tcPr>
        <w:p w14:paraId="6E688AF3" w14:textId="77777777" w:rsidR="00643D80" w:rsidRPr="007410E8" w:rsidRDefault="00643D80" w:rsidP="0035025C">
          <w:pPr>
            <w:pStyle w:val="FooterText"/>
            <w:rPr>
              <w:sz w:val="16"/>
              <w:szCs w:val="16"/>
            </w:rPr>
          </w:pPr>
          <w:bookmarkStart w:id="1" w:name="FOOTER_PR_STANDARD"/>
        </w:p>
      </w:tc>
      <w:tc>
        <w:tcPr>
          <w:tcW w:w="1319" w:type="pct"/>
          <w:shd w:val="clear" w:color="auto" w:fill="auto"/>
        </w:tcPr>
        <w:p w14:paraId="3BA78CEE" w14:textId="77777777" w:rsidR="00643D80" w:rsidRPr="007410E8" w:rsidRDefault="00643D80" w:rsidP="0035025C">
          <w:pPr>
            <w:pStyle w:val="FooterText"/>
            <w:rPr>
              <w:sz w:val="16"/>
              <w:szCs w:val="16"/>
            </w:rPr>
          </w:pPr>
        </w:p>
      </w:tc>
      <w:tc>
        <w:tcPr>
          <w:tcW w:w="1077" w:type="pct"/>
          <w:shd w:val="clear" w:color="auto" w:fill="auto"/>
        </w:tcPr>
        <w:p w14:paraId="25D65BA8" w14:textId="77777777" w:rsidR="00643D80" w:rsidRPr="007410E8" w:rsidRDefault="00643D80" w:rsidP="0035025C">
          <w:pPr>
            <w:pStyle w:val="FooterText"/>
            <w:jc w:val="right"/>
            <w:rPr>
              <w:sz w:val="16"/>
              <w:szCs w:val="16"/>
            </w:rPr>
          </w:pPr>
        </w:p>
      </w:tc>
    </w:tr>
    <w:tr w:rsidR="00643D80" w:rsidRPr="007410E8" w14:paraId="4C2333D5" w14:textId="77777777" w:rsidTr="00643D80">
      <w:trPr>
        <w:jc w:val="center"/>
      </w:trPr>
      <w:tc>
        <w:tcPr>
          <w:tcW w:w="2604" w:type="pct"/>
          <w:shd w:val="clear" w:color="auto" w:fill="auto"/>
        </w:tcPr>
        <w:p w14:paraId="75A45D1B" w14:textId="6FD7CD7C" w:rsidR="00643D80" w:rsidRPr="007410E8" w:rsidRDefault="00643D80" w:rsidP="0035025C">
          <w:pPr>
            <w:pStyle w:val="FooterText"/>
            <w:rPr>
              <w:sz w:val="16"/>
            </w:rPr>
          </w:pPr>
          <w:r>
            <w:t>10203/18</w:t>
          </w:r>
          <w:r w:rsidRPr="002511D8">
            <w:t xml:space="preserve"> </w:t>
          </w:r>
        </w:p>
      </w:tc>
      <w:tc>
        <w:tcPr>
          <w:tcW w:w="1319" w:type="pct"/>
          <w:shd w:val="clear" w:color="auto" w:fill="auto"/>
        </w:tcPr>
        <w:p w14:paraId="3D94D888" w14:textId="77777777" w:rsidR="00643D80" w:rsidRPr="007410E8" w:rsidRDefault="00643D80" w:rsidP="0035025C">
          <w:pPr>
            <w:pStyle w:val="FooterText"/>
            <w:rPr>
              <w:sz w:val="16"/>
            </w:rPr>
          </w:pPr>
        </w:p>
      </w:tc>
      <w:tc>
        <w:tcPr>
          <w:tcW w:w="1077" w:type="pct"/>
          <w:shd w:val="clear" w:color="auto" w:fill="auto"/>
        </w:tcPr>
        <w:p w14:paraId="1243BFD6" w14:textId="2519D12A" w:rsidR="00643D80" w:rsidRPr="007410E8" w:rsidRDefault="00643D80" w:rsidP="00643D80">
          <w:pPr>
            <w:pStyle w:val="FooterText"/>
            <w:jc w:val="right"/>
            <w:rPr>
              <w:sz w:val="16"/>
            </w:rPr>
          </w:pPr>
          <w:r>
            <w:fldChar w:fldCharType="begin"/>
          </w:r>
          <w:r>
            <w:instrText xml:space="preserve"> PAGE  \* MERGEFORMAT </w:instrText>
          </w:r>
          <w:r>
            <w:fldChar w:fldCharType="separate"/>
          </w:r>
          <w:r w:rsidR="00E16391">
            <w:rPr>
              <w:noProof/>
            </w:rPr>
            <w:t>3</w:t>
          </w:r>
          <w:r>
            <w:fldChar w:fldCharType="end"/>
          </w:r>
        </w:p>
      </w:tc>
    </w:tr>
    <w:tr w:rsidR="00643D80" w:rsidRPr="007410E8" w14:paraId="549912AF" w14:textId="77777777" w:rsidTr="00643D80">
      <w:trPr>
        <w:jc w:val="center"/>
      </w:trPr>
      <w:tc>
        <w:tcPr>
          <w:tcW w:w="2604" w:type="pct"/>
          <w:shd w:val="clear" w:color="auto" w:fill="auto"/>
        </w:tcPr>
        <w:p w14:paraId="7D8849F7" w14:textId="4A0CB4BA" w:rsidR="00643D80" w:rsidRPr="007410E8" w:rsidRDefault="00643D80" w:rsidP="0035025C">
          <w:pPr>
            <w:pStyle w:val="FooterText"/>
            <w:rPr>
              <w:sz w:val="16"/>
            </w:rPr>
          </w:pPr>
        </w:p>
      </w:tc>
      <w:tc>
        <w:tcPr>
          <w:tcW w:w="1319" w:type="pct"/>
          <w:shd w:val="clear" w:color="auto" w:fill="auto"/>
        </w:tcPr>
        <w:p w14:paraId="708A95E5" w14:textId="77777777" w:rsidR="00643D80" w:rsidRPr="007410E8" w:rsidRDefault="00643D80" w:rsidP="0035025C">
          <w:pPr>
            <w:pStyle w:val="FooterText"/>
            <w:rPr>
              <w:sz w:val="16"/>
            </w:rPr>
          </w:pPr>
        </w:p>
      </w:tc>
      <w:tc>
        <w:tcPr>
          <w:tcW w:w="1077" w:type="pct"/>
          <w:shd w:val="clear" w:color="auto" w:fill="auto"/>
        </w:tcPr>
        <w:p w14:paraId="0FA55420" w14:textId="73CECEB8" w:rsidR="00643D80" w:rsidRPr="007410E8" w:rsidRDefault="00643D80" w:rsidP="0035025C">
          <w:pPr>
            <w:pStyle w:val="FooterText"/>
            <w:jc w:val="right"/>
            <w:rPr>
              <w:sz w:val="16"/>
            </w:rPr>
          </w:pPr>
          <w:r>
            <w:rPr>
              <w:b/>
              <w:position w:val="-4"/>
              <w:sz w:val="36"/>
            </w:rPr>
            <w:t>EN</w:t>
          </w:r>
        </w:p>
      </w:tc>
    </w:tr>
    <w:bookmarkEnd w:id="1"/>
  </w:tbl>
  <w:p w14:paraId="7884BE92" w14:textId="77777777" w:rsidR="00422875" w:rsidRPr="00643D80" w:rsidRDefault="00422875" w:rsidP="00643D80">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643D80" w:rsidRPr="009C2FB3" w14:paraId="1A23D152" w14:textId="77777777" w:rsidTr="00643D80">
      <w:trPr>
        <w:jc w:val="center"/>
      </w:trPr>
      <w:tc>
        <w:tcPr>
          <w:tcW w:w="569" w:type="pct"/>
          <w:shd w:val="clear" w:color="auto" w:fill="auto"/>
        </w:tcPr>
        <w:p w14:paraId="222A81C8" w14:textId="77777777" w:rsidR="00643D80" w:rsidRPr="009C2FB3" w:rsidRDefault="00643D80" w:rsidP="0035025C">
          <w:pPr>
            <w:pStyle w:val="FooterText"/>
          </w:pPr>
          <w:bookmarkStart w:id="2" w:name="FOOTER_PR_COVERPAGE"/>
        </w:p>
      </w:tc>
      <w:tc>
        <w:tcPr>
          <w:tcW w:w="3760" w:type="pct"/>
          <w:gridSpan w:val="3"/>
          <w:shd w:val="clear" w:color="auto" w:fill="auto"/>
          <w:noWrap/>
        </w:tcPr>
        <w:p w14:paraId="53C1A408" w14:textId="318EEB41" w:rsidR="00643D80" w:rsidRPr="00F37CD6" w:rsidRDefault="00643D80"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14:paraId="46BEA098" w14:textId="77777777" w:rsidR="00643D80" w:rsidRPr="009C2FB3" w:rsidRDefault="00643D80" w:rsidP="0035025C">
          <w:pPr>
            <w:pStyle w:val="FooterText"/>
          </w:pPr>
        </w:p>
      </w:tc>
    </w:tr>
    <w:tr w:rsidR="00643D80" w:rsidRPr="00E16391" w14:paraId="66C0B50B" w14:textId="77777777" w:rsidTr="00643D80">
      <w:trPr>
        <w:jc w:val="center"/>
      </w:trPr>
      <w:tc>
        <w:tcPr>
          <w:tcW w:w="5000" w:type="pct"/>
          <w:gridSpan w:val="5"/>
          <w:shd w:val="clear" w:color="auto" w:fill="auto"/>
        </w:tcPr>
        <w:p w14:paraId="6B21F20E" w14:textId="77777777" w:rsidR="00643D80" w:rsidRPr="00643D80" w:rsidRDefault="00643D80" w:rsidP="0035025C">
          <w:pPr>
            <w:pStyle w:val="FooterAddressText"/>
            <w:rPr>
              <w:lang w:val="fr-BE"/>
            </w:rPr>
          </w:pPr>
        </w:p>
        <w:p w14:paraId="104FF6EE" w14:textId="27B7E149" w:rsidR="00643D80" w:rsidRPr="00643D80" w:rsidRDefault="00643D80" w:rsidP="00643D80">
          <w:pPr>
            <w:pStyle w:val="FooterAddressText"/>
            <w:rPr>
              <w:lang w:val="fr-BE"/>
            </w:rPr>
          </w:pPr>
          <w:r w:rsidRPr="00643D80">
            <w:rPr>
              <w:lang w:val="fr-BE"/>
            </w:rPr>
            <w:t>Rue de la Loi/Wetstraat 175  B – 1048 BRUSSELS  Tel.: +32 (0)2 281 6319  Fax: +32 (0)2 281 8026</w:t>
          </w:r>
        </w:p>
      </w:tc>
    </w:tr>
    <w:tr w:rsidR="00643D80" w:rsidRPr="00E16391" w14:paraId="14AA3E60" w14:textId="77777777" w:rsidTr="00643D80">
      <w:trPr>
        <w:jc w:val="center"/>
      </w:trPr>
      <w:tc>
        <w:tcPr>
          <w:tcW w:w="5000" w:type="pct"/>
          <w:gridSpan w:val="5"/>
          <w:shd w:val="clear" w:color="auto" w:fill="auto"/>
        </w:tcPr>
        <w:p w14:paraId="09EE43C3" w14:textId="3C97ECD6" w:rsidR="00643D80" w:rsidRPr="00643D80" w:rsidRDefault="00E16391" w:rsidP="0035025C">
          <w:pPr>
            <w:pStyle w:val="FooterText"/>
            <w:jc w:val="center"/>
            <w:rPr>
              <w:sz w:val="20"/>
              <w:szCs w:val="20"/>
              <w:lang w:val="fr-BE"/>
            </w:rPr>
          </w:pPr>
          <w:hyperlink r:id="rId1" w:history="1">
            <w:r w:rsidR="00643D80" w:rsidRPr="00643D80">
              <w:rPr>
                <w:rStyle w:val="Hyperlink"/>
                <w:sz w:val="20"/>
                <w:szCs w:val="20"/>
                <w:lang w:val="fr-BE"/>
              </w:rPr>
              <w:t>press.office@consilium.europa.eu</w:t>
            </w:r>
          </w:hyperlink>
          <w:r w:rsidR="00643D80" w:rsidRPr="00643D80">
            <w:rPr>
              <w:sz w:val="20"/>
              <w:szCs w:val="20"/>
              <w:lang w:val="fr-BE"/>
            </w:rPr>
            <w:t xml:space="preserve">  </w:t>
          </w:r>
          <w:hyperlink r:id="rId2" w:history="1">
            <w:r w:rsidR="00643D80" w:rsidRPr="00643D80">
              <w:rPr>
                <w:rStyle w:val="Hyperlink"/>
                <w:sz w:val="20"/>
                <w:szCs w:val="20"/>
                <w:lang w:val="fr-BE"/>
              </w:rPr>
              <w:t>http://www.consilium.europa.eu/press</w:t>
            </w:r>
          </w:hyperlink>
        </w:p>
      </w:tc>
    </w:tr>
    <w:tr w:rsidR="00643D80" w:rsidRPr="007410E8" w14:paraId="75935478" w14:textId="77777777" w:rsidTr="00643D80">
      <w:trPr>
        <w:jc w:val="center"/>
      </w:trPr>
      <w:tc>
        <w:tcPr>
          <w:tcW w:w="2602" w:type="pct"/>
          <w:gridSpan w:val="2"/>
          <w:shd w:val="clear" w:color="auto" w:fill="auto"/>
        </w:tcPr>
        <w:p w14:paraId="622794A2" w14:textId="41466151" w:rsidR="00643D80" w:rsidRPr="007410E8" w:rsidRDefault="00643D80" w:rsidP="0035025C">
          <w:pPr>
            <w:pStyle w:val="FooterText"/>
            <w:spacing w:before="60"/>
            <w:rPr>
              <w:sz w:val="16"/>
            </w:rPr>
          </w:pPr>
          <w:r>
            <w:t>10203/18</w:t>
          </w:r>
          <w:r w:rsidRPr="002511D8">
            <w:t xml:space="preserve"> </w:t>
          </w:r>
        </w:p>
      </w:tc>
      <w:tc>
        <w:tcPr>
          <w:tcW w:w="1295" w:type="pct"/>
          <w:shd w:val="clear" w:color="auto" w:fill="auto"/>
        </w:tcPr>
        <w:p w14:paraId="237DE7B1" w14:textId="77777777" w:rsidR="00643D80" w:rsidRPr="007410E8" w:rsidRDefault="00643D80" w:rsidP="0035025C">
          <w:pPr>
            <w:pStyle w:val="FooterText"/>
            <w:spacing w:before="120"/>
            <w:rPr>
              <w:sz w:val="16"/>
            </w:rPr>
          </w:pPr>
        </w:p>
      </w:tc>
      <w:tc>
        <w:tcPr>
          <w:tcW w:w="1103" w:type="pct"/>
          <w:gridSpan w:val="2"/>
          <w:shd w:val="clear" w:color="auto" w:fill="auto"/>
        </w:tcPr>
        <w:p w14:paraId="302E26CD" w14:textId="596F5AC2" w:rsidR="00643D80" w:rsidRPr="007410E8" w:rsidRDefault="00643D80" w:rsidP="00643D80">
          <w:pPr>
            <w:pStyle w:val="FooterText"/>
            <w:spacing w:before="60"/>
            <w:jc w:val="right"/>
            <w:rPr>
              <w:sz w:val="16"/>
            </w:rPr>
          </w:pPr>
          <w:r>
            <w:fldChar w:fldCharType="begin"/>
          </w:r>
          <w:r>
            <w:instrText xml:space="preserve"> PAGE  \* MERGEFORMAT </w:instrText>
          </w:r>
          <w:r>
            <w:fldChar w:fldCharType="separate"/>
          </w:r>
          <w:r w:rsidR="00E16391">
            <w:rPr>
              <w:noProof/>
            </w:rPr>
            <w:t>1</w:t>
          </w:r>
          <w:r>
            <w:fldChar w:fldCharType="end"/>
          </w:r>
        </w:p>
      </w:tc>
    </w:tr>
    <w:tr w:rsidR="00643D80" w:rsidRPr="007410E8" w14:paraId="042133B7" w14:textId="77777777" w:rsidTr="00643D80">
      <w:trPr>
        <w:jc w:val="center"/>
      </w:trPr>
      <w:tc>
        <w:tcPr>
          <w:tcW w:w="2602" w:type="pct"/>
          <w:gridSpan w:val="2"/>
          <w:shd w:val="clear" w:color="auto" w:fill="auto"/>
        </w:tcPr>
        <w:p w14:paraId="301C832B" w14:textId="77777777" w:rsidR="00643D80" w:rsidRPr="007410E8" w:rsidRDefault="00643D80" w:rsidP="0035025C">
          <w:pPr>
            <w:pStyle w:val="FooterText"/>
            <w:rPr>
              <w:sz w:val="16"/>
            </w:rPr>
          </w:pPr>
        </w:p>
      </w:tc>
      <w:tc>
        <w:tcPr>
          <w:tcW w:w="1295" w:type="pct"/>
          <w:shd w:val="clear" w:color="auto" w:fill="auto"/>
        </w:tcPr>
        <w:p w14:paraId="50E0E0F6" w14:textId="77777777" w:rsidR="00643D80" w:rsidRPr="007410E8" w:rsidRDefault="00643D80" w:rsidP="0035025C">
          <w:pPr>
            <w:pStyle w:val="FooterText"/>
            <w:rPr>
              <w:sz w:val="16"/>
            </w:rPr>
          </w:pPr>
        </w:p>
      </w:tc>
      <w:tc>
        <w:tcPr>
          <w:tcW w:w="1103" w:type="pct"/>
          <w:gridSpan w:val="2"/>
          <w:shd w:val="clear" w:color="auto" w:fill="auto"/>
        </w:tcPr>
        <w:p w14:paraId="5E231D20" w14:textId="7883B757" w:rsidR="00643D80" w:rsidRPr="007410E8" w:rsidRDefault="00643D80" w:rsidP="0035025C">
          <w:pPr>
            <w:pStyle w:val="FooterText"/>
            <w:jc w:val="right"/>
            <w:rPr>
              <w:sz w:val="16"/>
            </w:rPr>
          </w:pPr>
          <w:r>
            <w:rPr>
              <w:b/>
              <w:position w:val="-4"/>
              <w:sz w:val="36"/>
            </w:rPr>
            <w:t>EN</w:t>
          </w:r>
        </w:p>
      </w:tc>
    </w:tr>
    <w:bookmarkEnd w:id="2"/>
  </w:tbl>
  <w:p w14:paraId="44369414" w14:textId="77777777" w:rsidR="00422875" w:rsidRPr="00643D80" w:rsidRDefault="00422875" w:rsidP="00643D80">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43D80" w:rsidRPr="007410E8" w14:paraId="72CA578B" w14:textId="77777777" w:rsidTr="00643D80">
      <w:trPr>
        <w:jc w:val="center"/>
      </w:trPr>
      <w:tc>
        <w:tcPr>
          <w:tcW w:w="5000" w:type="pct"/>
          <w:gridSpan w:val="3"/>
          <w:shd w:val="clear" w:color="auto" w:fill="auto"/>
        </w:tcPr>
        <w:p w14:paraId="333DA416" w14:textId="6355FCBC" w:rsidR="00643D80" w:rsidRPr="007410E8" w:rsidRDefault="00643D80"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14:paraId="5ECCBACE" w14:textId="216B48CB" w:rsidR="00643D80" w:rsidRPr="007410E8" w:rsidRDefault="00643D8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14:paraId="6F27505E" w14:textId="4494F659" w:rsidR="00643D80" w:rsidRPr="007410E8" w:rsidRDefault="00643D80"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14:paraId="524316B1" w14:textId="77777777" w:rsidR="00643D80" w:rsidRPr="007410E8" w:rsidRDefault="00643D80" w:rsidP="0035025C">
          <w:pPr>
            <w:pStyle w:val="FooterText"/>
            <w:tabs>
              <w:tab w:val="left" w:pos="285"/>
              <w:tab w:val="left" w:pos="585"/>
            </w:tabs>
            <w:rPr>
              <w:sz w:val="21"/>
              <w:szCs w:val="21"/>
            </w:rPr>
          </w:pPr>
        </w:p>
      </w:tc>
    </w:tr>
    <w:tr w:rsidR="00643D80" w:rsidRPr="007410E8" w14:paraId="0F2E7167" w14:textId="77777777" w:rsidTr="00643D80">
      <w:trPr>
        <w:jc w:val="center"/>
      </w:trPr>
      <w:tc>
        <w:tcPr>
          <w:tcW w:w="2604" w:type="pct"/>
          <w:shd w:val="clear" w:color="auto" w:fill="auto"/>
        </w:tcPr>
        <w:p w14:paraId="578D6821" w14:textId="45F4ED15" w:rsidR="00643D80" w:rsidRPr="007410E8" w:rsidRDefault="00643D80" w:rsidP="0035025C">
          <w:pPr>
            <w:pStyle w:val="FooterText"/>
            <w:rPr>
              <w:sz w:val="16"/>
            </w:rPr>
          </w:pPr>
          <w:r>
            <w:t>10203/18</w:t>
          </w:r>
          <w:r w:rsidRPr="002511D8">
            <w:t xml:space="preserve"> </w:t>
          </w:r>
        </w:p>
      </w:tc>
      <w:tc>
        <w:tcPr>
          <w:tcW w:w="1319" w:type="pct"/>
          <w:shd w:val="clear" w:color="auto" w:fill="auto"/>
        </w:tcPr>
        <w:p w14:paraId="66E0A4E9" w14:textId="77777777" w:rsidR="00643D80" w:rsidRPr="007410E8" w:rsidRDefault="00643D80" w:rsidP="0035025C">
          <w:pPr>
            <w:pStyle w:val="FooterText"/>
            <w:rPr>
              <w:sz w:val="16"/>
            </w:rPr>
          </w:pPr>
        </w:p>
      </w:tc>
      <w:tc>
        <w:tcPr>
          <w:tcW w:w="1077" w:type="pct"/>
          <w:shd w:val="clear" w:color="auto" w:fill="auto"/>
        </w:tcPr>
        <w:p w14:paraId="53236033" w14:textId="36E6DA96" w:rsidR="00643D80" w:rsidRPr="007410E8" w:rsidRDefault="00643D80" w:rsidP="00643D80">
          <w:pPr>
            <w:pStyle w:val="FooterText"/>
            <w:jc w:val="right"/>
            <w:rPr>
              <w:sz w:val="16"/>
            </w:rPr>
          </w:pPr>
          <w:r>
            <w:fldChar w:fldCharType="begin"/>
          </w:r>
          <w:r>
            <w:instrText xml:space="preserve"> PAGE  \* MERGEFORMAT </w:instrText>
          </w:r>
          <w:r>
            <w:fldChar w:fldCharType="separate"/>
          </w:r>
          <w:r w:rsidR="00E16391">
            <w:rPr>
              <w:noProof/>
            </w:rPr>
            <w:t>2</w:t>
          </w:r>
          <w:r>
            <w:fldChar w:fldCharType="end"/>
          </w:r>
        </w:p>
      </w:tc>
    </w:tr>
    <w:tr w:rsidR="00643D80" w:rsidRPr="007410E8" w14:paraId="0B7CDB2B" w14:textId="77777777" w:rsidTr="00643D80">
      <w:trPr>
        <w:jc w:val="center"/>
      </w:trPr>
      <w:tc>
        <w:tcPr>
          <w:tcW w:w="2604" w:type="pct"/>
          <w:shd w:val="clear" w:color="auto" w:fill="auto"/>
        </w:tcPr>
        <w:p w14:paraId="03C12CFA" w14:textId="3AC6D04A" w:rsidR="00643D80" w:rsidRPr="007410E8" w:rsidRDefault="00643D80" w:rsidP="0035025C">
          <w:pPr>
            <w:pStyle w:val="FooterText"/>
            <w:rPr>
              <w:sz w:val="16"/>
            </w:rPr>
          </w:pPr>
        </w:p>
      </w:tc>
      <w:tc>
        <w:tcPr>
          <w:tcW w:w="1319" w:type="pct"/>
          <w:shd w:val="clear" w:color="auto" w:fill="auto"/>
        </w:tcPr>
        <w:p w14:paraId="24E71AE9" w14:textId="77777777" w:rsidR="00643D80" w:rsidRPr="007410E8" w:rsidRDefault="00643D80" w:rsidP="0035025C">
          <w:pPr>
            <w:pStyle w:val="FooterText"/>
            <w:rPr>
              <w:sz w:val="16"/>
            </w:rPr>
          </w:pPr>
        </w:p>
      </w:tc>
      <w:tc>
        <w:tcPr>
          <w:tcW w:w="1077" w:type="pct"/>
          <w:shd w:val="clear" w:color="auto" w:fill="auto"/>
        </w:tcPr>
        <w:p w14:paraId="510016F0" w14:textId="638DB053" w:rsidR="00643D80" w:rsidRPr="007410E8" w:rsidRDefault="00643D80" w:rsidP="0035025C">
          <w:pPr>
            <w:pStyle w:val="FooterText"/>
            <w:jc w:val="right"/>
            <w:rPr>
              <w:sz w:val="16"/>
            </w:rPr>
          </w:pPr>
          <w:r>
            <w:rPr>
              <w:b/>
              <w:position w:val="-4"/>
              <w:sz w:val="36"/>
            </w:rPr>
            <w:t>EN</w:t>
          </w:r>
        </w:p>
      </w:tc>
    </w:tr>
    <w:bookmarkEnd w:id="4"/>
  </w:tbl>
  <w:p w14:paraId="7F7913E6" w14:textId="77777777" w:rsidR="00422875" w:rsidRPr="00643D80" w:rsidRDefault="00422875" w:rsidP="00643D80">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A656" w14:textId="77777777" w:rsidR="00422875" w:rsidRDefault="00422875" w:rsidP="00CC05AB">
      <w:pPr>
        <w:spacing w:before="0" w:after="0" w:line="240" w:lineRule="auto"/>
      </w:pPr>
      <w:r>
        <w:separator/>
      </w:r>
    </w:p>
  </w:footnote>
  <w:footnote w:type="continuationSeparator" w:id="0">
    <w:p w14:paraId="7B4790BD" w14:textId="77777777" w:rsidR="00422875" w:rsidRDefault="00422875" w:rsidP="00CC05AB">
      <w:pPr>
        <w:spacing w:before="0" w:after="0" w:line="240" w:lineRule="auto"/>
      </w:pPr>
      <w:r>
        <w:continuationSeparator/>
      </w:r>
    </w:p>
  </w:footnote>
  <w:footnote w:id="1">
    <w:p w14:paraId="25DA8F19" w14:textId="77777777" w:rsidR="00631AD6" w:rsidRDefault="00631AD6" w:rsidP="00631AD6">
      <w:pPr>
        <w:pStyle w:val="FootnoteText"/>
        <w:tabs>
          <w:tab w:val="left" w:pos="567"/>
        </w:tabs>
        <w:ind w:left="567" w:hanging="567"/>
      </w:pPr>
      <w:r>
        <w:rPr>
          <w:rStyle w:val="FootnoteReference"/>
        </w:rPr>
        <w:footnoteRef/>
      </w:r>
      <w:r>
        <w:tab/>
        <w:t>There is no country-specific recommendation for Greece, as it is subject to enhanced policy monitoring under a macroeconomic adjustment programme.</w:t>
      </w:r>
    </w:p>
  </w:footnote>
  <w:footnote w:id="2">
    <w:p w14:paraId="24E2D20D" w14:textId="77777777" w:rsidR="001968D2" w:rsidRDefault="001968D2" w:rsidP="001968D2">
      <w:pPr>
        <w:pStyle w:val="FootnoteText"/>
      </w:pPr>
      <w:r>
        <w:rPr>
          <w:rStyle w:val="FootnoteReference"/>
        </w:rPr>
        <w:footnoteRef/>
      </w:r>
      <w:r>
        <w:tab/>
      </w:r>
      <w:r>
        <w:rPr>
          <w:color w:val="000000"/>
        </w:rPr>
        <w:t>Having a derogation implies that a member state has not yet fulfilled the conditions for adopting the euro.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F1DE" w14:textId="77777777" w:rsidR="002C5697" w:rsidRPr="00643D80" w:rsidRDefault="002C5697" w:rsidP="00643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8E85" w14:textId="5FC35C15" w:rsidR="00422875" w:rsidRPr="00643D80" w:rsidRDefault="00643D80" w:rsidP="00643D80">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9D85" w14:textId="18FE4399" w:rsidR="00422875" w:rsidRPr="00643D80" w:rsidRDefault="00643D80" w:rsidP="00643D80">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43D80" w:rsidRPr="007410E8" w14:paraId="1EB541FF" w14:textId="77777777" w:rsidTr="00643D80">
      <w:trPr>
        <w:jc w:val="center"/>
      </w:trPr>
      <w:tc>
        <w:tcPr>
          <w:tcW w:w="2500" w:type="pct"/>
          <w:shd w:val="clear" w:color="auto" w:fill="auto"/>
        </w:tcPr>
        <w:p w14:paraId="42B778AE" w14:textId="405DC350" w:rsidR="00643D80" w:rsidRPr="007410E8" w:rsidRDefault="00643D80" w:rsidP="0035025C">
          <w:pPr>
            <w:pStyle w:val="HeaderText"/>
            <w:rPr>
              <w:b/>
              <w:i/>
              <w:sz w:val="16"/>
              <w:u w:val="single"/>
            </w:rPr>
          </w:pPr>
          <w:bookmarkStart w:id="3" w:name="HEADER_PRMEET"/>
        </w:p>
      </w:tc>
      <w:tc>
        <w:tcPr>
          <w:tcW w:w="2500" w:type="pct"/>
          <w:shd w:val="clear" w:color="auto" w:fill="auto"/>
        </w:tcPr>
        <w:p w14:paraId="139D904B" w14:textId="57814966" w:rsidR="00643D80" w:rsidRPr="007410E8" w:rsidRDefault="00643D80" w:rsidP="00643D80">
          <w:pPr>
            <w:pStyle w:val="HeaderText"/>
            <w:jc w:val="right"/>
            <w:rPr>
              <w:sz w:val="16"/>
            </w:rPr>
          </w:pPr>
          <w:r w:rsidRPr="00643D80">
            <w:t>22 June 2018</w:t>
          </w:r>
        </w:p>
      </w:tc>
    </w:tr>
    <w:bookmarkEnd w:id="3"/>
  </w:tbl>
  <w:p w14:paraId="5415D523" w14:textId="77777777" w:rsidR="00422875" w:rsidRPr="00643D80" w:rsidRDefault="00422875" w:rsidP="00643D80">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43D80" w:rsidRPr="007410E8" w14:paraId="62D7693D" w14:textId="77777777" w:rsidTr="00643D80">
      <w:trPr>
        <w:jc w:val="center"/>
      </w:trPr>
      <w:tc>
        <w:tcPr>
          <w:tcW w:w="2500" w:type="pct"/>
          <w:shd w:val="clear" w:color="auto" w:fill="auto"/>
        </w:tcPr>
        <w:p w14:paraId="10D481E8" w14:textId="58AF87E5" w:rsidR="00643D80" w:rsidRPr="007410E8" w:rsidRDefault="00643D80" w:rsidP="0035025C">
          <w:pPr>
            <w:pStyle w:val="HeaderText"/>
            <w:rPr>
              <w:b/>
              <w:i/>
              <w:sz w:val="16"/>
              <w:u w:val="single"/>
            </w:rPr>
          </w:pPr>
        </w:p>
      </w:tc>
      <w:tc>
        <w:tcPr>
          <w:tcW w:w="2500" w:type="pct"/>
          <w:shd w:val="clear" w:color="auto" w:fill="auto"/>
        </w:tcPr>
        <w:p w14:paraId="438866AA" w14:textId="27BD6AEA" w:rsidR="00643D80" w:rsidRPr="007410E8" w:rsidRDefault="00643D80" w:rsidP="00643D80">
          <w:pPr>
            <w:pStyle w:val="HeaderText"/>
            <w:jc w:val="right"/>
            <w:rPr>
              <w:sz w:val="16"/>
            </w:rPr>
          </w:pPr>
          <w:r w:rsidRPr="00643D80">
            <w:t>22 June 2018</w:t>
          </w:r>
        </w:p>
      </w:tc>
    </w:tr>
  </w:tbl>
  <w:p w14:paraId="433A683C" w14:textId="77777777" w:rsidR="00422875" w:rsidRPr="00643D80" w:rsidRDefault="00422875" w:rsidP="00643D80">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9E54DCC"/>
    <w:multiLevelType w:val="multilevel"/>
    <w:tmpl w:val="A3569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4" w15:restartNumberingAfterBreak="0">
    <w:nsid w:val="0DF80A71"/>
    <w:multiLevelType w:val="multilevel"/>
    <w:tmpl w:val="FE4A259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6"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7" w15:restartNumberingAfterBreak="0">
    <w:nsid w:val="213C4000"/>
    <w:multiLevelType w:val="multilevel"/>
    <w:tmpl w:val="EDC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B583D"/>
    <w:multiLevelType w:val="multilevel"/>
    <w:tmpl w:val="C2BC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E556D"/>
    <w:multiLevelType w:val="multilevel"/>
    <w:tmpl w:val="1C04053C"/>
    <w:lvl w:ilvl="0">
      <w:start w:val="1"/>
      <w:numFmt w:val="decimal"/>
      <w:lvlText w:val="%1."/>
      <w:lvlJc w:val="left"/>
      <w:pPr>
        <w:tabs>
          <w:tab w:val="num" w:pos="1570"/>
        </w:tabs>
        <w:ind w:left="1570" w:hanging="850"/>
      </w:pPr>
    </w:lvl>
    <w:lvl w:ilvl="1">
      <w:start w:val="1"/>
      <w:numFmt w:val="none"/>
      <w:suff w:val="nothing"/>
      <w:lvlText w:val=""/>
      <w:lvlJc w:val="left"/>
      <w:pPr>
        <w:ind w:left="0" w:firstLine="0"/>
      </w:pPr>
    </w:lvl>
    <w:lvl w:ilvl="2">
      <w:start w:val="1"/>
      <w:numFmt w:val="decimal"/>
      <w:lvlText w:val="%1.%3."/>
      <w:lvlJc w:val="left"/>
      <w:pPr>
        <w:tabs>
          <w:tab w:val="num" w:pos="1570"/>
        </w:tabs>
        <w:ind w:left="1570" w:hanging="850"/>
      </w:pPr>
    </w:lvl>
    <w:lvl w:ilvl="3">
      <w:start w:val="1"/>
      <w:numFmt w:val="decimal"/>
      <w:lvlText w:val="%1.%3.%4."/>
      <w:lvlJc w:val="left"/>
      <w:pPr>
        <w:tabs>
          <w:tab w:val="num" w:pos="1570"/>
        </w:tabs>
        <w:ind w:left="157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1"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12" w15:restartNumberingAfterBreak="0">
    <w:nsid w:val="3DD67A2F"/>
    <w:multiLevelType w:val="multilevel"/>
    <w:tmpl w:val="48F687E2"/>
    <w:lvl w:ilvl="0">
      <w:start w:val="1"/>
      <w:numFmt w:val="decimal"/>
      <w:lvlText w:val="%1."/>
      <w:lvlJc w:val="left"/>
      <w:pPr>
        <w:tabs>
          <w:tab w:val="num" w:pos="1570"/>
        </w:tabs>
        <w:ind w:left="1570" w:hanging="850"/>
      </w:pPr>
    </w:lvl>
    <w:lvl w:ilvl="1">
      <w:start w:val="1"/>
      <w:numFmt w:val="decimal"/>
      <w:lvlText w:val="%1.%2."/>
      <w:lvlJc w:val="left"/>
      <w:pPr>
        <w:tabs>
          <w:tab w:val="num" w:pos="1570"/>
        </w:tabs>
        <w:ind w:left="1570" w:hanging="850"/>
      </w:pPr>
    </w:lvl>
    <w:lvl w:ilvl="2">
      <w:start w:val="1"/>
      <w:numFmt w:val="decimal"/>
      <w:lvlText w:val="%1.%2.%3."/>
      <w:lvlJc w:val="left"/>
      <w:pPr>
        <w:tabs>
          <w:tab w:val="num" w:pos="1570"/>
        </w:tabs>
        <w:ind w:left="1570" w:hanging="850"/>
      </w:pPr>
    </w:lvl>
    <w:lvl w:ilvl="3">
      <w:start w:val="1"/>
      <w:numFmt w:val="decimal"/>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3"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14"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5"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6"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7"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8" w15:restartNumberingAfterBreak="0">
    <w:nsid w:val="7374060B"/>
    <w:multiLevelType w:val="multilevel"/>
    <w:tmpl w:val="2C705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0"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1"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5"/>
  </w:num>
  <w:num w:numId="2">
    <w:abstractNumId w:val="14"/>
  </w:num>
  <w:num w:numId="3">
    <w:abstractNumId w:val="16"/>
  </w:num>
  <w:num w:numId="4">
    <w:abstractNumId w:val="15"/>
  </w:num>
  <w:num w:numId="5">
    <w:abstractNumId w:val="20"/>
  </w:num>
  <w:num w:numId="6">
    <w:abstractNumId w:val="6"/>
  </w:num>
  <w:num w:numId="7">
    <w:abstractNumId w:val="0"/>
  </w:num>
  <w:num w:numId="8">
    <w:abstractNumId w:val="21"/>
  </w:num>
  <w:num w:numId="9">
    <w:abstractNumId w:val="10"/>
  </w:num>
  <w:num w:numId="10">
    <w:abstractNumId w:val="3"/>
  </w:num>
  <w:num w:numId="11">
    <w:abstractNumId w:val="2"/>
  </w:num>
  <w:num w:numId="12">
    <w:abstractNumId w:val="19"/>
  </w:num>
  <w:num w:numId="13">
    <w:abstractNumId w:val="17"/>
  </w:num>
  <w:num w:numId="14">
    <w:abstractNumId w:val="11"/>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8"/>
  </w:num>
  <w:num w:numId="20">
    <w:abstractNumId w:val="7"/>
  </w:num>
  <w:num w:numId="21">
    <w:abstractNumId w:val="18"/>
  </w:num>
  <w:num w:numId="22">
    <w:abstractNumId w:val="1"/>
  </w:num>
  <w:num w:numId="23">
    <w:abstractNumId w:val="5"/>
  </w:num>
  <w:num w:numId="24">
    <w:abstractNumId w:val="14"/>
  </w:num>
  <w:num w:numId="25">
    <w:abstractNumId w:val="16"/>
  </w:num>
  <w:num w:numId="26">
    <w:abstractNumId w:val="15"/>
  </w:num>
  <w:num w:numId="27">
    <w:abstractNumId w:val="20"/>
  </w:num>
  <w:num w:numId="28">
    <w:abstractNumId w:val="6"/>
  </w:num>
  <w:num w:numId="29">
    <w:abstractNumId w:val="0"/>
  </w:num>
  <w:num w:numId="30">
    <w:abstractNumId w:val="21"/>
  </w:num>
  <w:num w:numId="31">
    <w:abstractNumId w:val="10"/>
  </w:num>
  <w:num w:numId="32">
    <w:abstractNumId w:val="3"/>
  </w:num>
  <w:num w:numId="33">
    <w:abstractNumId w:val="2"/>
  </w:num>
  <w:num w:numId="34">
    <w:abstractNumId w:val="19"/>
  </w:num>
  <w:num w:numId="35">
    <w:abstractNumId w:val="17"/>
  </w:num>
  <w:num w:numId="36">
    <w:abstractNumId w:val="11"/>
  </w:num>
  <w:num w:numId="37">
    <w:abstractNumId w:val="13"/>
  </w:num>
  <w:num w:numId="38">
    <w:abstractNumId w:val="11"/>
    <w:lvlOverride w:ilvl="0">
      <w:startOverride w:val="1"/>
    </w:lvlOverride>
  </w:num>
  <w:num w:numId="39">
    <w:abstractNumId w:val="13"/>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ttachedTemplate r:id="rId1"/>
  <w:defaultTabStop w:val="720"/>
  <w:characterSpacingControl w:val="doNotCompress"/>
  <w:hdrShapeDefaults>
    <o:shapedefaults v:ext="edit" spidmax="47105"/>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1.25&quot; technicalblockguid=&quot;469610999120936733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203&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6&lt;/text&gt;_x000d__x000a_      &lt;text&gt;PR CO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finance of Bulgaria&quot; name=&quot;Vladislav Goranov&quot; text=&quot;Vladislav Goranov, Minister for finance of Bulgaria&quot; genderKeyBds=&quot;gend_01&quot; /&gt;_x000d__x000a_    &lt;/presidents&gt;_x000d__x000a_  &lt;/metadata&gt;_x000d__x000a_  &lt;metadata key=&quot;md_MeetingNumber&quot;&gt;_x000d__x000a_    &lt;text&gt;3626&lt;/text&gt;_x000d__x000a_  &lt;/metadata&gt;_x000d__x000a_  &lt;metadata key=&quot;md_CouncilConfiguration&quot;&gt;_x000d__x000a_    &lt;basicdatatype&gt;_x000d__x000a_      &lt;configuration key=&quot;cc_03&quot; text=&quot;Economic and Financi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6-22&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3C5A34"/>
    <w:rsid w:val="00047626"/>
    <w:rsid w:val="00064315"/>
    <w:rsid w:val="00072F5F"/>
    <w:rsid w:val="000C2605"/>
    <w:rsid w:val="000E7BA2"/>
    <w:rsid w:val="00102B51"/>
    <w:rsid w:val="00106FFB"/>
    <w:rsid w:val="00113C9C"/>
    <w:rsid w:val="00120E6B"/>
    <w:rsid w:val="00160675"/>
    <w:rsid w:val="00184C69"/>
    <w:rsid w:val="001968D2"/>
    <w:rsid w:val="002424E0"/>
    <w:rsid w:val="00245069"/>
    <w:rsid w:val="00281118"/>
    <w:rsid w:val="002927BF"/>
    <w:rsid w:val="002C5697"/>
    <w:rsid w:val="002E42AF"/>
    <w:rsid w:val="00306A9C"/>
    <w:rsid w:val="003071F7"/>
    <w:rsid w:val="00324B72"/>
    <w:rsid w:val="0035257F"/>
    <w:rsid w:val="00355481"/>
    <w:rsid w:val="00355EF2"/>
    <w:rsid w:val="003651AB"/>
    <w:rsid w:val="003A53F3"/>
    <w:rsid w:val="003B1750"/>
    <w:rsid w:val="003C03BA"/>
    <w:rsid w:val="003C5A34"/>
    <w:rsid w:val="003D1FAB"/>
    <w:rsid w:val="00406D2A"/>
    <w:rsid w:val="00420519"/>
    <w:rsid w:val="00422875"/>
    <w:rsid w:val="00436CA2"/>
    <w:rsid w:val="00442EFD"/>
    <w:rsid w:val="004A6F56"/>
    <w:rsid w:val="004B3F67"/>
    <w:rsid w:val="00520741"/>
    <w:rsid w:val="005353E2"/>
    <w:rsid w:val="0055628A"/>
    <w:rsid w:val="00591550"/>
    <w:rsid w:val="005E6EDD"/>
    <w:rsid w:val="00631AD6"/>
    <w:rsid w:val="00643D80"/>
    <w:rsid w:val="006F661C"/>
    <w:rsid w:val="00717368"/>
    <w:rsid w:val="007356CC"/>
    <w:rsid w:val="00735E01"/>
    <w:rsid w:val="007C224D"/>
    <w:rsid w:val="007D7B04"/>
    <w:rsid w:val="007F6A11"/>
    <w:rsid w:val="008039C5"/>
    <w:rsid w:val="00835E27"/>
    <w:rsid w:val="00836AC4"/>
    <w:rsid w:val="0084303D"/>
    <w:rsid w:val="008552E2"/>
    <w:rsid w:val="00882625"/>
    <w:rsid w:val="008A1A04"/>
    <w:rsid w:val="008C476C"/>
    <w:rsid w:val="008F19EA"/>
    <w:rsid w:val="00963306"/>
    <w:rsid w:val="00966211"/>
    <w:rsid w:val="00974ED9"/>
    <w:rsid w:val="00975BA2"/>
    <w:rsid w:val="009D0867"/>
    <w:rsid w:val="009D40DB"/>
    <w:rsid w:val="009D72C1"/>
    <w:rsid w:val="009E2802"/>
    <w:rsid w:val="00A00A53"/>
    <w:rsid w:val="00A054F4"/>
    <w:rsid w:val="00A555CA"/>
    <w:rsid w:val="00AB0709"/>
    <w:rsid w:val="00AD3638"/>
    <w:rsid w:val="00AD57DD"/>
    <w:rsid w:val="00AE7974"/>
    <w:rsid w:val="00B000F0"/>
    <w:rsid w:val="00B15F8F"/>
    <w:rsid w:val="00B32CEE"/>
    <w:rsid w:val="00B404FF"/>
    <w:rsid w:val="00B42900"/>
    <w:rsid w:val="00B834C8"/>
    <w:rsid w:val="00BB5340"/>
    <w:rsid w:val="00BF31EF"/>
    <w:rsid w:val="00C21127"/>
    <w:rsid w:val="00C732D6"/>
    <w:rsid w:val="00CA66FE"/>
    <w:rsid w:val="00CC05AB"/>
    <w:rsid w:val="00D040DF"/>
    <w:rsid w:val="00D20D15"/>
    <w:rsid w:val="00D216F9"/>
    <w:rsid w:val="00D5720B"/>
    <w:rsid w:val="00D66326"/>
    <w:rsid w:val="00D97185"/>
    <w:rsid w:val="00DC2E64"/>
    <w:rsid w:val="00DD28D2"/>
    <w:rsid w:val="00DD7C57"/>
    <w:rsid w:val="00DE11A8"/>
    <w:rsid w:val="00DE7444"/>
    <w:rsid w:val="00DE787A"/>
    <w:rsid w:val="00DE7B92"/>
    <w:rsid w:val="00DF6353"/>
    <w:rsid w:val="00E16391"/>
    <w:rsid w:val="00E52E6E"/>
    <w:rsid w:val="00E72F0E"/>
    <w:rsid w:val="00E83990"/>
    <w:rsid w:val="00ED6318"/>
    <w:rsid w:val="00EE4DF9"/>
    <w:rsid w:val="00F02D01"/>
    <w:rsid w:val="00F31A8A"/>
    <w:rsid w:val="00F37686"/>
    <w:rsid w:val="00F43B4D"/>
    <w:rsid w:val="00F73D48"/>
    <w:rsid w:val="00F81A81"/>
    <w:rsid w:val="00F90A29"/>
    <w:rsid w:val="00FA46E0"/>
    <w:rsid w:val="00FB06D4"/>
    <w:rsid w:val="00FB1A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AF2B7D5"/>
  <w15:docId w15:val="{7E5F17C4-C1DD-413C-9363-0E91F8AC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qFormat/>
    <w:rsid w:val="00DE787A"/>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semiHidden/>
    <w:unhideWhenUsed/>
    <w:qFormat/>
    <w:rsid w:val="00DE787A"/>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C5A34"/>
    <w:pPr>
      <w:spacing w:before="0" w:after="440"/>
      <w:ind w:left="-1134" w:right="-1134"/>
    </w:pPr>
    <w:rPr>
      <w:sz w:val="2"/>
    </w:rPr>
  </w:style>
  <w:style w:type="character" w:customStyle="1" w:styleId="TechnicalBlockChar">
    <w:name w:val="Technical Block Char"/>
    <w:basedOn w:val="DefaultParagraphFont"/>
    <w:rsid w:val="003C5A3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3C5A34"/>
    <w:rPr>
      <w:rFonts w:ascii="Times New Roman" w:hAnsi="Times New Roman" w:cs="Times New Roman"/>
      <w:sz w:val="2"/>
      <w:lang w:val="en-GB"/>
    </w:rPr>
  </w:style>
  <w:style w:type="paragraph" w:customStyle="1" w:styleId="FooterText">
    <w:name w:val="Footer Text"/>
    <w:basedOn w:val="Normal"/>
    <w:rsid w:val="003C5A34"/>
    <w:pPr>
      <w:spacing w:before="0" w:after="0" w:line="240" w:lineRule="auto"/>
    </w:pPr>
    <w:rPr>
      <w:rFonts w:eastAsia="Times New Roman"/>
      <w:szCs w:val="24"/>
    </w:rPr>
  </w:style>
  <w:style w:type="character" w:styleId="PlaceholderText">
    <w:name w:val="Placeholder Text"/>
    <w:basedOn w:val="DefaultParagraphFont"/>
    <w:uiPriority w:val="99"/>
    <w:semiHidden/>
    <w:rsid w:val="003C5A34"/>
    <w:rPr>
      <w:color w:val="808080"/>
    </w:rPr>
  </w:style>
  <w:style w:type="paragraph" w:customStyle="1" w:styleId="FooterAddressText">
    <w:name w:val="Footer Address Text"/>
    <w:basedOn w:val="FooterText"/>
    <w:qFormat/>
    <w:rsid w:val="003C5A34"/>
    <w:pPr>
      <w:jc w:val="center"/>
    </w:pPr>
    <w:rPr>
      <w:spacing w:val="10"/>
      <w:sz w:val="16"/>
      <w:szCs w:val="16"/>
    </w:rPr>
  </w:style>
  <w:style w:type="character" w:styleId="Hyperlink">
    <w:name w:val="Hyperlink"/>
    <w:basedOn w:val="DefaultParagraphFont"/>
    <w:uiPriority w:val="99"/>
    <w:unhideWhenUsed/>
    <w:qFormat/>
    <w:rsid w:val="003C5A34"/>
    <w:rPr>
      <w:color w:val="0000FF" w:themeColor="hyperlink"/>
      <w:u w:val="single"/>
    </w:rPr>
  </w:style>
  <w:style w:type="paragraph" w:customStyle="1" w:styleId="HeaderText">
    <w:name w:val="Header Text"/>
    <w:basedOn w:val="Normal"/>
    <w:rsid w:val="003C5A34"/>
    <w:pPr>
      <w:spacing w:before="0" w:after="0" w:line="240" w:lineRule="auto"/>
    </w:pPr>
    <w:rPr>
      <w:rFonts w:eastAsia="Times New Roman"/>
      <w:szCs w:val="24"/>
    </w:rPr>
  </w:style>
  <w:style w:type="paragraph" w:styleId="ListParagraph">
    <w:name w:val="List Paragraph"/>
    <w:basedOn w:val="Normal"/>
    <w:uiPriority w:val="34"/>
    <w:qFormat/>
    <w:rsid w:val="00FB06D4"/>
    <w:pPr>
      <w:spacing w:before="0" w:after="0" w:line="360" w:lineRule="auto"/>
      <w:ind w:left="720"/>
      <w:contextualSpacing/>
    </w:pPr>
    <w:rPr>
      <w:rFonts w:eastAsia="Calibri" w:cs="Arial"/>
      <w:color w:val="00000A"/>
      <w:lang w:val="en-US"/>
    </w:rPr>
  </w:style>
  <w:style w:type="paragraph" w:customStyle="1" w:styleId="Style1">
    <w:name w:val="Style1"/>
    <w:qFormat/>
    <w:rsid w:val="00FB06D4"/>
    <w:pPr>
      <w:spacing w:after="0" w:line="240" w:lineRule="auto"/>
    </w:pPr>
    <w:rPr>
      <w:rFonts w:ascii="Arial" w:eastAsia="Calibri" w:hAnsi="Arial" w:cs="Arial"/>
      <w:lang w:val="en-GB" w:eastAsia="en-GB"/>
    </w:rPr>
  </w:style>
  <w:style w:type="character" w:customStyle="1" w:styleId="InternetLink">
    <w:name w:val="Internet Link"/>
    <w:uiPriority w:val="99"/>
    <w:semiHidden/>
    <w:unhideWhenUsed/>
    <w:qFormat/>
    <w:rsid w:val="00113C9C"/>
    <w:rPr>
      <w:color w:val="0000FF"/>
      <w:u w:val="single"/>
    </w:rPr>
  </w:style>
  <w:style w:type="paragraph" w:styleId="BalloonText">
    <w:name w:val="Balloon Text"/>
    <w:basedOn w:val="Normal"/>
    <w:link w:val="BalloonTextChar"/>
    <w:uiPriority w:val="99"/>
    <w:semiHidden/>
    <w:unhideWhenUsed/>
    <w:rsid w:val="006F661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1C"/>
    <w:rPr>
      <w:rFonts w:ascii="Segoe UI" w:hAnsi="Segoe UI" w:cs="Segoe UI"/>
      <w:sz w:val="18"/>
      <w:szCs w:val="18"/>
      <w:lang w:val="en-GB"/>
    </w:rPr>
  </w:style>
  <w:style w:type="character" w:styleId="FollowedHyperlink">
    <w:name w:val="FollowedHyperlink"/>
    <w:basedOn w:val="DefaultParagraphFont"/>
    <w:uiPriority w:val="99"/>
    <w:semiHidden/>
    <w:unhideWhenUsed/>
    <w:rsid w:val="009D72C1"/>
    <w:rPr>
      <w:color w:val="800080" w:themeColor="followedHyperlink"/>
      <w:u w:val="single"/>
    </w:rPr>
  </w:style>
  <w:style w:type="paragraph" w:styleId="EndnoteText">
    <w:name w:val="endnote text"/>
    <w:basedOn w:val="Normal"/>
    <w:link w:val="EndnoteTextChar"/>
    <w:semiHidden/>
    <w:unhideWhenUsed/>
    <w:rsid w:val="00B15F8F"/>
    <w:pPr>
      <w:widowControl w:val="0"/>
      <w:snapToGrid w:val="0"/>
      <w:spacing w:before="0" w:after="0" w:line="240" w:lineRule="auto"/>
    </w:pPr>
    <w:rPr>
      <w:rFonts w:eastAsia="Times New Roman"/>
      <w:szCs w:val="20"/>
      <w:lang w:val="en-US"/>
    </w:rPr>
  </w:style>
  <w:style w:type="character" w:customStyle="1" w:styleId="EndnoteTextChar">
    <w:name w:val="Endnote Text Char"/>
    <w:basedOn w:val="DefaultParagraphFont"/>
    <w:link w:val="EndnoteText"/>
    <w:semiHidden/>
    <w:rsid w:val="00B15F8F"/>
    <w:rPr>
      <w:rFonts w:ascii="Times New Roman" w:eastAsia="Times New Roman" w:hAnsi="Times New Roman" w:cs="Times New Roman"/>
      <w:sz w:val="24"/>
      <w:szCs w:val="20"/>
    </w:rPr>
  </w:style>
  <w:style w:type="character" w:customStyle="1" w:styleId="Heading1Char">
    <w:name w:val="Heading 1 Char"/>
    <w:basedOn w:val="DefaultParagraphFont"/>
    <w:link w:val="Heading1"/>
    <w:qFormat/>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36"/>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aliases w:val="Reference,Footnote Text Char1 Char,Footnote Text Char Char Char,Footnote Text Char2 Char Char Char,Footnote Text Char1 Char Char Char Char,Footnote Text Char Char Char Char Char Char,Plonk,Footnote text PFR"/>
    <w:basedOn w:val="Normal"/>
    <w:link w:val="FootnoteTextChar"/>
    <w:unhideWhenUsed/>
    <w:rsid w:val="00ED6318"/>
    <w:pPr>
      <w:spacing w:before="0" w:after="0"/>
      <w:ind w:left="720" w:hanging="720"/>
    </w:pPr>
    <w:rPr>
      <w:szCs w:val="20"/>
    </w:rPr>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
    <w:basedOn w:val="DefaultParagraphFont"/>
    <w:link w:val="FootnoteText"/>
    <w:semiHidden/>
    <w:qFormat/>
    <w:rsid w:val="00ED6318"/>
    <w:rPr>
      <w:rFonts w:ascii="Times New Roman" w:hAnsi="Times New Roman" w:cs="Times New Roman"/>
      <w:sz w:val="24"/>
      <w:szCs w:val="20"/>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semiHidden/>
    <w:qFormat/>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aliases w:val="BVI fnr,Footnote symbol,(Footnote Reference),Footnote,SUPERS,Voetnootverwijzing,Times 10 Point,Exposant 3 Point,Footnote reference number,note TESI,EN Footnote Refer,Odwołanie przypisu,EN Footnote Reference,Nota,Footnote numb"/>
    <w:basedOn w:val="DefaultParagraphFont"/>
    <w:unhideWhenUsed/>
    <w:rsid w:val="00ED6318"/>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37"/>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23"/>
      </w:numPr>
    </w:pPr>
  </w:style>
  <w:style w:type="paragraph" w:customStyle="1" w:styleId="Tiret1">
    <w:name w:val="Tiret 1"/>
    <w:basedOn w:val="Normal"/>
    <w:rsid w:val="00DE787A"/>
    <w:pPr>
      <w:numPr>
        <w:numId w:val="24"/>
      </w:numPr>
    </w:pPr>
  </w:style>
  <w:style w:type="paragraph" w:customStyle="1" w:styleId="Tiret2">
    <w:name w:val="Tiret 2"/>
    <w:basedOn w:val="Normal"/>
    <w:rsid w:val="00DE787A"/>
    <w:pPr>
      <w:numPr>
        <w:numId w:val="25"/>
      </w:numPr>
    </w:pPr>
  </w:style>
  <w:style w:type="paragraph" w:customStyle="1" w:styleId="Tiret3">
    <w:name w:val="Tiret 3"/>
    <w:basedOn w:val="Normal"/>
    <w:rsid w:val="00DE787A"/>
    <w:pPr>
      <w:numPr>
        <w:numId w:val="26"/>
      </w:numPr>
    </w:pPr>
  </w:style>
  <w:style w:type="paragraph" w:customStyle="1" w:styleId="Tiret4">
    <w:name w:val="Tiret 4"/>
    <w:basedOn w:val="Normal"/>
    <w:rsid w:val="00DE787A"/>
    <w:pPr>
      <w:numPr>
        <w:numId w:val="27"/>
      </w:numPr>
    </w:pPr>
  </w:style>
  <w:style w:type="paragraph" w:customStyle="1" w:styleId="NumPar1">
    <w:name w:val="NumPar 1"/>
    <w:basedOn w:val="Normal"/>
    <w:next w:val="Text1"/>
    <w:rsid w:val="00DE787A"/>
    <w:pPr>
      <w:numPr>
        <w:numId w:val="28"/>
      </w:numPr>
    </w:pPr>
  </w:style>
  <w:style w:type="paragraph" w:customStyle="1" w:styleId="NumPar2">
    <w:name w:val="NumPar 2"/>
    <w:basedOn w:val="Normal"/>
    <w:next w:val="Text1"/>
    <w:rsid w:val="00DE787A"/>
    <w:pPr>
      <w:numPr>
        <w:ilvl w:val="1"/>
        <w:numId w:val="28"/>
      </w:numPr>
    </w:pPr>
  </w:style>
  <w:style w:type="paragraph" w:customStyle="1" w:styleId="NumPar3">
    <w:name w:val="NumPar 3"/>
    <w:basedOn w:val="Normal"/>
    <w:next w:val="Text1"/>
    <w:rsid w:val="00DE787A"/>
    <w:pPr>
      <w:numPr>
        <w:ilvl w:val="2"/>
        <w:numId w:val="28"/>
      </w:numPr>
    </w:pPr>
  </w:style>
  <w:style w:type="paragraph" w:customStyle="1" w:styleId="NumPar4">
    <w:name w:val="NumPar 4"/>
    <w:basedOn w:val="Normal"/>
    <w:next w:val="Text1"/>
    <w:rsid w:val="00DE787A"/>
    <w:pPr>
      <w:numPr>
        <w:ilvl w:val="3"/>
        <w:numId w:val="28"/>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30"/>
      </w:numPr>
    </w:pPr>
  </w:style>
  <w:style w:type="paragraph" w:customStyle="1" w:styleId="Point1number">
    <w:name w:val="Point 1 (number)"/>
    <w:basedOn w:val="Normal"/>
    <w:rsid w:val="00DE787A"/>
    <w:pPr>
      <w:numPr>
        <w:ilvl w:val="2"/>
        <w:numId w:val="30"/>
      </w:numPr>
    </w:pPr>
  </w:style>
  <w:style w:type="paragraph" w:customStyle="1" w:styleId="Point2number">
    <w:name w:val="Point 2 (number)"/>
    <w:basedOn w:val="Normal"/>
    <w:rsid w:val="00DE787A"/>
    <w:pPr>
      <w:numPr>
        <w:ilvl w:val="4"/>
        <w:numId w:val="30"/>
      </w:numPr>
    </w:pPr>
  </w:style>
  <w:style w:type="paragraph" w:customStyle="1" w:styleId="Point3number">
    <w:name w:val="Point 3 (number)"/>
    <w:basedOn w:val="Normal"/>
    <w:rsid w:val="00DE787A"/>
    <w:pPr>
      <w:numPr>
        <w:ilvl w:val="6"/>
        <w:numId w:val="30"/>
      </w:numPr>
    </w:pPr>
  </w:style>
  <w:style w:type="paragraph" w:customStyle="1" w:styleId="Point0letter">
    <w:name w:val="Point 0 (letter)"/>
    <w:basedOn w:val="Normal"/>
    <w:rsid w:val="00DE787A"/>
    <w:pPr>
      <w:numPr>
        <w:ilvl w:val="1"/>
        <w:numId w:val="30"/>
      </w:numPr>
    </w:pPr>
  </w:style>
  <w:style w:type="paragraph" w:customStyle="1" w:styleId="Point1letter">
    <w:name w:val="Point 1 (letter)"/>
    <w:basedOn w:val="Normal"/>
    <w:rsid w:val="00DE787A"/>
    <w:pPr>
      <w:numPr>
        <w:ilvl w:val="3"/>
        <w:numId w:val="30"/>
      </w:numPr>
    </w:pPr>
  </w:style>
  <w:style w:type="paragraph" w:customStyle="1" w:styleId="Point2letter">
    <w:name w:val="Point 2 (letter)"/>
    <w:basedOn w:val="Normal"/>
    <w:rsid w:val="00DE787A"/>
    <w:pPr>
      <w:numPr>
        <w:ilvl w:val="5"/>
        <w:numId w:val="30"/>
      </w:numPr>
    </w:pPr>
  </w:style>
  <w:style w:type="paragraph" w:customStyle="1" w:styleId="Point3letter">
    <w:name w:val="Point 3 (letter)"/>
    <w:basedOn w:val="Normal"/>
    <w:rsid w:val="00DE787A"/>
    <w:pPr>
      <w:numPr>
        <w:ilvl w:val="7"/>
        <w:numId w:val="30"/>
      </w:numPr>
    </w:pPr>
  </w:style>
  <w:style w:type="paragraph" w:customStyle="1" w:styleId="Point4letter">
    <w:name w:val="Point 4 (letter)"/>
    <w:basedOn w:val="Normal"/>
    <w:rsid w:val="00DE787A"/>
    <w:pPr>
      <w:numPr>
        <w:ilvl w:val="8"/>
        <w:numId w:val="30"/>
      </w:numPr>
    </w:pPr>
  </w:style>
  <w:style w:type="paragraph" w:customStyle="1" w:styleId="Bullet0">
    <w:name w:val="Bullet 0"/>
    <w:basedOn w:val="Normal"/>
    <w:rsid w:val="00DE787A"/>
    <w:pPr>
      <w:numPr>
        <w:numId w:val="31"/>
      </w:numPr>
    </w:pPr>
  </w:style>
  <w:style w:type="paragraph" w:customStyle="1" w:styleId="Bullet1">
    <w:name w:val="Bullet 1"/>
    <w:basedOn w:val="Normal"/>
    <w:rsid w:val="00DE787A"/>
    <w:pPr>
      <w:numPr>
        <w:numId w:val="32"/>
      </w:numPr>
    </w:pPr>
  </w:style>
  <w:style w:type="paragraph" w:customStyle="1" w:styleId="Bullet2">
    <w:name w:val="Bullet 2"/>
    <w:basedOn w:val="Normal"/>
    <w:rsid w:val="00DE787A"/>
    <w:pPr>
      <w:numPr>
        <w:numId w:val="33"/>
      </w:numPr>
    </w:pPr>
  </w:style>
  <w:style w:type="paragraph" w:customStyle="1" w:styleId="Bullet3">
    <w:name w:val="Bullet 3"/>
    <w:basedOn w:val="Normal"/>
    <w:rsid w:val="00DE787A"/>
    <w:pPr>
      <w:numPr>
        <w:numId w:val="34"/>
      </w:numPr>
    </w:pPr>
  </w:style>
  <w:style w:type="paragraph" w:customStyle="1" w:styleId="Bullet4">
    <w:name w:val="Bullet 4"/>
    <w:basedOn w:val="Normal"/>
    <w:rsid w:val="00DE787A"/>
    <w:pPr>
      <w:numPr>
        <w:numId w:val="35"/>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43D80"/>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Default">
    <w:name w:val="Default"/>
    <w:rsid w:val="003D1FAB"/>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925">
      <w:bodyDiv w:val="1"/>
      <w:marLeft w:val="0"/>
      <w:marRight w:val="0"/>
      <w:marTop w:val="0"/>
      <w:marBottom w:val="0"/>
      <w:divBdr>
        <w:top w:val="none" w:sz="0" w:space="0" w:color="auto"/>
        <w:left w:val="none" w:sz="0" w:space="0" w:color="auto"/>
        <w:bottom w:val="none" w:sz="0" w:space="0" w:color="auto"/>
        <w:right w:val="none" w:sz="0" w:space="0" w:color="auto"/>
      </w:divBdr>
    </w:div>
    <w:div w:id="438524447">
      <w:bodyDiv w:val="1"/>
      <w:marLeft w:val="0"/>
      <w:marRight w:val="0"/>
      <w:marTop w:val="0"/>
      <w:marBottom w:val="0"/>
      <w:divBdr>
        <w:top w:val="none" w:sz="0" w:space="0" w:color="auto"/>
        <w:left w:val="none" w:sz="0" w:space="0" w:color="auto"/>
        <w:bottom w:val="none" w:sz="0" w:space="0" w:color="auto"/>
        <w:right w:val="none" w:sz="0" w:space="0" w:color="auto"/>
      </w:divBdr>
    </w:div>
    <w:div w:id="470634111">
      <w:bodyDiv w:val="1"/>
      <w:marLeft w:val="0"/>
      <w:marRight w:val="0"/>
      <w:marTop w:val="0"/>
      <w:marBottom w:val="0"/>
      <w:divBdr>
        <w:top w:val="none" w:sz="0" w:space="0" w:color="auto"/>
        <w:left w:val="none" w:sz="0" w:space="0" w:color="auto"/>
        <w:bottom w:val="none" w:sz="0" w:space="0" w:color="auto"/>
        <w:right w:val="none" w:sz="0" w:space="0" w:color="auto"/>
      </w:divBdr>
    </w:div>
    <w:div w:id="1374883074">
      <w:bodyDiv w:val="1"/>
      <w:marLeft w:val="0"/>
      <w:marRight w:val="0"/>
      <w:marTop w:val="0"/>
      <w:marBottom w:val="0"/>
      <w:divBdr>
        <w:top w:val="none" w:sz="0" w:space="0" w:color="auto"/>
        <w:left w:val="none" w:sz="0" w:space="0" w:color="auto"/>
        <w:bottom w:val="none" w:sz="0" w:space="0" w:color="auto"/>
        <w:right w:val="none" w:sz="0" w:space="0" w:color="auto"/>
      </w:divBdr>
    </w:div>
    <w:div w:id="1701278529">
      <w:bodyDiv w:val="1"/>
      <w:marLeft w:val="0"/>
      <w:marRight w:val="0"/>
      <w:marTop w:val="0"/>
      <w:marBottom w:val="0"/>
      <w:divBdr>
        <w:top w:val="none" w:sz="0" w:space="0" w:color="auto"/>
        <w:left w:val="none" w:sz="0" w:space="0" w:color="auto"/>
        <w:bottom w:val="none" w:sz="0" w:space="0" w:color="auto"/>
        <w:right w:val="none" w:sz="0" w:space="0" w:color="auto"/>
      </w:divBdr>
    </w:div>
    <w:div w:id="19470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ilium.europa.eu/en/press/press-releases/2016/06/17-conclusions-on-banking-union/" TargetMode="External"/><Relationship Id="rId26" Type="http://schemas.openxmlformats.org/officeDocument/2006/relationships/hyperlink" Target="http://www.consilium.europa.eu/en/meetings/eurogroup/2018/06/21/" TargetMode="External"/><Relationship Id="rId39" Type="http://schemas.openxmlformats.org/officeDocument/2006/relationships/hyperlink" Target="http://data.consilium.europa.eu/doc/document/ST-14381-2017-INIT/en/pdf" TargetMode="External"/><Relationship Id="rId3" Type="http://schemas.openxmlformats.org/officeDocument/2006/relationships/settings" Target="settings.xml"/><Relationship Id="rId21" Type="http://schemas.openxmlformats.org/officeDocument/2006/relationships/hyperlink" Target="http://www.consilium.europa.eu/en/press/press-releases/2018/06/22/hungary-and-romania-called-on-to-correct-significant-budgetary-deviations/" TargetMode="External"/><Relationship Id="rId34" Type="http://schemas.openxmlformats.org/officeDocument/2006/relationships/hyperlink" Target="http://data.consilium.europa.eu/doc/document/ST-6603-2018-INIT/en/pdf" TargetMode="External"/><Relationship Id="rId42" Type="http://schemas.openxmlformats.org/officeDocument/2006/relationships/hyperlink" Target="http://data.consilium.europa.eu/doc/document/ST-9602-2018-INIT/en/pdf"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consilium.europa.eu/doc/document/ST-9819-2018-INIT/en/pdf" TargetMode="External"/><Relationship Id="rId25" Type="http://schemas.openxmlformats.org/officeDocument/2006/relationships/hyperlink" Target="http://data.consilium.europa.eu/doc/document/ST-14875-2016-INIT/en/pdf" TargetMode="External"/><Relationship Id="rId33" Type="http://schemas.openxmlformats.org/officeDocument/2006/relationships/hyperlink" Target="http://data.consilium.europa.eu/doc/document/ST-6972-2018-INIT/en/pdf" TargetMode="External"/><Relationship Id="rId38" Type="http://schemas.openxmlformats.org/officeDocument/2006/relationships/hyperlink" Target="http://data.consilium.europa.eu/doc/document/ST-14390-2017-INIT/en/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onsilium.europa.eu/en/press/press-releases/2018/06/22/france-s-deficit-below-3-of-gdp-procedure-closed/" TargetMode="External"/><Relationship Id="rId29" Type="http://schemas.openxmlformats.org/officeDocument/2006/relationships/hyperlink" Target="http://data.consilium.europa.eu/doc/document/ST-9637-2018-INIT/en/pdf" TargetMode="External"/><Relationship Id="rId41" Type="http://schemas.openxmlformats.org/officeDocument/2006/relationships/hyperlink" Target="http://data.consilium.europa.eu/doc/document/ST-9595-2018-INI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841-2018-INIT/en/pdf" TargetMode="External"/><Relationship Id="rId32" Type="http://schemas.openxmlformats.org/officeDocument/2006/relationships/hyperlink" Target="http://data.consilium.europa.eu/doc/document/ST-6671-2018-INIT/en/pdf" TargetMode="External"/><Relationship Id="rId37" Type="http://schemas.openxmlformats.org/officeDocument/2006/relationships/hyperlink" Target="http://data.consilium.europa.eu/doc/document/ST-9037-2018-INIT/en/pdf" TargetMode="External"/><Relationship Id="rId40" Type="http://schemas.openxmlformats.org/officeDocument/2006/relationships/hyperlink" Target="http://data.consilium.europa.eu/doc/document/ST-9735-2018-INIT/en/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ata.consilium.europa.eu/doc/document/ST-9249-2018-INIT/en/pdf" TargetMode="External"/><Relationship Id="rId28" Type="http://schemas.openxmlformats.org/officeDocument/2006/relationships/hyperlink" Target="http://data.consilium.europa.eu/doc/document/ST-7166-2018-INIT/en/pdf" TargetMode="External"/><Relationship Id="rId36" Type="http://schemas.openxmlformats.org/officeDocument/2006/relationships/hyperlink" Target="http://www.consilium.europa.eu/register/en/content/out?&amp;typ=ENTRY&amp;i=ADV&amp;DOC_ID=ST-9793-2018-INIT" TargetMode="External"/><Relationship Id="rId10" Type="http://schemas.openxmlformats.org/officeDocument/2006/relationships/footer" Target="footer1.xml"/><Relationship Id="rId19" Type="http://schemas.openxmlformats.org/officeDocument/2006/relationships/hyperlink" Target="http://www.consilium.europa.eu/en/press/press-releases/2018/06/22/economic-and-fiscal-policies-country-specific-recommendations-approved/" TargetMode="External"/><Relationship Id="rId31" Type="http://schemas.openxmlformats.org/officeDocument/2006/relationships/hyperlink" Target="http://data.consilium.europa.eu/doc/document/ST-9639-2018-INIT/en/pdf" TargetMode="External"/><Relationship Id="rId44" Type="http://schemas.openxmlformats.org/officeDocument/2006/relationships/hyperlink" Target="http://www.wcoomd.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9245-2018-INIT/en/pdf" TargetMode="External"/><Relationship Id="rId27" Type="http://schemas.openxmlformats.org/officeDocument/2006/relationships/hyperlink" Target="http://www.consilium.europa.eu/en/press/press-releases/2018/06/22/vat-fraud-agreement-on-measures-to-boost-administrative-cooperation/" TargetMode="External"/><Relationship Id="rId30" Type="http://schemas.openxmlformats.org/officeDocument/2006/relationships/hyperlink" Target="http://data.consilium.europa.eu/doc/document/ST-5814-2018-REV-1/en/pdf" TargetMode="External"/><Relationship Id="rId35" Type="http://schemas.openxmlformats.org/officeDocument/2006/relationships/hyperlink" Target="http://data.consilium.europa.eu/doc/document/ST-6213-2018-INIT/en/pdf" TargetMode="External"/><Relationship Id="rId43" Type="http://schemas.openxmlformats.org/officeDocument/2006/relationships/hyperlink" Target="http://www.consilium.europa.eu/en/policies/cotonou-agre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179</TotalTime>
  <Pages>16</Pages>
  <Words>3429</Words>
  <Characters>18452</Characters>
  <Application>Microsoft Office Word</Application>
  <DocSecurity>0</DocSecurity>
  <Lines>369</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 Aija</dc:creator>
  <cp:keywords/>
  <dc:description/>
  <cp:lastModifiedBy>NEIRA Julia</cp:lastModifiedBy>
  <cp:revision>29</cp:revision>
  <cp:lastPrinted>2018-06-22T10:17:00Z</cp:lastPrinted>
  <dcterms:created xsi:type="dcterms:W3CDTF">2018-06-21T17:02:00Z</dcterms:created>
  <dcterms:modified xsi:type="dcterms:W3CDTF">2018-10-03T14:40:00Z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4.1.18, Build 20180416</vt:lpwstr>
  </property>
  <property fmtid="{D5CDD505-2E9C-101B-9397-08002B2CF9AE}" pid="4" name="Last edited using">
    <vt:lpwstr>DocuWrite 4.1.25, Build 20180730</vt:lpwstr>
  </property>
</Properties>
</file>