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44EF" w14:textId="491203F3" w:rsidR="002424E0" w:rsidRPr="00367F7A" w:rsidRDefault="00C207CD" w:rsidP="00367F7A">
      <w:pPr>
        <w:pStyle w:val="TechnicalBlock"/>
        <w:ind w:left="-1134" w:right="-1134"/>
      </w:pPr>
      <w:bookmarkStart w:id="0" w:name="DW_BM_COVERPAGE"/>
      <w:r>
        <w:pict w14:anchorId="7F0A4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203/18.&#10;Subject Codes: PRESSE 36 PR CO 36.&#10;Heading: RÉSULTATS DE LA SESSION DU CONSEIL.&#10;Institutional Framework: Conseil de l'Union européenne.&#10;Language: FR.&#10;Distribution Code: Not Set.&#10;GUID: 4861208257781943001_0" style="width:573.95pt;height:413.65pt">
            <v:imagedata r:id="rId7" o:title=""/>
          </v:shape>
        </w:pict>
      </w:r>
      <w:bookmarkEnd w:id="0"/>
    </w:p>
    <w:p w14:paraId="06918B06" w14:textId="77777777" w:rsidR="003C5A34" w:rsidRPr="00367F7A" w:rsidRDefault="003C5A34" w:rsidP="003C5A34">
      <w:pPr>
        <w:pStyle w:val="TechnicalBlock"/>
        <w:ind w:left="-1134" w:right="-1134"/>
        <w:sectPr w:rsidR="003C5A34" w:rsidRPr="00367F7A" w:rsidSect="00C207C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14:paraId="40E4D22D" w14:textId="5BF3BFA4" w:rsidR="009D0867" w:rsidRDefault="00DA4AC4" w:rsidP="00DA4AC4">
      <w:pPr>
        <w:pStyle w:val="TOCHeading"/>
      </w:pPr>
      <w:r>
        <w:lastRenderedPageBreak/>
        <w:t>SOMMAIRE</w:t>
      </w:r>
      <w:r w:rsidRPr="00DA4AC4">
        <w:rPr>
          <w:vertAlign w:val="superscript"/>
        </w:rPr>
        <w:t>1</w:t>
      </w:r>
    </w:p>
    <w:p w14:paraId="562B4EAB" w14:textId="409770ED" w:rsidR="00DA4AC4" w:rsidRDefault="00DA4AC4" w:rsidP="00DA4AC4">
      <w:pPr>
        <w:pStyle w:val="TOC5"/>
      </w:pPr>
      <w:r>
        <w:t>POINTS AYANT FAIT L'OBJET D'UN DÉBAT</w:t>
      </w:r>
    </w:p>
    <w:p w14:paraId="64B3CBD4" w14:textId="4AFEAF41" w:rsidR="00DA4AC4" w:rsidRPr="00DA4AC4" w:rsidRDefault="00DA4AC4" w:rsidP="00DA4AC4">
      <w:pPr>
        <w:pStyle w:val="TOC6"/>
        <w:rPr>
          <w:rFonts w:asciiTheme="minorHAnsi" w:eastAsiaTheme="minorEastAsia" w:hAnsiTheme="minorHAnsi" w:cstheme="minorBidi"/>
          <w:noProof/>
          <w:sz w:val="22"/>
          <w:lang w:val="fr-BE" w:eastAsia="en-GB"/>
        </w:rPr>
      </w:pPr>
      <w:r>
        <w:rPr>
          <w:noProof/>
        </w:rPr>
        <w:t>SYSTÈME DE TVA – SOLUTIONS À COURT TERME</w:t>
      </w:r>
      <w:r>
        <w:rPr>
          <w:noProof/>
        </w:rPr>
        <w:tab/>
      </w:r>
      <w:r>
        <w:rPr>
          <w:noProof/>
        </w:rPr>
        <w:fldChar w:fldCharType="begin"/>
      </w:r>
      <w:r>
        <w:rPr>
          <w:noProof/>
        </w:rPr>
        <w:instrText xml:space="preserve"> PAGEREF \h _Toc526431623 \* MERGEFORMAT </w:instrText>
      </w:r>
      <w:r>
        <w:rPr>
          <w:noProof/>
        </w:rPr>
      </w:r>
      <w:r>
        <w:rPr>
          <w:noProof/>
        </w:rPr>
        <w:fldChar w:fldCharType="separate"/>
      </w:r>
      <w:r w:rsidR="00C207CD">
        <w:rPr>
          <w:noProof/>
        </w:rPr>
        <w:t>4</w:t>
      </w:r>
      <w:r>
        <w:rPr>
          <w:noProof/>
        </w:rPr>
        <w:fldChar w:fldCharType="end"/>
      </w:r>
    </w:p>
    <w:p w14:paraId="609F706F" w14:textId="471293DF" w:rsidR="00DA4AC4" w:rsidRPr="00DA4AC4" w:rsidRDefault="00DA4AC4" w:rsidP="00DA4AC4">
      <w:pPr>
        <w:pStyle w:val="TOC6"/>
        <w:rPr>
          <w:rFonts w:asciiTheme="minorHAnsi" w:eastAsiaTheme="minorEastAsia" w:hAnsiTheme="minorHAnsi" w:cstheme="minorBidi"/>
          <w:noProof/>
          <w:sz w:val="22"/>
          <w:lang w:val="fr-BE" w:eastAsia="en-GB"/>
        </w:rPr>
      </w:pPr>
      <w:r>
        <w:rPr>
          <w:noProof/>
        </w:rPr>
        <w:t>SYSTÈME EUROPÉEN D'ASSURANCE DES DÉPÔTS</w:t>
      </w:r>
      <w:r>
        <w:rPr>
          <w:noProof/>
        </w:rPr>
        <w:tab/>
      </w:r>
      <w:r>
        <w:rPr>
          <w:noProof/>
        </w:rPr>
        <w:fldChar w:fldCharType="begin"/>
      </w:r>
      <w:r>
        <w:rPr>
          <w:noProof/>
        </w:rPr>
        <w:instrText xml:space="preserve"> PAGEREF \h _Toc526431624 \* MERGEFORMAT </w:instrText>
      </w:r>
      <w:r>
        <w:rPr>
          <w:noProof/>
        </w:rPr>
      </w:r>
      <w:r>
        <w:rPr>
          <w:noProof/>
        </w:rPr>
        <w:fldChar w:fldCharType="separate"/>
      </w:r>
      <w:r w:rsidR="00C207CD">
        <w:rPr>
          <w:noProof/>
        </w:rPr>
        <w:t>5</w:t>
      </w:r>
      <w:r>
        <w:rPr>
          <w:noProof/>
        </w:rPr>
        <w:fldChar w:fldCharType="end"/>
      </w:r>
    </w:p>
    <w:p w14:paraId="5FA94C28" w14:textId="0C5B62E9" w:rsidR="00DA4AC4" w:rsidRPr="00DA4AC4" w:rsidRDefault="00DA4AC4" w:rsidP="00DA4AC4">
      <w:pPr>
        <w:pStyle w:val="TOC6"/>
        <w:rPr>
          <w:rFonts w:asciiTheme="minorHAnsi" w:eastAsiaTheme="minorEastAsia" w:hAnsiTheme="minorHAnsi" w:cstheme="minorBidi"/>
          <w:noProof/>
          <w:sz w:val="22"/>
          <w:lang w:val="fr-BE" w:eastAsia="en-GB"/>
        </w:rPr>
      </w:pPr>
      <w:r>
        <w:rPr>
          <w:noProof/>
        </w:rPr>
        <w:t>POLITIQUES ÉCONOMIQUES ET BUDGÉTAIRES - RECOMMANDATIONS PAR PAYS</w:t>
      </w:r>
      <w:r>
        <w:rPr>
          <w:noProof/>
        </w:rPr>
        <w:tab/>
      </w:r>
      <w:r>
        <w:rPr>
          <w:noProof/>
        </w:rPr>
        <w:fldChar w:fldCharType="begin"/>
      </w:r>
      <w:r>
        <w:rPr>
          <w:noProof/>
        </w:rPr>
        <w:instrText xml:space="preserve"> PAGEREF \h _Toc526431625 \* MERGEFORMAT </w:instrText>
      </w:r>
      <w:r>
        <w:rPr>
          <w:noProof/>
        </w:rPr>
      </w:r>
      <w:r>
        <w:rPr>
          <w:noProof/>
        </w:rPr>
        <w:fldChar w:fldCharType="separate"/>
      </w:r>
      <w:r w:rsidR="00C207CD">
        <w:rPr>
          <w:noProof/>
        </w:rPr>
        <w:t>6</w:t>
      </w:r>
      <w:r>
        <w:rPr>
          <w:noProof/>
        </w:rPr>
        <w:fldChar w:fldCharType="end"/>
      </w:r>
    </w:p>
    <w:p w14:paraId="7CDB81B4" w14:textId="57645DFE" w:rsidR="00DA4AC4" w:rsidRPr="00DA4AC4" w:rsidRDefault="00DA4AC4" w:rsidP="00DA4AC4">
      <w:pPr>
        <w:pStyle w:val="TOC6"/>
        <w:rPr>
          <w:rFonts w:asciiTheme="minorHAnsi" w:eastAsiaTheme="minorEastAsia" w:hAnsiTheme="minorHAnsi" w:cstheme="minorBidi"/>
          <w:noProof/>
          <w:sz w:val="22"/>
          <w:lang w:val="fr-BE" w:eastAsia="en-GB"/>
        </w:rPr>
      </w:pPr>
      <w:r>
        <w:rPr>
          <w:noProof/>
        </w:rPr>
        <w:t>PACTE DE STABILITÉ ET DE CROISSANCE – FRANCE, HONGRIE ET ROUMANIE</w:t>
      </w:r>
      <w:r>
        <w:rPr>
          <w:noProof/>
        </w:rPr>
        <w:tab/>
      </w:r>
      <w:r>
        <w:rPr>
          <w:noProof/>
        </w:rPr>
        <w:fldChar w:fldCharType="begin"/>
      </w:r>
      <w:r>
        <w:rPr>
          <w:noProof/>
        </w:rPr>
        <w:instrText xml:space="preserve"> PAGEREF \h _Toc526431626 \* MERGEFORMAT </w:instrText>
      </w:r>
      <w:r>
        <w:rPr>
          <w:noProof/>
        </w:rPr>
      </w:r>
      <w:r>
        <w:rPr>
          <w:noProof/>
        </w:rPr>
        <w:fldChar w:fldCharType="separate"/>
      </w:r>
      <w:r w:rsidR="00C207CD">
        <w:rPr>
          <w:noProof/>
        </w:rPr>
        <w:t>7</w:t>
      </w:r>
      <w:r>
        <w:rPr>
          <w:noProof/>
        </w:rPr>
        <w:fldChar w:fldCharType="end"/>
      </w:r>
    </w:p>
    <w:p w14:paraId="0C0BDB2B" w14:textId="244696C5" w:rsidR="00DA4AC4" w:rsidRPr="00DA4AC4" w:rsidRDefault="00DA4AC4" w:rsidP="00DA4AC4">
      <w:pPr>
        <w:pStyle w:val="TOC6"/>
        <w:rPr>
          <w:rFonts w:asciiTheme="minorHAnsi" w:eastAsiaTheme="minorEastAsia" w:hAnsiTheme="minorHAnsi" w:cstheme="minorBidi"/>
          <w:noProof/>
          <w:sz w:val="22"/>
          <w:lang w:val="fr-BE" w:eastAsia="en-GB"/>
        </w:rPr>
      </w:pPr>
      <w:r>
        <w:rPr>
          <w:noProof/>
        </w:rPr>
        <w:t>UNION ÉCONOMIQUE ET MONÉTAIRE - RAPPORTS SUR LA CONVERGENCE</w:t>
      </w:r>
      <w:r>
        <w:rPr>
          <w:noProof/>
        </w:rPr>
        <w:tab/>
      </w:r>
      <w:r>
        <w:rPr>
          <w:noProof/>
        </w:rPr>
        <w:fldChar w:fldCharType="begin"/>
      </w:r>
      <w:r>
        <w:rPr>
          <w:noProof/>
        </w:rPr>
        <w:instrText xml:space="preserve"> PAGEREF \h _Toc526431627 \* MERGEFORMAT </w:instrText>
      </w:r>
      <w:r>
        <w:rPr>
          <w:noProof/>
        </w:rPr>
      </w:r>
      <w:r>
        <w:rPr>
          <w:noProof/>
        </w:rPr>
        <w:fldChar w:fldCharType="separate"/>
      </w:r>
      <w:r w:rsidR="00C207CD">
        <w:rPr>
          <w:noProof/>
        </w:rPr>
        <w:t>8</w:t>
      </w:r>
      <w:r>
        <w:rPr>
          <w:noProof/>
        </w:rPr>
        <w:fldChar w:fldCharType="end"/>
      </w:r>
    </w:p>
    <w:p w14:paraId="3DE3AF01" w14:textId="4382EA73" w:rsidR="00DA4AC4" w:rsidRDefault="00DA4AC4" w:rsidP="00DA4AC4">
      <w:pPr>
        <w:pStyle w:val="TOC6"/>
        <w:rPr>
          <w:rFonts w:asciiTheme="minorHAnsi" w:eastAsiaTheme="minorEastAsia" w:hAnsiTheme="minorHAnsi" w:cstheme="minorBidi"/>
          <w:noProof/>
          <w:sz w:val="22"/>
          <w:lang w:val="en-GB" w:eastAsia="en-GB"/>
        </w:rPr>
      </w:pPr>
      <w:r>
        <w:rPr>
          <w:noProof/>
        </w:rPr>
        <w:t>DIVERS</w:t>
      </w:r>
      <w:r>
        <w:rPr>
          <w:noProof/>
        </w:rPr>
        <w:tab/>
      </w:r>
      <w:r>
        <w:rPr>
          <w:noProof/>
        </w:rPr>
        <w:fldChar w:fldCharType="begin"/>
      </w:r>
      <w:r>
        <w:rPr>
          <w:noProof/>
        </w:rPr>
        <w:instrText xml:space="preserve"> PAGEREF \h _Toc526431628 \* MERGEFORMAT </w:instrText>
      </w:r>
      <w:r>
        <w:rPr>
          <w:noProof/>
        </w:rPr>
      </w:r>
      <w:r>
        <w:rPr>
          <w:noProof/>
        </w:rPr>
        <w:fldChar w:fldCharType="separate"/>
      </w:r>
      <w:r w:rsidR="00C207CD">
        <w:rPr>
          <w:noProof/>
        </w:rPr>
        <w:t>9</w:t>
      </w:r>
      <w:r>
        <w:rPr>
          <w:noProof/>
        </w:rPr>
        <w:fldChar w:fldCharType="end"/>
      </w:r>
    </w:p>
    <w:p w14:paraId="62BD7D8C" w14:textId="2851D5E1" w:rsidR="00DA4AC4" w:rsidRDefault="00DA4AC4" w:rsidP="00DA4AC4">
      <w:pPr>
        <w:pStyle w:val="TOC9"/>
        <w:rPr>
          <w:rFonts w:asciiTheme="minorHAnsi" w:eastAsiaTheme="minorEastAsia" w:hAnsiTheme="minorHAnsi" w:cstheme="minorBidi"/>
          <w:noProof/>
          <w:sz w:val="22"/>
          <w:lang w:val="en-GB" w:eastAsia="en-GB"/>
        </w:rPr>
      </w:pPr>
      <w:r>
        <w:rPr>
          <w:noProof/>
        </w:rPr>
        <w:t>Services financiers</w:t>
      </w:r>
      <w:r>
        <w:rPr>
          <w:noProof/>
        </w:rPr>
        <w:tab/>
      </w:r>
      <w:r>
        <w:rPr>
          <w:noProof/>
        </w:rPr>
        <w:fldChar w:fldCharType="begin"/>
      </w:r>
      <w:r>
        <w:rPr>
          <w:noProof/>
        </w:rPr>
        <w:instrText xml:space="preserve"> PAGEREF \h _Toc526431629 \* MERGEFORMAT </w:instrText>
      </w:r>
      <w:r>
        <w:rPr>
          <w:noProof/>
        </w:rPr>
      </w:r>
      <w:r>
        <w:rPr>
          <w:noProof/>
        </w:rPr>
        <w:fldChar w:fldCharType="separate"/>
      </w:r>
      <w:r w:rsidR="00C207CD">
        <w:rPr>
          <w:noProof/>
        </w:rPr>
        <w:t>9</w:t>
      </w:r>
      <w:r>
        <w:rPr>
          <w:noProof/>
        </w:rPr>
        <w:fldChar w:fldCharType="end"/>
      </w:r>
    </w:p>
    <w:p w14:paraId="1A8648F1" w14:textId="5CD0C617" w:rsidR="00DA4AC4" w:rsidRDefault="00DA4AC4" w:rsidP="00DA4AC4">
      <w:pPr>
        <w:pStyle w:val="TOC9"/>
        <w:rPr>
          <w:rFonts w:asciiTheme="minorHAnsi" w:eastAsiaTheme="minorEastAsia" w:hAnsiTheme="minorHAnsi" w:cstheme="minorBidi"/>
          <w:noProof/>
          <w:sz w:val="22"/>
          <w:lang w:val="en-GB" w:eastAsia="en-GB"/>
        </w:rPr>
      </w:pPr>
      <w:r>
        <w:rPr>
          <w:noProof/>
        </w:rPr>
        <w:t>Insolvabilité</w:t>
      </w:r>
      <w:r>
        <w:rPr>
          <w:noProof/>
        </w:rPr>
        <w:tab/>
      </w:r>
      <w:r>
        <w:rPr>
          <w:noProof/>
        </w:rPr>
        <w:fldChar w:fldCharType="begin"/>
      </w:r>
      <w:r>
        <w:rPr>
          <w:noProof/>
        </w:rPr>
        <w:instrText xml:space="preserve"> PAGEREF \h _Toc526431630 \* MERGEFORMAT </w:instrText>
      </w:r>
      <w:r>
        <w:rPr>
          <w:noProof/>
        </w:rPr>
      </w:r>
      <w:r>
        <w:rPr>
          <w:noProof/>
        </w:rPr>
        <w:fldChar w:fldCharType="separate"/>
      </w:r>
      <w:r w:rsidR="00C207CD">
        <w:rPr>
          <w:noProof/>
        </w:rPr>
        <w:t>9</w:t>
      </w:r>
      <w:r>
        <w:rPr>
          <w:noProof/>
        </w:rPr>
        <w:fldChar w:fldCharType="end"/>
      </w:r>
    </w:p>
    <w:p w14:paraId="2CA8FA4D" w14:textId="1980A965" w:rsidR="00DA4AC4" w:rsidRPr="00DA4AC4" w:rsidRDefault="00DA4AC4" w:rsidP="00DA4AC4">
      <w:pPr>
        <w:pStyle w:val="TOC6"/>
        <w:rPr>
          <w:rFonts w:asciiTheme="minorHAnsi" w:eastAsiaTheme="minorEastAsia" w:hAnsiTheme="minorHAnsi" w:cstheme="minorBidi"/>
          <w:noProof/>
          <w:sz w:val="22"/>
          <w:lang w:val="fr-BE" w:eastAsia="en-GB"/>
        </w:rPr>
      </w:pPr>
      <w:r>
        <w:rPr>
          <w:noProof/>
        </w:rPr>
        <w:t>RÉUNIONS EN MARGE DE LA SESSION DU CONSEIL</w:t>
      </w:r>
      <w:r>
        <w:rPr>
          <w:noProof/>
        </w:rPr>
        <w:tab/>
      </w:r>
      <w:r>
        <w:rPr>
          <w:noProof/>
        </w:rPr>
        <w:fldChar w:fldCharType="begin"/>
      </w:r>
      <w:r>
        <w:rPr>
          <w:noProof/>
        </w:rPr>
        <w:instrText xml:space="preserve"> PAGEREF \h _Toc526431631 \* MERGEFORMAT </w:instrText>
      </w:r>
      <w:r>
        <w:rPr>
          <w:noProof/>
        </w:rPr>
      </w:r>
      <w:r>
        <w:rPr>
          <w:noProof/>
        </w:rPr>
        <w:fldChar w:fldCharType="separate"/>
      </w:r>
      <w:r w:rsidR="00C207CD">
        <w:rPr>
          <w:noProof/>
        </w:rPr>
        <w:t>10</w:t>
      </w:r>
      <w:r>
        <w:rPr>
          <w:noProof/>
        </w:rPr>
        <w:fldChar w:fldCharType="end"/>
      </w:r>
    </w:p>
    <w:p w14:paraId="69973104" w14:textId="33AEA4E7" w:rsidR="00DA4AC4" w:rsidRPr="00DA4AC4" w:rsidRDefault="00DA4AC4" w:rsidP="00DA4AC4">
      <w:pPr>
        <w:pStyle w:val="TOC9"/>
        <w:rPr>
          <w:rFonts w:asciiTheme="minorHAnsi" w:eastAsiaTheme="minorEastAsia" w:hAnsiTheme="minorHAnsi" w:cstheme="minorBidi"/>
          <w:noProof/>
          <w:sz w:val="22"/>
          <w:lang w:val="fr-BE" w:eastAsia="en-GB"/>
        </w:rPr>
      </w:pPr>
      <w:r>
        <w:rPr>
          <w:noProof/>
        </w:rPr>
        <w:t>Conseil des gouverneurs du MES</w:t>
      </w:r>
      <w:r>
        <w:rPr>
          <w:noProof/>
        </w:rPr>
        <w:tab/>
      </w:r>
      <w:r>
        <w:rPr>
          <w:noProof/>
        </w:rPr>
        <w:fldChar w:fldCharType="begin"/>
      </w:r>
      <w:r>
        <w:rPr>
          <w:noProof/>
        </w:rPr>
        <w:instrText xml:space="preserve"> PAGEREF \h _Toc526431632 \* MERGEFORMAT </w:instrText>
      </w:r>
      <w:r>
        <w:rPr>
          <w:noProof/>
        </w:rPr>
      </w:r>
      <w:r>
        <w:rPr>
          <w:noProof/>
        </w:rPr>
        <w:fldChar w:fldCharType="separate"/>
      </w:r>
      <w:r w:rsidR="00C207CD">
        <w:rPr>
          <w:noProof/>
        </w:rPr>
        <w:t>10</w:t>
      </w:r>
      <w:r>
        <w:rPr>
          <w:noProof/>
        </w:rPr>
        <w:fldChar w:fldCharType="end"/>
      </w:r>
    </w:p>
    <w:p w14:paraId="68404682" w14:textId="6228D27B" w:rsidR="00DA4AC4" w:rsidRDefault="00DA4AC4" w:rsidP="00DA4AC4">
      <w:pPr>
        <w:pStyle w:val="TOC9"/>
        <w:rPr>
          <w:rFonts w:asciiTheme="minorHAnsi" w:eastAsiaTheme="minorEastAsia" w:hAnsiTheme="minorHAnsi" w:cstheme="minorBidi"/>
          <w:noProof/>
          <w:sz w:val="22"/>
          <w:lang w:val="en-GB" w:eastAsia="en-GB"/>
        </w:rPr>
      </w:pPr>
      <w:r>
        <w:rPr>
          <w:noProof/>
        </w:rPr>
        <w:t>Eurogroupe</w:t>
      </w:r>
      <w:r>
        <w:rPr>
          <w:noProof/>
        </w:rPr>
        <w:tab/>
      </w:r>
      <w:r>
        <w:rPr>
          <w:noProof/>
        </w:rPr>
        <w:fldChar w:fldCharType="begin"/>
      </w:r>
      <w:r>
        <w:rPr>
          <w:noProof/>
        </w:rPr>
        <w:instrText xml:space="preserve"> PAGEREF \h _Toc526431633 \* MERGEFORMAT </w:instrText>
      </w:r>
      <w:r>
        <w:rPr>
          <w:noProof/>
        </w:rPr>
      </w:r>
      <w:r>
        <w:rPr>
          <w:noProof/>
        </w:rPr>
        <w:fldChar w:fldCharType="separate"/>
      </w:r>
      <w:r w:rsidR="00C207CD">
        <w:rPr>
          <w:noProof/>
        </w:rPr>
        <w:t>10</w:t>
      </w:r>
      <w:r>
        <w:rPr>
          <w:noProof/>
        </w:rPr>
        <w:fldChar w:fldCharType="end"/>
      </w:r>
    </w:p>
    <w:p w14:paraId="04DDE430" w14:textId="7F055C2C" w:rsidR="00DA4AC4" w:rsidRPr="00DA4AC4" w:rsidRDefault="00DA4AC4" w:rsidP="00DA4AC4">
      <w:pPr>
        <w:pStyle w:val="TOC9"/>
        <w:rPr>
          <w:rFonts w:asciiTheme="minorHAnsi" w:eastAsiaTheme="minorEastAsia" w:hAnsiTheme="minorHAnsi" w:cstheme="minorBidi"/>
          <w:noProof/>
          <w:sz w:val="22"/>
          <w:lang w:val="fr-BE" w:eastAsia="en-GB"/>
        </w:rPr>
      </w:pPr>
      <w:r>
        <w:rPr>
          <w:noProof/>
        </w:rPr>
        <w:t>Conseil des gouverneurs de la BEI</w:t>
      </w:r>
      <w:r>
        <w:rPr>
          <w:noProof/>
        </w:rPr>
        <w:tab/>
      </w:r>
      <w:r>
        <w:rPr>
          <w:noProof/>
        </w:rPr>
        <w:fldChar w:fldCharType="begin"/>
      </w:r>
      <w:r>
        <w:rPr>
          <w:noProof/>
        </w:rPr>
        <w:instrText xml:space="preserve"> PAGEREF \h _Toc526431634 \* MERGEFORMAT </w:instrText>
      </w:r>
      <w:r>
        <w:rPr>
          <w:noProof/>
        </w:rPr>
      </w:r>
      <w:r>
        <w:rPr>
          <w:noProof/>
        </w:rPr>
        <w:fldChar w:fldCharType="separate"/>
      </w:r>
      <w:r w:rsidR="00C207CD">
        <w:rPr>
          <w:noProof/>
        </w:rPr>
        <w:t>10</w:t>
      </w:r>
      <w:r>
        <w:rPr>
          <w:noProof/>
        </w:rPr>
        <w:fldChar w:fldCharType="end"/>
      </w:r>
    </w:p>
    <w:p w14:paraId="0CD40E2A" w14:textId="2F36A7ED" w:rsidR="00DA4AC4" w:rsidRPr="00DA4AC4" w:rsidRDefault="00DA4AC4" w:rsidP="00DA4AC4">
      <w:pPr>
        <w:pStyle w:val="TOC9"/>
      </w:pPr>
      <w:r>
        <w:rPr>
          <w:noProof/>
        </w:rPr>
        <w:t>Petit-déjeuner de travail des ministres</w:t>
      </w:r>
      <w:r>
        <w:rPr>
          <w:noProof/>
        </w:rPr>
        <w:tab/>
      </w:r>
      <w:r>
        <w:rPr>
          <w:noProof/>
        </w:rPr>
        <w:fldChar w:fldCharType="begin"/>
      </w:r>
      <w:r>
        <w:rPr>
          <w:noProof/>
        </w:rPr>
        <w:instrText xml:space="preserve"> PAGEREF \h _Toc526431635 \* MERGEFORMAT </w:instrText>
      </w:r>
      <w:r>
        <w:rPr>
          <w:noProof/>
        </w:rPr>
      </w:r>
      <w:r>
        <w:rPr>
          <w:noProof/>
        </w:rPr>
        <w:fldChar w:fldCharType="separate"/>
      </w:r>
      <w:r w:rsidR="00C207CD">
        <w:rPr>
          <w:noProof/>
        </w:rPr>
        <w:t>10</w:t>
      </w:r>
      <w:r>
        <w:rPr>
          <w:noProof/>
        </w:rPr>
        <w:fldChar w:fldCharType="end"/>
      </w:r>
    </w:p>
    <w:p w14:paraId="17247AC2" w14:textId="29DFBF51" w:rsidR="00DA4AC4" w:rsidRDefault="00DA4AC4" w:rsidP="00DA4AC4">
      <w:pPr>
        <w:pStyle w:val="TOC5"/>
      </w:pPr>
      <w:r>
        <w:lastRenderedPageBreak/>
        <w:t>AUTRES POINTS APPROUVÉS</w:t>
      </w:r>
    </w:p>
    <w:p w14:paraId="04660A92" w14:textId="06981148" w:rsidR="00DA4AC4" w:rsidRPr="00DA4AC4" w:rsidRDefault="00DA4AC4" w:rsidP="00DA4AC4">
      <w:pPr>
        <w:pStyle w:val="TOC8"/>
        <w:rPr>
          <w:rFonts w:asciiTheme="minorHAnsi" w:eastAsiaTheme="minorEastAsia" w:hAnsiTheme="minorHAnsi" w:cstheme="minorBidi"/>
          <w:i w:val="0"/>
          <w:noProof/>
          <w:sz w:val="22"/>
          <w:lang w:val="fr-BE" w:eastAsia="en-GB"/>
        </w:rPr>
      </w:pPr>
      <w:r w:rsidRPr="00E769AF">
        <w:rPr>
          <w:rFonts w:asciiTheme="majorBidi" w:hAnsiTheme="majorBidi"/>
          <w:noProof/>
        </w:rPr>
        <w:t>AFFAIRES ÉCONOMIQUES ET FINANCIÈRES</w:t>
      </w:r>
    </w:p>
    <w:p w14:paraId="59B0419A" w14:textId="2ADC325B" w:rsidR="00DA4AC4" w:rsidRPr="00DA4AC4" w:rsidRDefault="00DA4AC4" w:rsidP="00DA4AC4">
      <w:pPr>
        <w:pStyle w:val="TOC9"/>
        <w:keepNext/>
        <w:rPr>
          <w:rFonts w:asciiTheme="minorHAnsi" w:eastAsiaTheme="minorEastAsia" w:hAnsiTheme="minorHAnsi" w:cstheme="minorBidi"/>
          <w:noProof/>
          <w:sz w:val="22"/>
          <w:lang w:val="fr-BE" w:eastAsia="en-GB"/>
        </w:rPr>
      </w:pPr>
      <w:r>
        <w:rPr>
          <w:noProof/>
        </w:rPr>
        <w:t>Coopération administrative en matière de fraude à la TVA</w:t>
      </w:r>
      <w:r>
        <w:rPr>
          <w:noProof/>
        </w:rPr>
        <w:tab/>
      </w:r>
      <w:r>
        <w:rPr>
          <w:noProof/>
        </w:rPr>
        <w:fldChar w:fldCharType="begin"/>
      </w:r>
      <w:r>
        <w:rPr>
          <w:noProof/>
        </w:rPr>
        <w:instrText xml:space="preserve"> PAGEREF \h _Toc526431637 \* MERGEFORMAT </w:instrText>
      </w:r>
      <w:r>
        <w:rPr>
          <w:noProof/>
        </w:rPr>
      </w:r>
      <w:r>
        <w:rPr>
          <w:noProof/>
        </w:rPr>
        <w:fldChar w:fldCharType="separate"/>
      </w:r>
      <w:r w:rsidR="00C207CD">
        <w:rPr>
          <w:noProof/>
        </w:rPr>
        <w:t>11</w:t>
      </w:r>
      <w:r>
        <w:rPr>
          <w:noProof/>
        </w:rPr>
        <w:fldChar w:fldCharType="end"/>
      </w:r>
    </w:p>
    <w:p w14:paraId="59D1A47C" w14:textId="66ECC3C5" w:rsidR="00DA4AC4" w:rsidRPr="00DA4AC4" w:rsidRDefault="00DA4AC4" w:rsidP="00DA4AC4">
      <w:pPr>
        <w:pStyle w:val="TOC9"/>
        <w:keepNext/>
        <w:rPr>
          <w:rFonts w:asciiTheme="minorHAnsi" w:eastAsiaTheme="minorEastAsia" w:hAnsiTheme="minorHAnsi" w:cstheme="minorBidi"/>
          <w:noProof/>
          <w:sz w:val="22"/>
          <w:lang w:val="fr-BE" w:eastAsia="en-GB"/>
        </w:rPr>
      </w:pPr>
      <w:r>
        <w:rPr>
          <w:noProof/>
        </w:rPr>
        <w:t>Taux normal minimal de TVA</w:t>
      </w:r>
      <w:r>
        <w:rPr>
          <w:noProof/>
        </w:rPr>
        <w:tab/>
      </w:r>
      <w:r>
        <w:rPr>
          <w:noProof/>
        </w:rPr>
        <w:fldChar w:fldCharType="begin"/>
      </w:r>
      <w:r>
        <w:rPr>
          <w:noProof/>
        </w:rPr>
        <w:instrText xml:space="preserve"> PAGEREF \h _Toc526431638 \* MERGEFORMAT </w:instrText>
      </w:r>
      <w:r>
        <w:rPr>
          <w:noProof/>
        </w:rPr>
      </w:r>
      <w:r>
        <w:rPr>
          <w:noProof/>
        </w:rPr>
        <w:fldChar w:fldCharType="separate"/>
      </w:r>
      <w:r w:rsidR="00C207CD">
        <w:rPr>
          <w:noProof/>
        </w:rPr>
        <w:t>11</w:t>
      </w:r>
      <w:r>
        <w:rPr>
          <w:noProof/>
        </w:rPr>
        <w:fldChar w:fldCharType="end"/>
      </w:r>
    </w:p>
    <w:p w14:paraId="5AA00655" w14:textId="5ECFCA6C" w:rsidR="00DA4AC4" w:rsidRPr="00DA4AC4" w:rsidRDefault="00DA4AC4" w:rsidP="00DA4AC4">
      <w:pPr>
        <w:pStyle w:val="TOC9"/>
        <w:keepNext/>
        <w:rPr>
          <w:rFonts w:asciiTheme="minorHAnsi" w:eastAsiaTheme="minorEastAsia" w:hAnsiTheme="minorHAnsi" w:cstheme="minorBidi"/>
          <w:noProof/>
          <w:sz w:val="22"/>
          <w:lang w:val="fr-BE" w:eastAsia="en-GB"/>
        </w:rPr>
      </w:pPr>
      <w:r>
        <w:rPr>
          <w:noProof/>
        </w:rPr>
        <w:t>Code de conduite dans le domaine de la fiscalité des entreprises</w:t>
      </w:r>
      <w:r>
        <w:rPr>
          <w:noProof/>
        </w:rPr>
        <w:tab/>
      </w:r>
      <w:r>
        <w:rPr>
          <w:noProof/>
        </w:rPr>
        <w:fldChar w:fldCharType="begin"/>
      </w:r>
      <w:r>
        <w:rPr>
          <w:noProof/>
        </w:rPr>
        <w:instrText xml:space="preserve"> PAGEREF \h _Toc526431639 \* MERGEFORMAT </w:instrText>
      </w:r>
      <w:r>
        <w:rPr>
          <w:noProof/>
        </w:rPr>
      </w:r>
      <w:r>
        <w:rPr>
          <w:noProof/>
        </w:rPr>
        <w:fldChar w:fldCharType="separate"/>
      </w:r>
      <w:r w:rsidR="00C207CD">
        <w:rPr>
          <w:noProof/>
        </w:rPr>
        <w:t>12</w:t>
      </w:r>
      <w:r>
        <w:rPr>
          <w:noProof/>
        </w:rPr>
        <w:fldChar w:fldCharType="end"/>
      </w:r>
    </w:p>
    <w:p w14:paraId="481FCA30" w14:textId="56500602" w:rsidR="00DA4AC4" w:rsidRPr="00DA4AC4" w:rsidRDefault="00DA4AC4" w:rsidP="00DA4AC4">
      <w:pPr>
        <w:pStyle w:val="TOC9"/>
        <w:keepNext/>
        <w:rPr>
          <w:rFonts w:asciiTheme="minorHAnsi" w:eastAsiaTheme="minorEastAsia" w:hAnsiTheme="minorHAnsi" w:cstheme="minorBidi"/>
          <w:noProof/>
          <w:sz w:val="22"/>
          <w:lang w:val="fr-BE" w:eastAsia="en-GB"/>
        </w:rPr>
      </w:pPr>
      <w:r>
        <w:rPr>
          <w:noProof/>
        </w:rPr>
        <w:t>TVA - Allemagne et Pologne - Pont frontalier</w:t>
      </w:r>
      <w:r>
        <w:rPr>
          <w:noProof/>
        </w:rPr>
        <w:tab/>
      </w:r>
      <w:r>
        <w:rPr>
          <w:noProof/>
        </w:rPr>
        <w:fldChar w:fldCharType="begin"/>
      </w:r>
      <w:r>
        <w:rPr>
          <w:noProof/>
        </w:rPr>
        <w:instrText xml:space="preserve"> PAGEREF \h _Toc526431640 \* MERGEFORMAT </w:instrText>
      </w:r>
      <w:r>
        <w:rPr>
          <w:noProof/>
        </w:rPr>
      </w:r>
      <w:r>
        <w:rPr>
          <w:noProof/>
        </w:rPr>
        <w:fldChar w:fldCharType="separate"/>
      </w:r>
      <w:r w:rsidR="00C207CD">
        <w:rPr>
          <w:noProof/>
        </w:rPr>
        <w:t>13</w:t>
      </w:r>
      <w:r>
        <w:rPr>
          <w:noProof/>
        </w:rPr>
        <w:fldChar w:fldCharType="end"/>
      </w:r>
    </w:p>
    <w:p w14:paraId="069C6F14" w14:textId="386252BC" w:rsidR="00DA4AC4" w:rsidRPr="00DA4AC4" w:rsidRDefault="00DA4AC4" w:rsidP="00DA4AC4">
      <w:pPr>
        <w:pStyle w:val="TOC9"/>
        <w:keepNext/>
        <w:rPr>
          <w:rFonts w:asciiTheme="minorHAnsi" w:eastAsiaTheme="minorEastAsia" w:hAnsiTheme="minorHAnsi" w:cstheme="minorBidi"/>
          <w:noProof/>
          <w:sz w:val="22"/>
          <w:lang w:val="fr-BE" w:eastAsia="en-GB"/>
        </w:rPr>
      </w:pPr>
      <w:r>
        <w:rPr>
          <w:noProof/>
        </w:rPr>
        <w:t>Accord avec la Norvège - TVA</w:t>
      </w:r>
      <w:r>
        <w:rPr>
          <w:noProof/>
        </w:rPr>
        <w:tab/>
      </w:r>
      <w:r>
        <w:rPr>
          <w:noProof/>
        </w:rPr>
        <w:fldChar w:fldCharType="begin"/>
      </w:r>
      <w:r>
        <w:rPr>
          <w:noProof/>
        </w:rPr>
        <w:instrText xml:space="preserve"> PAGEREF \h _Toc526431641 \* MERGEFORMAT </w:instrText>
      </w:r>
      <w:r>
        <w:rPr>
          <w:noProof/>
        </w:rPr>
      </w:r>
      <w:r>
        <w:rPr>
          <w:noProof/>
        </w:rPr>
        <w:fldChar w:fldCharType="separate"/>
      </w:r>
      <w:r w:rsidR="00C207CD">
        <w:rPr>
          <w:noProof/>
        </w:rPr>
        <w:t>13</w:t>
      </w:r>
      <w:r>
        <w:rPr>
          <w:noProof/>
        </w:rPr>
        <w:fldChar w:fldCharType="end"/>
      </w:r>
    </w:p>
    <w:p w14:paraId="3A5E0B5D" w14:textId="1615E8DE" w:rsidR="00DA4AC4" w:rsidRPr="00DA4AC4" w:rsidRDefault="00DA4AC4" w:rsidP="00DA4AC4">
      <w:pPr>
        <w:pStyle w:val="TOC9"/>
        <w:keepNext/>
        <w:rPr>
          <w:rFonts w:asciiTheme="minorHAnsi" w:eastAsiaTheme="minorEastAsia" w:hAnsiTheme="minorHAnsi" w:cstheme="minorBidi"/>
          <w:noProof/>
          <w:sz w:val="22"/>
          <w:lang w:val="fr-BE" w:eastAsia="en-GB"/>
        </w:rPr>
      </w:pPr>
      <w:r>
        <w:rPr>
          <w:noProof/>
        </w:rPr>
        <w:t>Rapport sur les questions fiscales</w:t>
      </w:r>
      <w:r>
        <w:rPr>
          <w:noProof/>
        </w:rPr>
        <w:tab/>
      </w:r>
      <w:r>
        <w:rPr>
          <w:noProof/>
        </w:rPr>
        <w:fldChar w:fldCharType="begin"/>
      </w:r>
      <w:r>
        <w:rPr>
          <w:noProof/>
        </w:rPr>
        <w:instrText xml:space="preserve"> PAGEREF \h _Toc526431642 \* MERGEFORMAT </w:instrText>
      </w:r>
      <w:r>
        <w:rPr>
          <w:noProof/>
        </w:rPr>
      </w:r>
      <w:r>
        <w:rPr>
          <w:noProof/>
        </w:rPr>
        <w:fldChar w:fldCharType="separate"/>
      </w:r>
      <w:r w:rsidR="00C207CD">
        <w:rPr>
          <w:noProof/>
        </w:rPr>
        <w:t>14</w:t>
      </w:r>
      <w:r>
        <w:rPr>
          <w:noProof/>
        </w:rPr>
        <w:fldChar w:fldCharType="end"/>
      </w:r>
    </w:p>
    <w:p w14:paraId="44E6B1FF" w14:textId="6C9394D1" w:rsidR="00DA4AC4" w:rsidRPr="00DA4AC4" w:rsidRDefault="00DA4AC4" w:rsidP="00DA4AC4">
      <w:pPr>
        <w:pStyle w:val="TOC9"/>
        <w:rPr>
          <w:rFonts w:asciiTheme="minorHAnsi" w:eastAsiaTheme="minorEastAsia" w:hAnsiTheme="minorHAnsi" w:cstheme="minorBidi"/>
          <w:noProof/>
          <w:sz w:val="22"/>
          <w:lang w:val="fr-BE" w:eastAsia="en-GB"/>
        </w:rPr>
      </w:pPr>
      <w:r>
        <w:rPr>
          <w:noProof/>
        </w:rPr>
        <w:t>Lietuvos bankas — Commissaires aux comptes extérieurs</w:t>
      </w:r>
      <w:r>
        <w:rPr>
          <w:noProof/>
        </w:rPr>
        <w:tab/>
      </w:r>
      <w:r>
        <w:rPr>
          <w:noProof/>
        </w:rPr>
        <w:fldChar w:fldCharType="begin"/>
      </w:r>
      <w:r>
        <w:rPr>
          <w:noProof/>
        </w:rPr>
        <w:instrText xml:space="preserve"> PAGEREF \h _Toc526431643 \* MERGEFORMAT </w:instrText>
      </w:r>
      <w:r>
        <w:rPr>
          <w:noProof/>
        </w:rPr>
      </w:r>
      <w:r>
        <w:rPr>
          <w:noProof/>
        </w:rPr>
        <w:fldChar w:fldCharType="separate"/>
      </w:r>
      <w:r w:rsidR="00C207CD">
        <w:rPr>
          <w:noProof/>
        </w:rPr>
        <w:t>14</w:t>
      </w:r>
      <w:r>
        <w:rPr>
          <w:noProof/>
        </w:rPr>
        <w:fldChar w:fldCharType="end"/>
      </w:r>
    </w:p>
    <w:p w14:paraId="61475ADA" w14:textId="212C1AA9" w:rsidR="00DA4AC4" w:rsidRDefault="00DA4AC4" w:rsidP="00DA4AC4">
      <w:pPr>
        <w:pStyle w:val="TOC8"/>
        <w:rPr>
          <w:rFonts w:asciiTheme="minorHAnsi" w:eastAsiaTheme="minorEastAsia" w:hAnsiTheme="minorHAnsi" w:cstheme="minorBidi"/>
          <w:i w:val="0"/>
          <w:noProof/>
          <w:sz w:val="22"/>
          <w:lang w:val="en-GB" w:eastAsia="en-GB"/>
        </w:rPr>
      </w:pPr>
      <w:r w:rsidRPr="00E769AF">
        <w:rPr>
          <w:rFonts w:asciiTheme="majorBidi" w:hAnsiTheme="majorBidi"/>
          <w:noProof/>
        </w:rPr>
        <w:t>QUESTIONS BUDGÉTAIRES</w:t>
      </w:r>
    </w:p>
    <w:p w14:paraId="09754786" w14:textId="2AD48BD8" w:rsidR="00DA4AC4" w:rsidRPr="00DA4AC4" w:rsidRDefault="00DA4AC4" w:rsidP="00DA4AC4">
      <w:pPr>
        <w:pStyle w:val="TOC9"/>
        <w:rPr>
          <w:rFonts w:asciiTheme="minorHAnsi" w:eastAsiaTheme="minorEastAsia" w:hAnsiTheme="minorHAnsi" w:cstheme="minorBidi"/>
          <w:noProof/>
          <w:sz w:val="22"/>
          <w:lang w:val="fr-BE" w:eastAsia="en-GB"/>
        </w:rPr>
      </w:pPr>
      <w:r>
        <w:rPr>
          <w:noProof/>
        </w:rPr>
        <w:t>Financement de la facilité en faveur des réfugiés en Turquie - P</w:t>
      </w:r>
      <w:r w:rsidR="001A5446">
        <w:rPr>
          <w:noProof/>
        </w:rPr>
        <w:t>rojet de budget rectificatif n° </w:t>
      </w:r>
      <w:r>
        <w:rPr>
          <w:noProof/>
        </w:rPr>
        <w:t>3/2018</w:t>
      </w:r>
      <w:r>
        <w:rPr>
          <w:noProof/>
        </w:rPr>
        <w:tab/>
      </w:r>
      <w:r>
        <w:rPr>
          <w:noProof/>
        </w:rPr>
        <w:fldChar w:fldCharType="begin"/>
      </w:r>
      <w:r>
        <w:rPr>
          <w:noProof/>
        </w:rPr>
        <w:instrText xml:space="preserve"> PAGEREF \h _Toc526431645 \* MERGEFORMAT </w:instrText>
      </w:r>
      <w:r>
        <w:rPr>
          <w:noProof/>
        </w:rPr>
      </w:r>
      <w:r>
        <w:rPr>
          <w:noProof/>
        </w:rPr>
        <w:fldChar w:fldCharType="separate"/>
      </w:r>
      <w:r w:rsidR="00C207CD">
        <w:rPr>
          <w:noProof/>
        </w:rPr>
        <w:t>15</w:t>
      </w:r>
      <w:r>
        <w:rPr>
          <w:noProof/>
        </w:rPr>
        <w:fldChar w:fldCharType="end"/>
      </w:r>
    </w:p>
    <w:p w14:paraId="7345897D" w14:textId="6D5BB2CF" w:rsidR="00DA4AC4" w:rsidRDefault="00DA4AC4" w:rsidP="00DA4AC4">
      <w:pPr>
        <w:pStyle w:val="TOC8"/>
        <w:rPr>
          <w:rFonts w:asciiTheme="minorHAnsi" w:eastAsiaTheme="minorEastAsia" w:hAnsiTheme="minorHAnsi" w:cstheme="minorBidi"/>
          <w:i w:val="0"/>
          <w:noProof/>
          <w:sz w:val="22"/>
          <w:lang w:val="en-GB" w:eastAsia="en-GB"/>
        </w:rPr>
      </w:pPr>
      <w:r w:rsidRPr="00E769AF">
        <w:rPr>
          <w:rFonts w:asciiTheme="majorBidi" w:hAnsiTheme="majorBidi"/>
          <w:noProof/>
        </w:rPr>
        <w:t>AFFAIRES ÉTRANGÈRES</w:t>
      </w:r>
    </w:p>
    <w:p w14:paraId="4DB867E3" w14:textId="6D1D53FF" w:rsidR="00DA4AC4" w:rsidRPr="00DA4AC4" w:rsidRDefault="00DA4AC4" w:rsidP="00DA4AC4">
      <w:pPr>
        <w:pStyle w:val="TOC9"/>
        <w:rPr>
          <w:rFonts w:asciiTheme="minorHAnsi" w:eastAsiaTheme="minorEastAsia" w:hAnsiTheme="minorHAnsi" w:cstheme="minorBidi"/>
          <w:noProof/>
          <w:sz w:val="22"/>
          <w:lang w:val="fr-BE" w:eastAsia="en-GB"/>
        </w:rPr>
      </w:pPr>
      <w:r>
        <w:rPr>
          <w:noProof/>
        </w:rPr>
        <w:t>Relations avec les pays d'Afrique, des Caraïbes et du Pacifique</w:t>
      </w:r>
      <w:r>
        <w:rPr>
          <w:noProof/>
        </w:rPr>
        <w:tab/>
      </w:r>
      <w:r>
        <w:rPr>
          <w:noProof/>
        </w:rPr>
        <w:fldChar w:fldCharType="begin"/>
      </w:r>
      <w:r>
        <w:rPr>
          <w:noProof/>
        </w:rPr>
        <w:instrText xml:space="preserve"> PAGEREF \h _Toc526431647 \* MERGEFORMAT </w:instrText>
      </w:r>
      <w:r>
        <w:rPr>
          <w:noProof/>
        </w:rPr>
      </w:r>
      <w:r>
        <w:rPr>
          <w:noProof/>
        </w:rPr>
        <w:fldChar w:fldCharType="separate"/>
      </w:r>
      <w:r w:rsidR="00C207CD">
        <w:rPr>
          <w:noProof/>
        </w:rPr>
        <w:t>16</w:t>
      </w:r>
      <w:r>
        <w:rPr>
          <w:noProof/>
        </w:rPr>
        <w:fldChar w:fldCharType="end"/>
      </w:r>
    </w:p>
    <w:p w14:paraId="36764376" w14:textId="63D5E75D" w:rsidR="00DA4AC4" w:rsidRDefault="00DA4AC4" w:rsidP="00DA4AC4">
      <w:pPr>
        <w:pStyle w:val="TOC8"/>
        <w:rPr>
          <w:rFonts w:asciiTheme="minorHAnsi" w:eastAsiaTheme="minorEastAsia" w:hAnsiTheme="minorHAnsi" w:cstheme="minorBidi"/>
          <w:i w:val="0"/>
          <w:noProof/>
          <w:sz w:val="22"/>
          <w:lang w:val="en-GB" w:eastAsia="en-GB"/>
        </w:rPr>
      </w:pPr>
      <w:r w:rsidRPr="00E769AF">
        <w:rPr>
          <w:rFonts w:asciiTheme="majorBidi" w:hAnsiTheme="majorBidi"/>
          <w:noProof/>
        </w:rPr>
        <w:t>UNION DOUANIÈRE</w:t>
      </w:r>
    </w:p>
    <w:p w14:paraId="07BB466B" w14:textId="5286BBFA" w:rsidR="00DA4AC4" w:rsidRDefault="00DA4AC4" w:rsidP="00DA4AC4">
      <w:pPr>
        <w:pStyle w:val="TOC9"/>
      </w:pPr>
      <w:r>
        <w:rPr>
          <w:noProof/>
        </w:rPr>
        <w:t>Organisation mondiale des douanes</w:t>
      </w:r>
      <w:r>
        <w:rPr>
          <w:noProof/>
        </w:rPr>
        <w:tab/>
      </w:r>
      <w:r>
        <w:rPr>
          <w:noProof/>
        </w:rPr>
        <w:fldChar w:fldCharType="begin"/>
      </w:r>
      <w:r>
        <w:rPr>
          <w:noProof/>
        </w:rPr>
        <w:instrText xml:space="preserve"> PAGEREF \h _Toc526431649 \* MERGEFORMAT </w:instrText>
      </w:r>
      <w:r>
        <w:rPr>
          <w:noProof/>
        </w:rPr>
      </w:r>
      <w:r>
        <w:rPr>
          <w:noProof/>
        </w:rPr>
        <w:fldChar w:fldCharType="separate"/>
      </w:r>
      <w:r w:rsidR="00C207CD">
        <w:rPr>
          <w:noProof/>
        </w:rPr>
        <w:t>16</w:t>
      </w:r>
      <w:r>
        <w:rPr>
          <w:noProof/>
        </w:rPr>
        <w:fldChar w:fldCharType="end"/>
      </w:r>
    </w:p>
    <w:p w14:paraId="679234F3" w14:textId="77777777" w:rsidR="00DA4AC4" w:rsidRPr="00367F7A" w:rsidRDefault="00DA4AC4" w:rsidP="003C5A34">
      <w:pPr>
        <w:sectPr w:rsidR="00DA4AC4" w:rsidRPr="00367F7A" w:rsidSect="00C207CD">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14:paraId="40CCF422" w14:textId="25C0966F" w:rsidR="003C5A34" w:rsidRPr="00367F7A" w:rsidRDefault="00816F26" w:rsidP="00816F26">
      <w:pPr>
        <w:pStyle w:val="ItemsDebatedHeading"/>
      </w:pPr>
      <w:r w:rsidRPr="00367F7A">
        <w:lastRenderedPageBreak/>
        <w:t>POINTS AYANT FAIT L'OBJET D'UN DÉBAT</w:t>
      </w:r>
    </w:p>
    <w:p w14:paraId="6D56368F" w14:textId="23D7117A" w:rsidR="008A1A04" w:rsidRPr="00367F7A" w:rsidRDefault="008A1A04" w:rsidP="00631AD6">
      <w:pPr>
        <w:pStyle w:val="ItemDebated"/>
      </w:pPr>
      <w:bookmarkStart w:id="5" w:name="_Toc526431623"/>
      <w:r w:rsidRPr="00367F7A">
        <w:t>SYSTÈME DE TVA – SOLUTIONS À COURT TERME</w:t>
      </w:r>
      <w:bookmarkEnd w:id="5"/>
    </w:p>
    <w:p w14:paraId="1F7802DD" w14:textId="5180EE1F" w:rsidR="008A1A04" w:rsidRPr="00367F7A" w:rsidRDefault="008A1A04" w:rsidP="003071F7">
      <w:pPr>
        <w:rPr>
          <w:rFonts w:asciiTheme="majorBidi" w:hAnsiTheme="majorBidi" w:cstheme="majorBidi"/>
          <w:szCs w:val="24"/>
        </w:rPr>
      </w:pPr>
      <w:r w:rsidRPr="00367F7A">
        <w:rPr>
          <w:rFonts w:asciiTheme="majorBidi" w:hAnsiTheme="majorBidi"/>
          <w:szCs w:val="24"/>
        </w:rPr>
        <w:t>Le Conseil a débattu des propositions de modification des règles de l'UE en matière de TVA, destinées à résoudre des problèmes spécifiques dans l'attente de l'introduction d'un nouveau système de TVA.</w:t>
      </w:r>
    </w:p>
    <w:p w14:paraId="39D1EA05" w14:textId="36554657" w:rsidR="003071F7" w:rsidRPr="00367F7A" w:rsidRDefault="003071F7" w:rsidP="003071F7">
      <w:pPr>
        <w:rPr>
          <w:rFonts w:asciiTheme="majorBidi" w:hAnsiTheme="majorBidi" w:cstheme="majorBidi"/>
          <w:szCs w:val="24"/>
        </w:rPr>
      </w:pPr>
      <w:r w:rsidRPr="00367F7A">
        <w:rPr>
          <w:rFonts w:asciiTheme="majorBidi" w:hAnsiTheme="majorBidi"/>
          <w:szCs w:val="24"/>
        </w:rPr>
        <w:t>Les discussions relatives à un système de TVA définitif qui doit remplacer l'actuel régime transitoire étant toujours en cours, quatre "solutions rapides" et à court terme sont proposées.</w:t>
      </w:r>
    </w:p>
    <w:p w14:paraId="19C06F38" w14:textId="0E7C4E0E" w:rsidR="002927BF" w:rsidRPr="00367F7A" w:rsidRDefault="002927BF" w:rsidP="002927BF">
      <w:pPr>
        <w:rPr>
          <w:rFonts w:asciiTheme="majorBidi" w:hAnsiTheme="majorBidi" w:cstheme="majorBidi"/>
          <w:szCs w:val="24"/>
        </w:rPr>
      </w:pPr>
      <w:r w:rsidRPr="00367F7A">
        <w:rPr>
          <w:rFonts w:asciiTheme="majorBidi" w:hAnsiTheme="majorBidi"/>
          <w:szCs w:val="24"/>
        </w:rPr>
        <w:t>Elles ont trait aux stocks sous contrat de dépôt, au numéro d'identi</w:t>
      </w:r>
      <w:r w:rsidR="001A5446">
        <w:rPr>
          <w:rFonts w:asciiTheme="majorBidi" w:hAnsiTheme="majorBidi"/>
          <w:szCs w:val="24"/>
        </w:rPr>
        <w:t>fication TVA, aux opérations en </w:t>
      </w:r>
      <w:r w:rsidRPr="00367F7A">
        <w:rPr>
          <w:rFonts w:asciiTheme="majorBidi" w:hAnsiTheme="majorBidi"/>
          <w:szCs w:val="24"/>
        </w:rPr>
        <w:t>chaîne et à la preuve de la livraison intra-UE.</w:t>
      </w:r>
    </w:p>
    <w:p w14:paraId="5A1295F3" w14:textId="59FAF209" w:rsidR="008A1A04" w:rsidRPr="00367F7A" w:rsidRDefault="003071F7" w:rsidP="002927BF">
      <w:pPr>
        <w:rPr>
          <w:rFonts w:asciiTheme="majorBidi" w:hAnsiTheme="majorBidi" w:cstheme="majorBidi"/>
          <w:szCs w:val="24"/>
        </w:rPr>
      </w:pPr>
      <w:r w:rsidRPr="00367F7A">
        <w:rPr>
          <w:rFonts w:asciiTheme="majorBidi" w:hAnsiTheme="majorBidi"/>
          <w:szCs w:val="24"/>
        </w:rPr>
        <w:t>Malgré les progrès réalisés sur ces points, le Conseil n'a pas pu parvenir à un accord à ce stade, certains États membres souhaitant régler un cinquième point que la Commission n'a pas abordé dans ses propositions.</w:t>
      </w:r>
    </w:p>
    <w:p w14:paraId="5EC64690" w14:textId="193A392D" w:rsidR="008A1A04" w:rsidRPr="00367F7A" w:rsidRDefault="002927BF" w:rsidP="002927BF">
      <w:pPr>
        <w:rPr>
          <w:rFonts w:asciiTheme="majorBidi" w:hAnsiTheme="majorBidi" w:cstheme="majorBidi"/>
          <w:szCs w:val="24"/>
        </w:rPr>
      </w:pPr>
      <w:r w:rsidRPr="00367F7A">
        <w:rPr>
          <w:rFonts w:asciiTheme="majorBidi" w:hAnsiTheme="majorBidi"/>
          <w:szCs w:val="24"/>
        </w:rPr>
        <w:t>Il s'agirait d'ajouter une exonération de TVA pour les catégories d</w:t>
      </w:r>
      <w:r w:rsidR="001A5446">
        <w:rPr>
          <w:rFonts w:asciiTheme="majorBidi" w:hAnsiTheme="majorBidi"/>
          <w:szCs w:val="24"/>
        </w:rPr>
        <w:t>'assujettis qui mutualisent des </w:t>
      </w:r>
      <w:r w:rsidRPr="00367F7A">
        <w:rPr>
          <w:rFonts w:asciiTheme="majorBidi" w:hAnsiTheme="majorBidi"/>
          <w:szCs w:val="24"/>
        </w:rPr>
        <w:t>services et partagent les coûts.</w:t>
      </w:r>
    </w:p>
    <w:p w14:paraId="4E1596D8" w14:textId="21225D74" w:rsidR="002927BF" w:rsidRPr="00367F7A" w:rsidRDefault="002927BF" w:rsidP="00735E01">
      <w:pPr>
        <w:rPr>
          <w:rFonts w:asciiTheme="majorBidi" w:hAnsiTheme="majorBidi" w:cstheme="majorBidi"/>
          <w:szCs w:val="24"/>
        </w:rPr>
      </w:pPr>
      <w:r w:rsidRPr="00367F7A">
        <w:rPr>
          <w:rFonts w:asciiTheme="majorBidi" w:hAnsiTheme="majorBidi"/>
          <w:szCs w:val="24"/>
        </w:rPr>
        <w:t>Le dossier est transmis à la prochaine présidence, en vue de la résol</w:t>
      </w:r>
      <w:r w:rsidR="001A5446">
        <w:rPr>
          <w:rFonts w:asciiTheme="majorBidi" w:hAnsiTheme="majorBidi"/>
          <w:szCs w:val="24"/>
        </w:rPr>
        <w:t>ution de ce problème en </w:t>
      </w:r>
      <w:r w:rsidRPr="00367F7A">
        <w:rPr>
          <w:rFonts w:asciiTheme="majorBidi" w:hAnsiTheme="majorBidi"/>
          <w:szCs w:val="24"/>
        </w:rPr>
        <w:t>suspens.</w:t>
      </w:r>
    </w:p>
    <w:p w14:paraId="113DCE39" w14:textId="58516A5C" w:rsidR="008A1A04" w:rsidRPr="00367F7A" w:rsidRDefault="008A1A04" w:rsidP="00735E01">
      <w:pPr>
        <w:rPr>
          <w:rFonts w:asciiTheme="majorBidi" w:hAnsiTheme="majorBidi" w:cstheme="majorBidi"/>
          <w:szCs w:val="24"/>
        </w:rPr>
      </w:pPr>
      <w:r w:rsidRPr="00367F7A">
        <w:rPr>
          <w:rFonts w:asciiTheme="majorBidi" w:hAnsiTheme="majorBidi"/>
          <w:szCs w:val="24"/>
        </w:rPr>
        <w:t>Le Conseil devra adopter les propositions à l'unanimité, après consultation du Parlement européen. (Base juridique: article 113 du traité sur le fonctionnement de l'Uni</w:t>
      </w:r>
      <w:r w:rsidR="001A5446">
        <w:rPr>
          <w:rFonts w:asciiTheme="majorBidi" w:hAnsiTheme="majorBidi"/>
          <w:szCs w:val="24"/>
        </w:rPr>
        <w:t>on européenne et article 397 du </w:t>
      </w:r>
      <w:r w:rsidRPr="00367F7A">
        <w:rPr>
          <w:rFonts w:asciiTheme="majorBidi" w:hAnsiTheme="majorBidi"/>
          <w:szCs w:val="24"/>
        </w:rPr>
        <w:t>règlement (UE) n° 282/2011.) Celui-ci doit encore rendre son avis.</w:t>
      </w:r>
    </w:p>
    <w:p w14:paraId="5033C21B" w14:textId="77777777" w:rsidR="00420519" w:rsidRPr="00367F7A" w:rsidRDefault="00835E27" w:rsidP="00420519">
      <w:pPr>
        <w:pStyle w:val="ItemDebated"/>
      </w:pPr>
      <w:r w:rsidRPr="00367F7A">
        <w:br w:type="page"/>
      </w:r>
      <w:bookmarkStart w:id="6" w:name="_Toc526431624"/>
      <w:r w:rsidRPr="00367F7A">
        <w:lastRenderedPageBreak/>
        <w:t>SYSTÈME EUROPÉEN D'ASSURANCE DES DÉPÔTS</w:t>
      </w:r>
      <w:bookmarkEnd w:id="6"/>
    </w:p>
    <w:p w14:paraId="6CAA723A" w14:textId="11DFF1D5" w:rsidR="00420519" w:rsidRPr="00367F7A" w:rsidRDefault="00420519" w:rsidP="00420519">
      <w:pPr>
        <w:rPr>
          <w:rFonts w:asciiTheme="majorBidi" w:hAnsiTheme="majorBidi" w:cstheme="majorBidi"/>
          <w:iCs/>
          <w:szCs w:val="24"/>
        </w:rPr>
      </w:pPr>
      <w:r w:rsidRPr="00367F7A">
        <w:rPr>
          <w:rFonts w:asciiTheme="majorBidi" w:hAnsiTheme="majorBidi"/>
          <w:szCs w:val="24"/>
        </w:rPr>
        <w:t>Le Conseil a pris note des progrès réalisés sur une proposition relative à un système européen d'assurance des dépôts (SEAD), un élément clé des projets de renforcement de</w:t>
      </w:r>
      <w:r w:rsidR="00704009">
        <w:rPr>
          <w:rFonts w:asciiTheme="majorBidi" w:hAnsiTheme="majorBidi"/>
          <w:szCs w:val="24"/>
        </w:rPr>
        <w:t xml:space="preserve"> l'union bancaire de </w:t>
      </w:r>
      <w:r w:rsidRPr="00367F7A">
        <w:rPr>
          <w:rFonts w:asciiTheme="majorBidi" w:hAnsiTheme="majorBidi"/>
          <w:szCs w:val="24"/>
        </w:rPr>
        <w:t>l'UE.</w:t>
      </w:r>
    </w:p>
    <w:p w14:paraId="61ED14E7" w14:textId="77777777" w:rsidR="00420519" w:rsidRPr="00367F7A" w:rsidRDefault="00420519" w:rsidP="00420519">
      <w:pPr>
        <w:rPr>
          <w:rFonts w:asciiTheme="majorBidi" w:hAnsiTheme="majorBidi" w:cstheme="majorBidi"/>
          <w:szCs w:val="24"/>
        </w:rPr>
      </w:pPr>
      <w:r w:rsidRPr="00367F7A">
        <w:rPr>
          <w:rFonts w:asciiTheme="majorBidi" w:hAnsiTheme="majorBidi"/>
          <w:szCs w:val="24"/>
        </w:rPr>
        <w:t>Le règlement proposé vise à mettre en place un système d'assurance au niveau de l'UE ayant pour objet de renforcer la protection des dépôts bancaires.</w:t>
      </w:r>
    </w:p>
    <w:p w14:paraId="5F47C93E" w14:textId="72EFF976" w:rsidR="00420519" w:rsidRPr="00367F7A" w:rsidRDefault="00420519" w:rsidP="00420519">
      <w:pPr>
        <w:rPr>
          <w:rFonts w:asciiTheme="majorBidi" w:hAnsiTheme="majorBidi" w:cstheme="majorBidi"/>
          <w:szCs w:val="24"/>
        </w:rPr>
      </w:pPr>
      <w:r w:rsidRPr="00367F7A">
        <w:rPr>
          <w:rFonts w:asciiTheme="majorBidi" w:hAnsiTheme="majorBidi"/>
          <w:szCs w:val="24"/>
        </w:rPr>
        <w:t xml:space="preserve">Un rapport semestriel résume l'état d'avancement des travaux menés au sein du </w:t>
      </w:r>
      <w:r w:rsidR="00704009">
        <w:rPr>
          <w:rFonts w:asciiTheme="majorBidi" w:hAnsiTheme="majorBidi"/>
          <w:szCs w:val="24"/>
        </w:rPr>
        <w:t>groupe de travail du </w:t>
      </w:r>
      <w:r w:rsidRPr="00367F7A">
        <w:rPr>
          <w:rFonts w:asciiTheme="majorBidi" w:hAnsiTheme="majorBidi"/>
          <w:szCs w:val="24"/>
        </w:rPr>
        <w:t>Conseil en ce qui concerne tant le SEAD que la réduction des risq</w:t>
      </w:r>
      <w:r w:rsidR="00704009">
        <w:rPr>
          <w:rFonts w:asciiTheme="majorBidi" w:hAnsiTheme="majorBidi"/>
          <w:szCs w:val="24"/>
        </w:rPr>
        <w:t>ues et les autres mesures ayant </w:t>
      </w:r>
      <w:r w:rsidRPr="00367F7A">
        <w:rPr>
          <w:rFonts w:asciiTheme="majorBidi" w:hAnsiTheme="majorBidi"/>
          <w:szCs w:val="24"/>
        </w:rPr>
        <w:t>trait à l'union bancaire. Il a pour but de faciliter la poursuite des travaux.</w:t>
      </w:r>
    </w:p>
    <w:p w14:paraId="60003BDE" w14:textId="484988D2" w:rsidR="00420519" w:rsidRPr="00367F7A" w:rsidRDefault="00420519" w:rsidP="00735E01">
      <w:pPr>
        <w:rPr>
          <w:rFonts w:asciiTheme="majorBidi" w:hAnsiTheme="majorBidi" w:cstheme="majorBidi"/>
          <w:szCs w:val="24"/>
        </w:rPr>
      </w:pPr>
      <w:r w:rsidRPr="00367F7A">
        <w:rPr>
          <w:rFonts w:asciiTheme="majorBidi" w:hAnsiTheme="majorBidi"/>
          <w:szCs w:val="24"/>
        </w:rPr>
        <w:t>Si les systèmes de garantie des dépôts offrent une protection au niveau national en cas de défaillance d'une banque, ils demeurent vulnérables aux chocs loc</w:t>
      </w:r>
      <w:r w:rsidR="00704009">
        <w:rPr>
          <w:rFonts w:asciiTheme="majorBidi" w:hAnsiTheme="majorBidi"/>
          <w:szCs w:val="24"/>
        </w:rPr>
        <w:t>aux. Il est proposé de faire du </w:t>
      </w:r>
      <w:r w:rsidRPr="00367F7A">
        <w:rPr>
          <w:rFonts w:asciiTheme="majorBidi" w:hAnsiTheme="majorBidi"/>
          <w:szCs w:val="24"/>
        </w:rPr>
        <w:t>SEAD, qui fournit une couverture d'assurance au niveau de l'UE, un troisième "pilier" de l'union bancaire de l'UE, les deux autres étant le mécanisme de surveillance unique existant pour le secteur bancaire et le mécanisme de résolution unique pour les banques non viables.</w:t>
      </w:r>
    </w:p>
    <w:p w14:paraId="0405A684" w14:textId="4451161D" w:rsidR="00420519" w:rsidRPr="00367F7A" w:rsidRDefault="00420519" w:rsidP="00420519">
      <w:pPr>
        <w:rPr>
          <w:rFonts w:asciiTheme="majorBidi" w:hAnsiTheme="majorBidi" w:cstheme="majorBidi"/>
          <w:szCs w:val="24"/>
        </w:rPr>
      </w:pPr>
      <w:r w:rsidRPr="00367F7A">
        <w:rPr>
          <w:rFonts w:asciiTheme="majorBidi" w:hAnsiTheme="majorBidi"/>
          <w:szCs w:val="24"/>
        </w:rPr>
        <w:t>L'union bancaire vise à offrir une base solide au secteur bancaire europ</w:t>
      </w:r>
      <w:r w:rsidR="00704009">
        <w:rPr>
          <w:rFonts w:asciiTheme="majorBidi" w:hAnsiTheme="majorBidi"/>
          <w:szCs w:val="24"/>
        </w:rPr>
        <w:t>éen et à éviter le recours, aux </w:t>
      </w:r>
      <w:r w:rsidRPr="00367F7A">
        <w:rPr>
          <w:rFonts w:asciiTheme="majorBidi" w:hAnsiTheme="majorBidi"/>
          <w:szCs w:val="24"/>
        </w:rPr>
        <w:t>fins de la résolution des défaillances des banques non viables, à l'argent des contribuables.</w:t>
      </w:r>
      <w:r w:rsidRPr="00367F7A">
        <w:rPr>
          <w:rFonts w:asciiTheme="majorBidi" w:hAnsiTheme="majorBidi"/>
          <w:bCs/>
          <w:szCs w:val="24"/>
        </w:rPr>
        <w:t xml:space="preserve"> </w:t>
      </w:r>
      <w:r w:rsidRPr="00367F7A">
        <w:rPr>
          <w:rFonts w:asciiTheme="majorBidi" w:hAnsiTheme="majorBidi"/>
          <w:szCs w:val="24"/>
        </w:rPr>
        <w:t>Lancée en 2012, elle regroupe actuellement les dix-neuf pays de la zone euro, sept autres États membres ayant manifesté leur intention de s'y associer.</w:t>
      </w:r>
    </w:p>
    <w:p w14:paraId="67D1DAE3" w14:textId="6C27207E" w:rsidR="00420519" w:rsidRPr="00367F7A" w:rsidRDefault="00420519" w:rsidP="00420519">
      <w:pPr>
        <w:rPr>
          <w:rFonts w:asciiTheme="majorBidi" w:hAnsiTheme="majorBidi" w:cstheme="majorBidi"/>
          <w:bCs/>
          <w:noProof/>
          <w:szCs w:val="24"/>
          <w:u w:val="single"/>
        </w:rPr>
      </w:pPr>
      <w:r w:rsidRPr="00367F7A">
        <w:rPr>
          <w:rFonts w:asciiTheme="majorBidi" w:hAnsiTheme="majorBidi"/>
          <w:szCs w:val="24"/>
        </w:rPr>
        <w:t xml:space="preserve">En juin 2016, le Conseil est convenu que les négociations au niveau politique sur le SEAD commenceraient dès que des progrès auraient été accomplis sur les </w:t>
      </w:r>
      <w:r w:rsidR="00704009">
        <w:rPr>
          <w:rFonts w:asciiTheme="majorBidi" w:hAnsiTheme="majorBidi"/>
          <w:szCs w:val="24"/>
        </w:rPr>
        <w:t>mesures destinées à réduire les </w:t>
      </w:r>
      <w:r w:rsidRPr="00367F7A">
        <w:rPr>
          <w:rFonts w:asciiTheme="majorBidi" w:hAnsiTheme="majorBidi"/>
          <w:szCs w:val="24"/>
        </w:rPr>
        <w:t>risques dans le secteur financier. Depuis lors, les discussions ont été de nature technique.</w:t>
      </w:r>
    </w:p>
    <w:p w14:paraId="78C7147F" w14:textId="77777777" w:rsidR="00420519" w:rsidRPr="00367F7A" w:rsidRDefault="00420519" w:rsidP="00420519">
      <w:pPr>
        <w:rPr>
          <w:rFonts w:asciiTheme="majorBidi" w:hAnsiTheme="majorBidi" w:cstheme="majorBidi"/>
          <w:szCs w:val="24"/>
        </w:rPr>
      </w:pPr>
      <w:r w:rsidRPr="00367F7A">
        <w:rPr>
          <w:rFonts w:asciiTheme="majorBidi" w:hAnsiTheme="majorBidi"/>
          <w:szCs w:val="24"/>
        </w:rPr>
        <w:t>Le règlement doit être adopté par le Conseil à la majorité qualifiée, en accord avec le Parlement européen. (Base juridique: article 114 du traité sur le fonctionnement de l'Union européenne.)</w:t>
      </w:r>
    </w:p>
    <w:p w14:paraId="086A4AC5" w14:textId="77777777" w:rsidR="00420519" w:rsidRPr="00367F7A" w:rsidRDefault="00C207CD" w:rsidP="00420519">
      <w:pPr>
        <w:pStyle w:val="ListParagraph"/>
        <w:spacing w:before="120" w:after="240" w:line="276" w:lineRule="auto"/>
        <w:ind w:left="0"/>
        <w:rPr>
          <w:rStyle w:val="Hyperlink"/>
          <w:rFonts w:asciiTheme="majorBidi" w:hAnsiTheme="majorBidi" w:cstheme="majorBidi"/>
          <w:bCs/>
          <w:noProof/>
          <w:szCs w:val="24"/>
        </w:rPr>
      </w:pPr>
      <w:hyperlink r:id="rId17" w:history="1">
        <w:r w:rsidR="00E62CF0" w:rsidRPr="00F32027">
          <w:rPr>
            <w:rStyle w:val="Hyperlink"/>
            <w:rFonts w:asciiTheme="majorBidi" w:hAnsiTheme="majorBidi"/>
            <w:bCs/>
            <w:color w:val="0000FF"/>
            <w:szCs w:val="24"/>
          </w:rPr>
          <w:t>Rapport de juin 2018 concernant l'état d'avancement des travaux sur la proposition SEAD</w:t>
        </w:r>
      </w:hyperlink>
    </w:p>
    <w:p w14:paraId="70C31A24" w14:textId="77777777" w:rsidR="00420519" w:rsidRPr="00367F7A" w:rsidRDefault="00C207CD" w:rsidP="00420519">
      <w:pPr>
        <w:pStyle w:val="ListParagraph"/>
        <w:spacing w:before="120" w:after="240" w:line="276" w:lineRule="auto"/>
        <w:ind w:left="0"/>
        <w:rPr>
          <w:rStyle w:val="Hyperlink"/>
          <w:rFonts w:asciiTheme="majorBidi" w:hAnsiTheme="majorBidi" w:cstheme="majorBidi"/>
          <w:szCs w:val="24"/>
        </w:rPr>
      </w:pPr>
      <w:hyperlink r:id="rId18" w:history="1">
        <w:r w:rsidR="00E62CF0" w:rsidRPr="00F32027">
          <w:rPr>
            <w:rStyle w:val="Hyperlink"/>
            <w:rFonts w:asciiTheme="majorBidi" w:hAnsiTheme="majorBidi"/>
            <w:color w:val="0000FF"/>
            <w:szCs w:val="24"/>
          </w:rPr>
          <w:t>Conclusions du Conseil de juin 2016 sur une feuille de route pour l'achèvement de l'union bancaire</w:t>
        </w:r>
      </w:hyperlink>
    </w:p>
    <w:p w14:paraId="5C37FA92" w14:textId="77777777" w:rsidR="00631AD6" w:rsidRPr="00367F7A" w:rsidRDefault="00420519" w:rsidP="00631AD6">
      <w:pPr>
        <w:pStyle w:val="ItemDebated"/>
      </w:pPr>
      <w:r w:rsidRPr="00367F7A">
        <w:br w:type="page"/>
      </w:r>
      <w:bookmarkStart w:id="7" w:name="_Toc526431625"/>
      <w:r w:rsidRPr="00367F7A">
        <w:lastRenderedPageBreak/>
        <w:t>POLITIQUES ÉCONOMIQUES ET BUDGÉTAIRES - RECOMMANDATIONS PAR PAYS</w:t>
      </w:r>
      <w:bookmarkEnd w:id="7"/>
    </w:p>
    <w:p w14:paraId="6A94877B" w14:textId="148AE06E" w:rsidR="00631AD6" w:rsidRPr="00367F7A" w:rsidRDefault="00631AD6" w:rsidP="00631AD6">
      <w:pPr>
        <w:rPr>
          <w:rFonts w:asciiTheme="majorBidi" w:hAnsiTheme="majorBidi" w:cstheme="majorBidi"/>
          <w:szCs w:val="24"/>
        </w:rPr>
      </w:pPr>
      <w:r w:rsidRPr="00367F7A">
        <w:rPr>
          <w:rFonts w:asciiTheme="majorBidi" w:hAnsiTheme="majorBidi"/>
          <w:szCs w:val="24"/>
        </w:rPr>
        <w:t xml:space="preserve">Dans le cadre du processus de surveillance du Semestre européen </w:t>
      </w:r>
      <w:r w:rsidR="00704009">
        <w:rPr>
          <w:rFonts w:asciiTheme="majorBidi" w:hAnsiTheme="majorBidi"/>
          <w:szCs w:val="24"/>
        </w:rPr>
        <w:t>2018, le Conseil a approuvé des </w:t>
      </w:r>
      <w:r w:rsidRPr="00367F7A">
        <w:rPr>
          <w:rFonts w:asciiTheme="majorBidi" w:hAnsiTheme="majorBidi"/>
          <w:szCs w:val="24"/>
        </w:rPr>
        <w:t>projets de recommandations à adresser à 27 États membres</w:t>
      </w:r>
      <w:r w:rsidRPr="00367F7A">
        <w:rPr>
          <w:rStyle w:val="FootnoteReference"/>
          <w:rFonts w:asciiTheme="majorBidi" w:hAnsiTheme="majorBidi" w:cstheme="majorBidi"/>
          <w:szCs w:val="24"/>
        </w:rPr>
        <w:footnoteReference w:id="1"/>
      </w:r>
      <w:r w:rsidRPr="00367F7A">
        <w:rPr>
          <w:rFonts w:asciiTheme="majorBidi" w:hAnsiTheme="majorBidi"/>
          <w:szCs w:val="24"/>
        </w:rPr>
        <w:t xml:space="preserve"> en ce qui concerne leurs politiques économiques et budgétaires.</w:t>
      </w:r>
    </w:p>
    <w:p w14:paraId="5F1E6EB8" w14:textId="1E0448F7" w:rsidR="00631AD6" w:rsidRPr="00367F7A" w:rsidRDefault="00631AD6" w:rsidP="00631AD6">
      <w:pPr>
        <w:rPr>
          <w:rFonts w:asciiTheme="majorBidi" w:hAnsiTheme="majorBidi" w:cstheme="majorBidi"/>
          <w:szCs w:val="24"/>
        </w:rPr>
      </w:pPr>
      <w:r w:rsidRPr="00367F7A">
        <w:rPr>
          <w:rFonts w:asciiTheme="majorBidi" w:hAnsiTheme="majorBidi"/>
          <w:szCs w:val="24"/>
        </w:rPr>
        <w:t xml:space="preserve">Les projets de recommandations évaluent les politiques </w:t>
      </w:r>
      <w:r w:rsidR="00704009">
        <w:rPr>
          <w:rFonts w:asciiTheme="majorBidi" w:hAnsiTheme="majorBidi"/>
          <w:szCs w:val="24"/>
        </w:rPr>
        <w:t>économiques présentées dans les </w:t>
      </w:r>
      <w:r w:rsidRPr="00367F7A">
        <w:rPr>
          <w:rFonts w:asciiTheme="majorBidi" w:hAnsiTheme="majorBidi"/>
          <w:szCs w:val="24"/>
        </w:rPr>
        <w:t>programmes nationaux de réforme des États membres. Ils contien</w:t>
      </w:r>
      <w:r w:rsidR="00704009">
        <w:rPr>
          <w:rFonts w:asciiTheme="majorBidi" w:hAnsiTheme="majorBidi"/>
          <w:szCs w:val="24"/>
        </w:rPr>
        <w:t>nent des projets d'avis sur les </w:t>
      </w:r>
      <w:r w:rsidRPr="00367F7A">
        <w:rPr>
          <w:rFonts w:asciiTheme="majorBidi" w:hAnsiTheme="majorBidi"/>
          <w:szCs w:val="24"/>
        </w:rPr>
        <w:t>politiques budgétaires exposées dans leurs programmes de stabilité et de convergence.</w:t>
      </w:r>
    </w:p>
    <w:p w14:paraId="2D8A7E68" w14:textId="75920F8E" w:rsidR="00631AD6" w:rsidRPr="00367F7A" w:rsidRDefault="00631AD6" w:rsidP="00631AD6">
      <w:pPr>
        <w:rPr>
          <w:rFonts w:asciiTheme="majorBidi" w:hAnsiTheme="majorBidi" w:cstheme="majorBidi"/>
          <w:szCs w:val="24"/>
        </w:rPr>
      </w:pPr>
      <w:r w:rsidRPr="00367F7A">
        <w:rPr>
          <w:rFonts w:asciiTheme="majorBidi" w:hAnsiTheme="majorBidi"/>
          <w:szCs w:val="24"/>
        </w:rPr>
        <w:t>Les textes seront transmis au Conseil des affaires générales, le 26 juin, et au Co</w:t>
      </w:r>
      <w:r w:rsidR="00704009">
        <w:rPr>
          <w:rFonts w:asciiTheme="majorBidi" w:hAnsiTheme="majorBidi"/>
          <w:szCs w:val="24"/>
        </w:rPr>
        <w:t>nseil européen, pour </w:t>
      </w:r>
      <w:r w:rsidRPr="00367F7A">
        <w:rPr>
          <w:rFonts w:asciiTheme="majorBidi" w:hAnsiTheme="majorBidi"/>
          <w:szCs w:val="24"/>
        </w:rPr>
        <w:t>que celui-ci les approuve lorsqu'il se réunira les 28 et 29 juin 2018.</w:t>
      </w:r>
    </w:p>
    <w:p w14:paraId="35203565" w14:textId="7850C6C7" w:rsidR="00631AD6" w:rsidRPr="00367F7A" w:rsidRDefault="00631AD6" w:rsidP="00735E01">
      <w:pPr>
        <w:rPr>
          <w:rFonts w:asciiTheme="majorBidi" w:hAnsiTheme="majorBidi" w:cstheme="majorBidi"/>
          <w:szCs w:val="24"/>
        </w:rPr>
      </w:pPr>
      <w:r w:rsidRPr="00367F7A">
        <w:rPr>
          <w:rFonts w:asciiTheme="majorBidi" w:hAnsiTheme="majorBidi"/>
          <w:szCs w:val="24"/>
        </w:rPr>
        <w:t>Le Conseil "Emploi, politique sociale, santé et consommateurs" a procédé à des travaux préparatoires analogues le 21 juin en ce qui concerne les politiques de l'emploi des États membres.</w:t>
      </w:r>
    </w:p>
    <w:p w14:paraId="2FAD46D3" w14:textId="77777777" w:rsidR="00631AD6" w:rsidRPr="00367F7A" w:rsidRDefault="00631AD6" w:rsidP="00631AD6">
      <w:pPr>
        <w:rPr>
          <w:rFonts w:asciiTheme="majorBidi" w:hAnsiTheme="majorBidi" w:cstheme="majorBidi"/>
          <w:szCs w:val="24"/>
        </w:rPr>
      </w:pPr>
      <w:r w:rsidRPr="00367F7A">
        <w:rPr>
          <w:rFonts w:asciiTheme="majorBidi" w:hAnsiTheme="majorBidi"/>
          <w:szCs w:val="24"/>
        </w:rPr>
        <w:t>L'ensemble des mesures devrait être adopté en juillet 2018.</w:t>
      </w:r>
    </w:p>
    <w:p w14:paraId="2582CC0B" w14:textId="77777777" w:rsidR="00631AD6" w:rsidRPr="00367F7A" w:rsidRDefault="00C207CD" w:rsidP="00631AD6">
      <w:pPr>
        <w:rPr>
          <w:rFonts w:asciiTheme="majorBidi" w:hAnsiTheme="majorBidi" w:cstheme="majorBidi"/>
          <w:szCs w:val="24"/>
          <w:u w:val="single"/>
        </w:rPr>
      </w:pPr>
      <w:hyperlink r:id="rId19" w:history="1">
        <w:r w:rsidR="00E62CF0" w:rsidRPr="00F32027">
          <w:rPr>
            <w:rStyle w:val="Hyperlink"/>
            <w:rFonts w:asciiTheme="majorBidi" w:hAnsiTheme="majorBidi"/>
            <w:color w:val="0000FF"/>
            <w:szCs w:val="24"/>
          </w:rPr>
          <w:t>Communiqué de presse sur les projets de recommandations par pays pour 2018</w:t>
        </w:r>
      </w:hyperlink>
    </w:p>
    <w:p w14:paraId="4D0D0B56" w14:textId="0672F56C" w:rsidR="008A1A04" w:rsidRPr="00367F7A" w:rsidRDefault="00631AD6" w:rsidP="00420519">
      <w:pPr>
        <w:pStyle w:val="ItemDebated"/>
      </w:pPr>
      <w:r w:rsidRPr="00367F7A">
        <w:br w:type="page"/>
      </w:r>
      <w:bookmarkStart w:id="8" w:name="_Toc526431626"/>
      <w:r w:rsidRPr="00367F7A">
        <w:lastRenderedPageBreak/>
        <w:t>PACTE DE STABILITÉ ET DE CROISSANCE – FRANCE, HONGRIE ET ROUMANIE</w:t>
      </w:r>
      <w:bookmarkEnd w:id="8"/>
    </w:p>
    <w:p w14:paraId="0878C201" w14:textId="1EDD8229" w:rsidR="008A1A04" w:rsidRPr="00367F7A" w:rsidRDefault="008A1A04" w:rsidP="00CA66FE">
      <w:pPr>
        <w:rPr>
          <w:rFonts w:asciiTheme="majorBidi" w:hAnsiTheme="majorBidi" w:cstheme="majorBidi"/>
          <w:bCs/>
          <w:snapToGrid w:val="0"/>
          <w:szCs w:val="24"/>
        </w:rPr>
      </w:pPr>
      <w:r w:rsidRPr="00367F7A">
        <w:rPr>
          <w:rFonts w:asciiTheme="majorBidi" w:hAnsiTheme="majorBidi"/>
          <w:bCs/>
          <w:snapToGrid w:val="0"/>
          <w:szCs w:val="24"/>
        </w:rPr>
        <w:t>Le Conseil a pris un certain nombre de décisions en vertu du pacte de</w:t>
      </w:r>
      <w:r w:rsidR="00704009">
        <w:rPr>
          <w:rFonts w:asciiTheme="majorBidi" w:hAnsiTheme="majorBidi"/>
          <w:bCs/>
          <w:snapToGrid w:val="0"/>
          <w:szCs w:val="24"/>
        </w:rPr>
        <w:t xml:space="preserve"> stabilité et de croissance, le </w:t>
      </w:r>
      <w:r w:rsidRPr="00367F7A">
        <w:rPr>
          <w:rFonts w:asciiTheme="majorBidi" w:hAnsiTheme="majorBidi"/>
          <w:bCs/>
          <w:snapToGrid w:val="0"/>
          <w:szCs w:val="24"/>
        </w:rPr>
        <w:t>corpus de règles budgétaires de l'UE.</w:t>
      </w:r>
    </w:p>
    <w:p w14:paraId="5A9EC146" w14:textId="77777777" w:rsidR="00CA66FE" w:rsidRPr="00367F7A" w:rsidRDefault="00CA66FE" w:rsidP="00CA66FE">
      <w:pPr>
        <w:rPr>
          <w:rFonts w:asciiTheme="majorBidi" w:hAnsiTheme="majorBidi" w:cstheme="majorBidi"/>
          <w:bCs/>
          <w:snapToGrid w:val="0"/>
          <w:szCs w:val="24"/>
        </w:rPr>
      </w:pPr>
      <w:r w:rsidRPr="00367F7A">
        <w:rPr>
          <w:rFonts w:asciiTheme="majorBidi" w:hAnsiTheme="majorBidi"/>
          <w:bCs/>
          <w:snapToGrid w:val="0"/>
          <w:szCs w:val="24"/>
        </w:rPr>
        <w:t>Il a mis fin à la procédure concernant le déficit excessif de la France, confirmant ainsi que ce pays a ramené son déficit sous la barre des 3 % du PIB, qui constitue la valeur de référence fixée par l'UE pour le déficit public.</w:t>
      </w:r>
    </w:p>
    <w:p w14:paraId="7831E1B7" w14:textId="0F8779CC" w:rsidR="00CA66FE" w:rsidRPr="00367F7A" w:rsidRDefault="00CA66FE" w:rsidP="00735E01">
      <w:pPr>
        <w:rPr>
          <w:snapToGrid w:val="0"/>
          <w:szCs w:val="24"/>
        </w:rPr>
      </w:pPr>
      <w:r w:rsidRPr="00367F7A">
        <w:rPr>
          <w:snapToGrid w:val="0"/>
          <w:szCs w:val="24"/>
        </w:rPr>
        <w:t>Sur les 24 procédures concernant les déficits excessifs en cours au plus fort de la crise de l'euro, 23 ont donc maintenant été clôturées.</w:t>
      </w:r>
    </w:p>
    <w:p w14:paraId="0914A983" w14:textId="4C35040F" w:rsidR="00CA66FE" w:rsidRPr="00367F7A" w:rsidRDefault="00C207CD" w:rsidP="00CA66FE">
      <w:pPr>
        <w:rPr>
          <w:snapToGrid w:val="0"/>
          <w:szCs w:val="24"/>
          <w:u w:val="single"/>
        </w:rPr>
      </w:pPr>
      <w:hyperlink r:id="rId20" w:history="1">
        <w:r w:rsidR="00E62CF0" w:rsidRPr="00F32027">
          <w:rPr>
            <w:rStyle w:val="Hyperlink"/>
            <w:snapToGrid w:val="0"/>
            <w:color w:val="0000FF"/>
            <w:szCs w:val="24"/>
          </w:rPr>
          <w:t>Communiqué de presse relatif à la clôture, en 2018, de la procédure co</w:t>
        </w:r>
        <w:r w:rsidR="00704009">
          <w:rPr>
            <w:rStyle w:val="Hyperlink"/>
            <w:snapToGrid w:val="0"/>
            <w:color w:val="0000FF"/>
            <w:szCs w:val="24"/>
          </w:rPr>
          <w:t>ncernant le déficit excessif de </w:t>
        </w:r>
        <w:r w:rsidR="00E62CF0" w:rsidRPr="00F32027">
          <w:rPr>
            <w:rStyle w:val="Hyperlink"/>
            <w:snapToGrid w:val="0"/>
            <w:color w:val="0000FF"/>
            <w:szCs w:val="24"/>
          </w:rPr>
          <w:t>la France</w:t>
        </w:r>
      </w:hyperlink>
    </w:p>
    <w:p w14:paraId="16D68FB2" w14:textId="77777777" w:rsidR="00835E27" w:rsidRPr="00367F7A" w:rsidRDefault="00CA66FE" w:rsidP="00835E27">
      <w:pPr>
        <w:rPr>
          <w:rFonts w:asciiTheme="majorBidi" w:hAnsiTheme="majorBidi" w:cstheme="majorBidi"/>
          <w:bCs/>
          <w:snapToGrid w:val="0"/>
          <w:szCs w:val="24"/>
        </w:rPr>
      </w:pPr>
      <w:r w:rsidRPr="00367F7A">
        <w:rPr>
          <w:rFonts w:asciiTheme="majorBidi" w:hAnsiTheme="majorBidi"/>
          <w:bCs/>
          <w:snapToGrid w:val="0"/>
          <w:szCs w:val="24"/>
        </w:rPr>
        <w:t>Le Conseil a également adopté une décision établissant que, une fois de plus, la Roumanie n'a engagé aucune action suivie d'effets pour corriger un écart budgétaire important.</w:t>
      </w:r>
    </w:p>
    <w:p w14:paraId="06BEC281" w14:textId="00919A0D" w:rsidR="008A1A04" w:rsidRPr="00367F7A" w:rsidRDefault="00835E27" w:rsidP="00835E27">
      <w:pPr>
        <w:rPr>
          <w:rFonts w:asciiTheme="majorBidi" w:hAnsiTheme="majorBidi" w:cstheme="majorBidi"/>
          <w:bCs/>
          <w:snapToGrid w:val="0"/>
          <w:szCs w:val="24"/>
        </w:rPr>
      </w:pPr>
      <w:r w:rsidRPr="00367F7A">
        <w:rPr>
          <w:rFonts w:asciiTheme="majorBidi" w:hAnsiTheme="majorBidi"/>
          <w:bCs/>
          <w:snapToGrid w:val="0"/>
          <w:szCs w:val="24"/>
        </w:rPr>
        <w:t>Il a adressé une nouvelle recommandation à la Roumanie, la troisième depuis juin 2017, ainsi qu'une recommandation à la Hongrie, sur les mesures à prendre pour corriger leurs écarts budgétaires.</w:t>
      </w:r>
    </w:p>
    <w:p w14:paraId="63C0D63D" w14:textId="58340A3C" w:rsidR="00835E27" w:rsidRPr="00367F7A" w:rsidRDefault="00C207CD" w:rsidP="00835E27">
      <w:pPr>
        <w:rPr>
          <w:snapToGrid w:val="0"/>
          <w:szCs w:val="24"/>
          <w:u w:val="single"/>
        </w:rPr>
      </w:pPr>
      <w:hyperlink r:id="rId21" w:history="1">
        <w:r w:rsidR="00E62CF0" w:rsidRPr="00F32027">
          <w:rPr>
            <w:rStyle w:val="Hyperlink"/>
            <w:snapToGrid w:val="0"/>
            <w:color w:val="0000FF"/>
            <w:szCs w:val="24"/>
          </w:rPr>
          <w:t>Communiqué de presse sur les recommandations adressées en 2018 à la Hongrie et à la Roumanie sur les écarts budgétaires</w:t>
        </w:r>
      </w:hyperlink>
    </w:p>
    <w:p w14:paraId="6DF9A54E" w14:textId="473EDDF4" w:rsidR="008A1A04" w:rsidRPr="00367F7A" w:rsidRDefault="003651AB" w:rsidP="005353E2">
      <w:pPr>
        <w:pStyle w:val="ItemDebated"/>
      </w:pPr>
      <w:r w:rsidRPr="00367F7A">
        <w:br w:type="page"/>
      </w:r>
      <w:bookmarkStart w:id="9" w:name="_Toc526431627"/>
      <w:r w:rsidRPr="00367F7A">
        <w:lastRenderedPageBreak/>
        <w:t>UNION ÉCONOMIQUE ET MONÉTAIRE - RAPPORTS SUR LA CONVERGENCE</w:t>
      </w:r>
      <w:bookmarkEnd w:id="9"/>
    </w:p>
    <w:p w14:paraId="56BE409A" w14:textId="2A3DEE11" w:rsidR="001968D2" w:rsidRPr="00367F7A" w:rsidRDefault="008A1A04" w:rsidP="001968D2">
      <w:pPr>
        <w:outlineLvl w:val="0"/>
        <w:rPr>
          <w:rFonts w:asciiTheme="majorBidi" w:hAnsiTheme="majorBidi" w:cstheme="majorBidi"/>
          <w:szCs w:val="24"/>
        </w:rPr>
      </w:pPr>
      <w:r w:rsidRPr="00367F7A">
        <w:rPr>
          <w:rFonts w:asciiTheme="majorBidi" w:hAnsiTheme="majorBidi"/>
          <w:szCs w:val="24"/>
        </w:rPr>
        <w:t>La Commission et la Banque centrale européenne ont présenté des rapports évaluant dans quelle mesure les sept États membres ne faisant pas partie de la zone euro qui font l'objet d'une dérogation</w:t>
      </w:r>
      <w:r w:rsidR="001968D2" w:rsidRPr="00367F7A">
        <w:rPr>
          <w:rStyle w:val="FootnoteReference"/>
          <w:rFonts w:asciiTheme="majorBidi" w:hAnsiTheme="majorBidi" w:cstheme="majorBidi"/>
          <w:szCs w:val="24"/>
        </w:rPr>
        <w:footnoteReference w:id="2"/>
      </w:r>
      <w:r w:rsidRPr="00367F7A">
        <w:rPr>
          <w:rFonts w:asciiTheme="majorBidi" w:hAnsiTheme="majorBidi"/>
          <w:szCs w:val="24"/>
        </w:rPr>
        <w:t xml:space="preserve"> dans le cadre de l'Union économique et monétaire (UEM) sont prêts à entrer dans la zone euro.</w:t>
      </w:r>
    </w:p>
    <w:p w14:paraId="5C9BFAB6" w14:textId="2F5F7799" w:rsidR="001968D2" w:rsidRPr="00367F7A" w:rsidRDefault="001968D2" w:rsidP="00735E01">
      <w:pPr>
        <w:outlineLvl w:val="0"/>
        <w:rPr>
          <w:rFonts w:asciiTheme="majorBidi" w:hAnsiTheme="majorBidi" w:cstheme="majorBidi"/>
          <w:szCs w:val="24"/>
        </w:rPr>
      </w:pPr>
      <w:r w:rsidRPr="00367F7A">
        <w:rPr>
          <w:rFonts w:asciiTheme="majorBidi" w:hAnsiTheme="majorBidi"/>
          <w:szCs w:val="24"/>
        </w:rPr>
        <w:t>Les rapports constatent que les sept pays en question ont tous acc</w:t>
      </w:r>
      <w:r w:rsidR="00704009">
        <w:rPr>
          <w:rFonts w:asciiTheme="majorBidi" w:hAnsiTheme="majorBidi"/>
          <w:szCs w:val="24"/>
        </w:rPr>
        <w:t>ompli des progrès au regard des </w:t>
      </w:r>
      <w:r w:rsidRPr="00367F7A">
        <w:rPr>
          <w:rFonts w:asciiTheme="majorBidi" w:hAnsiTheme="majorBidi"/>
          <w:szCs w:val="24"/>
        </w:rPr>
        <w:t>critères de convergence de l'UEM mais qu'aucun d'entre eux ne r</w:t>
      </w:r>
      <w:r w:rsidR="00704009">
        <w:rPr>
          <w:rFonts w:asciiTheme="majorBidi" w:hAnsiTheme="majorBidi"/>
          <w:szCs w:val="24"/>
        </w:rPr>
        <w:t>emplit à ce stade toutes les </w:t>
      </w:r>
      <w:r w:rsidRPr="00367F7A">
        <w:rPr>
          <w:rFonts w:asciiTheme="majorBidi" w:hAnsiTheme="majorBidi"/>
          <w:szCs w:val="24"/>
        </w:rPr>
        <w:t>conditions nécessaires à l'adoption de l'euro.</w:t>
      </w:r>
    </w:p>
    <w:p w14:paraId="2158B4EC" w14:textId="30C44188" w:rsidR="001968D2" w:rsidRPr="00367F7A" w:rsidRDefault="001968D2" w:rsidP="001968D2">
      <w:pPr>
        <w:outlineLvl w:val="0"/>
        <w:rPr>
          <w:rFonts w:asciiTheme="majorBidi" w:hAnsiTheme="majorBidi" w:cstheme="majorBidi"/>
          <w:szCs w:val="24"/>
        </w:rPr>
      </w:pPr>
      <w:r w:rsidRPr="00367F7A">
        <w:rPr>
          <w:rFonts w:asciiTheme="majorBidi" w:hAnsiTheme="majorBidi"/>
          <w:szCs w:val="24"/>
        </w:rPr>
        <w:t>Actuellement, dix-neuf des vingt-huit États membres de l'UE ont l'euro comme monnaie. Sur les neuf États membres dont la monnaie n'est pas l'euro, sept font l'objet d'une dérogation. La Bulgarie, la Croatie, la Hongrie, la Pologne, la République tchèque, la Roumanie et la Suède relèvent de cette catégorie, tandis que le Danemark et le Royaume-Uni ne sont pas tenus d'adopter l'euro.</w:t>
      </w:r>
    </w:p>
    <w:p w14:paraId="7CDE026D" w14:textId="31DFE7B1" w:rsidR="001968D2" w:rsidRPr="00367F7A" w:rsidRDefault="001968D2" w:rsidP="00735E01">
      <w:pPr>
        <w:outlineLvl w:val="0"/>
        <w:rPr>
          <w:rFonts w:asciiTheme="majorBidi" w:hAnsiTheme="majorBidi" w:cstheme="majorBidi"/>
          <w:szCs w:val="24"/>
        </w:rPr>
      </w:pPr>
      <w:r w:rsidRPr="00367F7A">
        <w:rPr>
          <w:rFonts w:asciiTheme="majorBidi" w:hAnsiTheme="majorBidi"/>
          <w:szCs w:val="24"/>
        </w:rPr>
        <w:t xml:space="preserve">L'article 140 du traité sur le fonctionnement de l'Union européenne </w:t>
      </w:r>
      <w:r w:rsidR="00704009">
        <w:rPr>
          <w:rFonts w:asciiTheme="majorBidi" w:hAnsiTheme="majorBidi"/>
          <w:szCs w:val="24"/>
        </w:rPr>
        <w:t>prévoit que la Commission et la </w:t>
      </w:r>
      <w:r w:rsidRPr="00367F7A">
        <w:rPr>
          <w:rFonts w:asciiTheme="majorBidi" w:hAnsiTheme="majorBidi"/>
          <w:szCs w:val="24"/>
        </w:rPr>
        <w:t>BCE publient des rapports sur la convergence tous les deux ans, ou si un État membre n'appartenant pas à la zone euro en fait la demande.</w:t>
      </w:r>
    </w:p>
    <w:p w14:paraId="7A6DD489" w14:textId="77777777" w:rsidR="001968D2" w:rsidRPr="00367F7A" w:rsidRDefault="001968D2" w:rsidP="001968D2">
      <w:pPr>
        <w:outlineLvl w:val="0"/>
        <w:rPr>
          <w:rFonts w:asciiTheme="majorBidi" w:hAnsiTheme="majorBidi" w:cstheme="majorBidi"/>
          <w:szCs w:val="24"/>
        </w:rPr>
      </w:pPr>
      <w:r w:rsidRPr="00367F7A">
        <w:rPr>
          <w:rFonts w:asciiTheme="majorBidi" w:hAnsiTheme="majorBidi"/>
          <w:szCs w:val="24"/>
        </w:rPr>
        <w:t>Ces rapports évaluent:</w:t>
      </w:r>
    </w:p>
    <w:p w14:paraId="627F762A" w14:textId="513BAB94" w:rsidR="001968D2" w:rsidRPr="00367F7A" w:rsidRDefault="001968D2" w:rsidP="001968D2">
      <w:pPr>
        <w:ind w:left="720" w:hanging="720"/>
        <w:outlineLvl w:val="0"/>
        <w:rPr>
          <w:rFonts w:asciiTheme="majorBidi" w:hAnsiTheme="majorBidi" w:cstheme="majorBidi"/>
          <w:szCs w:val="24"/>
        </w:rPr>
      </w:pPr>
      <w:r w:rsidRPr="00367F7A">
        <w:rPr>
          <w:rFonts w:asciiTheme="majorBidi" w:hAnsiTheme="majorBidi"/>
          <w:szCs w:val="24"/>
        </w:rPr>
        <w:t>-</w:t>
      </w:r>
      <w:r w:rsidRPr="00367F7A">
        <w:rPr>
          <w:rFonts w:asciiTheme="majorBidi" w:hAnsiTheme="majorBidi"/>
          <w:szCs w:val="24"/>
        </w:rPr>
        <w:tab/>
        <w:t>le respect des obligations relatives à l'UEM, y compris la compatibilité de la législation nationale et du statut de la banque centrale avec les dispositi</w:t>
      </w:r>
      <w:r w:rsidR="00704009">
        <w:rPr>
          <w:rFonts w:asciiTheme="majorBidi" w:hAnsiTheme="majorBidi"/>
          <w:szCs w:val="24"/>
        </w:rPr>
        <w:t>ons du traité et les statuts du </w:t>
      </w:r>
      <w:r w:rsidRPr="00367F7A">
        <w:rPr>
          <w:rFonts w:asciiTheme="majorBidi" w:hAnsiTheme="majorBidi"/>
          <w:szCs w:val="24"/>
        </w:rPr>
        <w:t>Système européen de banques centrales;</w:t>
      </w:r>
    </w:p>
    <w:p w14:paraId="4EE526C3" w14:textId="08192B9B" w:rsidR="001968D2" w:rsidRPr="00367F7A" w:rsidRDefault="001968D2" w:rsidP="001968D2">
      <w:pPr>
        <w:ind w:left="720" w:hanging="720"/>
        <w:outlineLvl w:val="0"/>
        <w:rPr>
          <w:rFonts w:asciiTheme="majorBidi" w:hAnsiTheme="majorBidi" w:cstheme="majorBidi"/>
          <w:szCs w:val="24"/>
        </w:rPr>
      </w:pPr>
      <w:r w:rsidRPr="00367F7A">
        <w:rPr>
          <w:rFonts w:asciiTheme="majorBidi" w:hAnsiTheme="majorBidi"/>
          <w:szCs w:val="24"/>
        </w:rPr>
        <w:t>-</w:t>
      </w:r>
      <w:r w:rsidRPr="00367F7A">
        <w:rPr>
          <w:rFonts w:asciiTheme="majorBidi" w:hAnsiTheme="majorBidi"/>
          <w:szCs w:val="24"/>
        </w:rPr>
        <w:tab/>
        <w:t>le respect des critères de convergence en ce qui concerne la stabilité de</w:t>
      </w:r>
      <w:r w:rsidR="00704009">
        <w:rPr>
          <w:rFonts w:asciiTheme="majorBidi" w:hAnsiTheme="majorBidi"/>
          <w:szCs w:val="24"/>
        </w:rPr>
        <w:t>s prix, la viabilité des </w:t>
      </w:r>
      <w:r w:rsidRPr="00367F7A">
        <w:rPr>
          <w:rFonts w:asciiTheme="majorBidi" w:hAnsiTheme="majorBidi"/>
          <w:szCs w:val="24"/>
        </w:rPr>
        <w:t>finances publiques, les taux de change et les taux d'intérêt à long terme.</w:t>
      </w:r>
    </w:p>
    <w:p w14:paraId="480CEA32" w14:textId="70789349" w:rsidR="001968D2" w:rsidRPr="00367F7A" w:rsidRDefault="001968D2" w:rsidP="001968D2">
      <w:pPr>
        <w:rPr>
          <w:rFonts w:asciiTheme="majorBidi" w:hAnsiTheme="majorBidi" w:cstheme="majorBidi"/>
          <w:szCs w:val="24"/>
        </w:rPr>
      </w:pPr>
      <w:r w:rsidRPr="00367F7A">
        <w:rPr>
          <w:rFonts w:asciiTheme="majorBidi" w:hAnsiTheme="majorBidi"/>
          <w:szCs w:val="24"/>
        </w:rPr>
        <w:t>Ils prennent également en compte l'intégration des marchés, la balance des paiements de chaque pays, les coûts salariaux unitaires et d'autres indices de prix.</w:t>
      </w:r>
    </w:p>
    <w:p w14:paraId="15BE547A" w14:textId="77777777" w:rsidR="001968D2" w:rsidRPr="00367F7A" w:rsidRDefault="00C207CD" w:rsidP="001968D2">
      <w:pPr>
        <w:pStyle w:val="ListParagraph"/>
        <w:spacing w:before="120" w:after="240" w:line="276" w:lineRule="auto"/>
        <w:ind w:left="0"/>
        <w:rPr>
          <w:rStyle w:val="Hyperlink"/>
          <w:rFonts w:asciiTheme="majorBidi" w:hAnsiTheme="majorBidi" w:cstheme="majorBidi"/>
          <w:szCs w:val="24"/>
        </w:rPr>
      </w:pPr>
      <w:hyperlink r:id="rId22" w:history="1">
        <w:r w:rsidR="00E62CF0" w:rsidRPr="00F32027">
          <w:rPr>
            <w:rStyle w:val="Hyperlink"/>
            <w:rFonts w:asciiTheme="majorBidi" w:hAnsiTheme="majorBidi"/>
            <w:color w:val="0000FF"/>
            <w:szCs w:val="24"/>
          </w:rPr>
          <w:t>Rapport 2018 de la Commission sur l'état de la convergence</w:t>
        </w:r>
      </w:hyperlink>
    </w:p>
    <w:p w14:paraId="44164A6C" w14:textId="77777777" w:rsidR="00882625" w:rsidRPr="00367F7A" w:rsidRDefault="00882625" w:rsidP="00882625">
      <w:pPr>
        <w:pStyle w:val="ListParagraph"/>
        <w:spacing w:before="120" w:after="240" w:line="276" w:lineRule="auto"/>
        <w:ind w:left="0"/>
      </w:pPr>
    </w:p>
    <w:p w14:paraId="46023E1C" w14:textId="77777777" w:rsidR="00882625" w:rsidRPr="00367F7A" w:rsidRDefault="00C207CD" w:rsidP="00882625">
      <w:pPr>
        <w:pStyle w:val="ListParagraph"/>
        <w:spacing w:before="120" w:after="240" w:line="276" w:lineRule="auto"/>
        <w:ind w:left="0"/>
        <w:rPr>
          <w:rStyle w:val="Hyperlink"/>
          <w:rFonts w:asciiTheme="majorBidi" w:hAnsiTheme="majorBidi" w:cstheme="majorBidi"/>
          <w:szCs w:val="24"/>
        </w:rPr>
      </w:pPr>
      <w:hyperlink r:id="rId23" w:history="1">
        <w:r w:rsidR="00E62CF0" w:rsidRPr="00F32027">
          <w:rPr>
            <w:rStyle w:val="Hyperlink"/>
            <w:rFonts w:asciiTheme="majorBidi" w:hAnsiTheme="majorBidi"/>
            <w:color w:val="0000FF"/>
            <w:szCs w:val="24"/>
          </w:rPr>
          <w:t>Rapport 2018 de la BCE sur l'état de la convergence</w:t>
        </w:r>
      </w:hyperlink>
    </w:p>
    <w:p w14:paraId="628AE4AF" w14:textId="05984D48" w:rsidR="00FB06D4" w:rsidRPr="00367F7A" w:rsidRDefault="003651AB" w:rsidP="00631AD6">
      <w:pPr>
        <w:pStyle w:val="ItemDebated"/>
      </w:pPr>
      <w:r w:rsidRPr="00367F7A">
        <w:br w:type="page"/>
      </w:r>
      <w:bookmarkStart w:id="10" w:name="_Toc526431628"/>
      <w:r w:rsidRPr="00367F7A">
        <w:lastRenderedPageBreak/>
        <w:t>DIVERS</w:t>
      </w:r>
      <w:bookmarkEnd w:id="10"/>
    </w:p>
    <w:p w14:paraId="65269E88" w14:textId="2479D70A" w:rsidR="00D97185" w:rsidRPr="00367F7A" w:rsidRDefault="008A1A04" w:rsidP="00102B51">
      <w:pPr>
        <w:pStyle w:val="Sub-sub-itemDebated"/>
      </w:pPr>
      <w:bookmarkStart w:id="11" w:name="_Toc526431629"/>
      <w:r w:rsidRPr="00367F7A">
        <w:t>Services financiers</w:t>
      </w:r>
      <w:bookmarkEnd w:id="11"/>
    </w:p>
    <w:p w14:paraId="50648A40" w14:textId="43AA6D4D" w:rsidR="00D97185" w:rsidRPr="00367F7A" w:rsidRDefault="008A1A04" w:rsidP="00D97185">
      <w:pPr>
        <w:rPr>
          <w:rFonts w:asciiTheme="majorBidi" w:hAnsiTheme="majorBidi" w:cstheme="majorBidi"/>
          <w:szCs w:val="24"/>
        </w:rPr>
      </w:pPr>
      <w:r w:rsidRPr="00367F7A">
        <w:rPr>
          <w:rFonts w:asciiTheme="majorBidi" w:hAnsiTheme="majorBidi"/>
          <w:szCs w:val="24"/>
        </w:rPr>
        <w:t>Les ministres ont pris note des travaux en cours sur les propositi</w:t>
      </w:r>
      <w:r w:rsidR="00704009">
        <w:rPr>
          <w:rFonts w:asciiTheme="majorBidi" w:hAnsiTheme="majorBidi"/>
          <w:szCs w:val="24"/>
        </w:rPr>
        <w:t>ons législatives concernant les </w:t>
      </w:r>
      <w:r w:rsidRPr="00367F7A">
        <w:rPr>
          <w:rFonts w:asciiTheme="majorBidi" w:hAnsiTheme="majorBidi"/>
          <w:szCs w:val="24"/>
        </w:rPr>
        <w:t>services financiers.</w:t>
      </w:r>
    </w:p>
    <w:p w14:paraId="4461F083" w14:textId="49266F50" w:rsidR="008A1A04" w:rsidRPr="00367F7A" w:rsidRDefault="00C207CD" w:rsidP="00102B51">
      <w:pPr>
        <w:rPr>
          <w:rFonts w:asciiTheme="majorBidi" w:hAnsiTheme="majorBidi" w:cstheme="majorBidi"/>
          <w:szCs w:val="24"/>
        </w:rPr>
      </w:pPr>
      <w:hyperlink r:id="rId24" w:history="1">
        <w:r w:rsidR="00E62CF0" w:rsidRPr="00F32027">
          <w:rPr>
            <w:rStyle w:val="Hyperlink"/>
            <w:rFonts w:asciiTheme="majorBidi" w:hAnsiTheme="majorBidi"/>
            <w:color w:val="0000FF"/>
            <w:szCs w:val="24"/>
          </w:rPr>
          <w:t>Note de juin 2018 sur les propositions législatives concernant les services financiers</w:t>
        </w:r>
      </w:hyperlink>
      <w:r w:rsidR="00E62CF0" w:rsidRPr="00367F7A">
        <w:rPr>
          <w:rFonts w:asciiTheme="majorBidi" w:hAnsiTheme="majorBidi"/>
          <w:szCs w:val="24"/>
          <w:u w:val="single"/>
        </w:rPr>
        <w:t xml:space="preserve"> </w:t>
      </w:r>
    </w:p>
    <w:p w14:paraId="13B0C14E" w14:textId="569C65DF" w:rsidR="00D97185" w:rsidRPr="00367F7A" w:rsidRDefault="008A1A04" w:rsidP="00102B51">
      <w:pPr>
        <w:pStyle w:val="Sub-sub-itemDebated"/>
      </w:pPr>
      <w:bookmarkStart w:id="12" w:name="_Toc526431630"/>
      <w:r w:rsidRPr="00367F7A">
        <w:t>Insolvabilité</w:t>
      </w:r>
      <w:bookmarkEnd w:id="12"/>
    </w:p>
    <w:p w14:paraId="149D128C" w14:textId="43CE886E" w:rsidR="00D97185" w:rsidRPr="00367F7A" w:rsidRDefault="008A1A04" w:rsidP="00735E01">
      <w:pPr>
        <w:rPr>
          <w:rFonts w:asciiTheme="majorBidi" w:hAnsiTheme="majorBidi" w:cstheme="majorBidi"/>
          <w:szCs w:val="24"/>
        </w:rPr>
      </w:pPr>
      <w:r w:rsidRPr="00367F7A">
        <w:rPr>
          <w:rFonts w:asciiTheme="majorBidi" w:hAnsiTheme="majorBidi"/>
          <w:szCs w:val="24"/>
        </w:rPr>
        <w:t>Les ministres ont reçu des informations actualisées concernant les travaux menés au sein du Conseil "Justice et affaires intérieures" sur une proposition relative à la restructuration et à l'insolvabilité.</w:t>
      </w:r>
    </w:p>
    <w:p w14:paraId="11FB7CF9" w14:textId="77777777" w:rsidR="00A555CA" w:rsidRPr="00367F7A" w:rsidRDefault="00C207CD" w:rsidP="00A555CA">
      <w:pPr>
        <w:rPr>
          <w:rStyle w:val="Hyperlink"/>
          <w:rFonts w:asciiTheme="majorBidi" w:hAnsiTheme="majorBidi" w:cstheme="majorBidi"/>
          <w:szCs w:val="24"/>
        </w:rPr>
      </w:pPr>
      <w:hyperlink r:id="rId25" w:tooltip="http://data.consilium.europa.eu/doc/document/ST-14875-2016-INIT/fr/pdf" w:history="1">
        <w:r w:rsidR="00E62CF0" w:rsidRPr="00F32027">
          <w:rPr>
            <w:rStyle w:val="Hyperlink"/>
            <w:rFonts w:asciiTheme="majorBidi" w:hAnsiTheme="majorBidi"/>
            <w:color w:val="0000FF"/>
            <w:szCs w:val="24"/>
          </w:rPr>
          <w:t>Proposition de directive de 2016 relative à la restructuration et à l'insolvabilité</w:t>
        </w:r>
      </w:hyperlink>
    </w:p>
    <w:p w14:paraId="7DD48D6C" w14:textId="10CC8AF4" w:rsidR="00113C9C" w:rsidRPr="00367F7A" w:rsidRDefault="00113C9C" w:rsidP="00A555CA">
      <w:pPr>
        <w:pStyle w:val="ItemDebated"/>
        <w:rPr>
          <w:rFonts w:asciiTheme="majorBidi" w:hAnsiTheme="majorBidi" w:cstheme="majorBidi"/>
          <w:szCs w:val="24"/>
        </w:rPr>
      </w:pPr>
      <w:r w:rsidRPr="00367F7A">
        <w:br w:type="page"/>
      </w:r>
      <w:bookmarkStart w:id="13" w:name="_Toc526431631"/>
      <w:r w:rsidRPr="00367F7A">
        <w:lastRenderedPageBreak/>
        <w:t>RÉUNIONS EN MARGE DE LA SESSION DU CONSEIL</w:t>
      </w:r>
      <w:bookmarkEnd w:id="13"/>
    </w:p>
    <w:p w14:paraId="177CB8BF" w14:textId="220B2573" w:rsidR="008C476C" w:rsidRPr="00367F7A" w:rsidRDefault="008C476C" w:rsidP="00102B51">
      <w:pPr>
        <w:pStyle w:val="Sub-sub-itemDebated"/>
      </w:pPr>
      <w:bookmarkStart w:id="14" w:name="_Toc526431632"/>
      <w:r w:rsidRPr="00367F7A">
        <w:t>Conseil des gouverneurs du MES</w:t>
      </w:r>
      <w:bookmarkEnd w:id="14"/>
    </w:p>
    <w:p w14:paraId="26C84072" w14:textId="2890621C" w:rsidR="008C476C" w:rsidRPr="00367F7A" w:rsidRDefault="008C476C" w:rsidP="008C476C">
      <w:pPr>
        <w:rPr>
          <w:rFonts w:asciiTheme="majorBidi" w:hAnsiTheme="majorBidi" w:cstheme="majorBidi"/>
          <w:szCs w:val="24"/>
        </w:rPr>
      </w:pPr>
      <w:r w:rsidRPr="00367F7A">
        <w:rPr>
          <w:rFonts w:asciiTheme="majorBidi" w:hAnsiTheme="majorBidi"/>
          <w:szCs w:val="24"/>
        </w:rPr>
        <w:t>Le conseil des gouverneurs du Mécanisme européen de stabilit</w:t>
      </w:r>
      <w:r w:rsidR="00704009">
        <w:rPr>
          <w:rFonts w:asciiTheme="majorBidi" w:hAnsiTheme="majorBidi"/>
          <w:szCs w:val="24"/>
        </w:rPr>
        <w:t>é a tenu sa réunion annuelle le </w:t>
      </w:r>
      <w:r w:rsidRPr="00367F7A">
        <w:rPr>
          <w:rFonts w:asciiTheme="majorBidi" w:hAnsiTheme="majorBidi"/>
          <w:szCs w:val="24"/>
        </w:rPr>
        <w:t>21 juin 2018.</w:t>
      </w:r>
    </w:p>
    <w:p w14:paraId="4893F9E0" w14:textId="20A8674C" w:rsidR="008C476C" w:rsidRPr="00367F7A" w:rsidRDefault="008C476C" w:rsidP="00102B51">
      <w:pPr>
        <w:pStyle w:val="Sub-sub-itemDebated"/>
      </w:pPr>
      <w:bookmarkStart w:id="15" w:name="_Toc526431633"/>
      <w:r w:rsidRPr="00367F7A">
        <w:t>Eurogroupe</w:t>
      </w:r>
      <w:bookmarkEnd w:id="15"/>
    </w:p>
    <w:p w14:paraId="76AFEB28" w14:textId="762D677D" w:rsidR="008C476C" w:rsidRPr="00367F7A" w:rsidRDefault="008C476C" w:rsidP="008C476C">
      <w:pPr>
        <w:rPr>
          <w:rFonts w:asciiTheme="majorBidi" w:hAnsiTheme="majorBidi" w:cstheme="majorBidi"/>
          <w:szCs w:val="24"/>
        </w:rPr>
      </w:pPr>
      <w:r w:rsidRPr="00367F7A">
        <w:rPr>
          <w:rFonts w:asciiTheme="majorBidi" w:hAnsiTheme="majorBidi"/>
          <w:szCs w:val="24"/>
        </w:rPr>
        <w:t>Les ministres des États membres de la zone euro ont participé à</w:t>
      </w:r>
      <w:r w:rsidR="00704009">
        <w:rPr>
          <w:rFonts w:asciiTheme="majorBidi" w:hAnsiTheme="majorBidi"/>
          <w:szCs w:val="24"/>
        </w:rPr>
        <w:t xml:space="preserve"> une réunion de l'Eurogroupe le </w:t>
      </w:r>
      <w:r w:rsidRPr="00367F7A">
        <w:rPr>
          <w:rFonts w:asciiTheme="majorBidi" w:hAnsiTheme="majorBidi"/>
          <w:szCs w:val="24"/>
        </w:rPr>
        <w:t>21 juin 2018.</w:t>
      </w:r>
    </w:p>
    <w:p w14:paraId="74E90000" w14:textId="4C55B2C3" w:rsidR="008C476C" w:rsidRPr="00367F7A" w:rsidRDefault="008C476C" w:rsidP="00D20D15">
      <w:pPr>
        <w:rPr>
          <w:rFonts w:asciiTheme="majorBidi" w:hAnsiTheme="majorBidi" w:cstheme="majorBidi"/>
          <w:szCs w:val="24"/>
        </w:rPr>
      </w:pPr>
      <w:r w:rsidRPr="00367F7A">
        <w:rPr>
          <w:rFonts w:asciiTheme="majorBidi" w:hAnsiTheme="majorBidi"/>
          <w:szCs w:val="24"/>
        </w:rPr>
        <w:t>Ils ont discuté de l'achèvement du programme d'ajustement économique de la Grèce et sont parvenus à un accord sur les éléments nécessaires pour que ce pays achève avec succès le programme en août 2018. Ils ont également examiné la surveillan</w:t>
      </w:r>
      <w:r w:rsidR="00704009">
        <w:rPr>
          <w:rFonts w:asciiTheme="majorBidi" w:hAnsiTheme="majorBidi"/>
          <w:szCs w:val="24"/>
        </w:rPr>
        <w:t>ce post-programme à Chypre, les </w:t>
      </w:r>
      <w:r w:rsidRPr="00367F7A">
        <w:rPr>
          <w:rFonts w:asciiTheme="majorBidi" w:hAnsiTheme="majorBidi"/>
          <w:szCs w:val="24"/>
        </w:rPr>
        <w:t>recommandations annuelles adressées par le FMI à la zone euro, et le projet de plan budgétaire actualisé de l'Espagne pour 2018. Les ministres de l'Italie et de l'Espagne ont présenté les priorités politiques de leurs nouveaux gouvernements.</w:t>
      </w:r>
    </w:p>
    <w:p w14:paraId="7EA34099" w14:textId="77777777" w:rsidR="008C476C" w:rsidRPr="00367F7A" w:rsidRDefault="008C476C" w:rsidP="008C476C">
      <w:pPr>
        <w:outlineLvl w:val="0"/>
        <w:rPr>
          <w:rFonts w:asciiTheme="majorBidi" w:hAnsiTheme="majorBidi" w:cstheme="majorBidi"/>
          <w:szCs w:val="24"/>
        </w:rPr>
      </w:pPr>
      <w:r w:rsidRPr="00367F7A">
        <w:rPr>
          <w:rFonts w:asciiTheme="majorBidi" w:hAnsiTheme="majorBidi"/>
          <w:szCs w:val="24"/>
        </w:rPr>
        <w:t>L'Eurogroupe s'est également réuni dans une configuration élargie (27 États membres), afin de préparer le sommet de la zone euro du 29 juin 2018.</w:t>
      </w:r>
    </w:p>
    <w:p w14:paraId="29B1FD0F" w14:textId="52921902" w:rsidR="008C476C" w:rsidRPr="00367F7A" w:rsidRDefault="008C476C" w:rsidP="008C476C">
      <w:pPr>
        <w:outlineLvl w:val="0"/>
        <w:rPr>
          <w:rFonts w:asciiTheme="majorBidi" w:hAnsiTheme="majorBidi" w:cstheme="majorBidi"/>
          <w:szCs w:val="24"/>
        </w:rPr>
      </w:pPr>
      <w:r w:rsidRPr="00367F7A">
        <w:rPr>
          <w:rFonts w:asciiTheme="majorBidi" w:hAnsiTheme="majorBidi"/>
          <w:szCs w:val="24"/>
        </w:rPr>
        <w:t>Il a discuté du développement futur de l'Union économique et monétaire de l'UE.</w:t>
      </w:r>
    </w:p>
    <w:p w14:paraId="2C45E212" w14:textId="45C3ABC9" w:rsidR="008C476C" w:rsidRPr="00367F7A" w:rsidRDefault="00C207CD" w:rsidP="008C476C">
      <w:pPr>
        <w:rPr>
          <w:rFonts w:asciiTheme="majorBidi" w:hAnsiTheme="majorBidi" w:cstheme="majorBidi"/>
          <w:szCs w:val="24"/>
        </w:rPr>
      </w:pPr>
      <w:hyperlink r:id="rId26" w:history="1">
        <w:r w:rsidR="00E62CF0" w:rsidRPr="00F32027">
          <w:rPr>
            <w:rStyle w:val="Hyperlink"/>
            <w:rFonts w:asciiTheme="majorBidi" w:hAnsiTheme="majorBidi"/>
            <w:color w:val="0000FF"/>
            <w:szCs w:val="24"/>
          </w:rPr>
          <w:t>Principaux résultats de l'Eurogroupe</w:t>
        </w:r>
      </w:hyperlink>
    </w:p>
    <w:p w14:paraId="396E1C10" w14:textId="778FA320" w:rsidR="008C476C" w:rsidRPr="00367F7A" w:rsidRDefault="008C476C" w:rsidP="00102B51">
      <w:pPr>
        <w:pStyle w:val="Sub-sub-itemDebated"/>
      </w:pPr>
      <w:bookmarkStart w:id="16" w:name="_Toc526431634"/>
      <w:r w:rsidRPr="00367F7A">
        <w:t>Conseil des gouverneurs de la BEI</w:t>
      </w:r>
      <w:bookmarkEnd w:id="16"/>
    </w:p>
    <w:p w14:paraId="5C524C2F" w14:textId="084A48CF" w:rsidR="008A1A04" w:rsidRPr="00367F7A" w:rsidRDefault="008A1A04" w:rsidP="008C476C">
      <w:pPr>
        <w:rPr>
          <w:rFonts w:asciiTheme="majorBidi" w:hAnsiTheme="majorBidi" w:cstheme="majorBidi"/>
          <w:iCs/>
          <w:szCs w:val="24"/>
        </w:rPr>
      </w:pPr>
      <w:r w:rsidRPr="00367F7A">
        <w:rPr>
          <w:rFonts w:asciiTheme="majorBidi" w:hAnsiTheme="majorBidi"/>
          <w:iCs/>
          <w:szCs w:val="24"/>
        </w:rPr>
        <w:t>Les ministres se sont réunis en leur qualité de gouverneurs de la Banque européenne d'investissement dans le cadre de la réunion annuelle du conseil des gouverneurs de la BEI.</w:t>
      </w:r>
    </w:p>
    <w:p w14:paraId="52431485" w14:textId="5C71FEA1" w:rsidR="008039C5" w:rsidRPr="00367F7A" w:rsidRDefault="008039C5" w:rsidP="00102B51">
      <w:pPr>
        <w:pStyle w:val="Sub-sub-itemDebated"/>
      </w:pPr>
      <w:bookmarkStart w:id="17" w:name="_Toc526431635"/>
      <w:r w:rsidRPr="00367F7A">
        <w:t>Petit-déjeuner de travail des ministres</w:t>
      </w:r>
      <w:bookmarkEnd w:id="17"/>
    </w:p>
    <w:p w14:paraId="5C418901" w14:textId="28FC2036" w:rsidR="008A1A04" w:rsidRPr="00367F7A" w:rsidRDefault="008039C5" w:rsidP="008039C5">
      <w:pPr>
        <w:rPr>
          <w:rFonts w:asciiTheme="majorBidi" w:hAnsiTheme="majorBidi" w:cstheme="majorBidi"/>
          <w:iCs/>
          <w:szCs w:val="24"/>
        </w:rPr>
      </w:pPr>
      <w:r w:rsidRPr="00367F7A">
        <w:rPr>
          <w:rFonts w:asciiTheme="majorBidi" w:hAnsiTheme="majorBidi"/>
          <w:iCs/>
          <w:szCs w:val="24"/>
        </w:rPr>
        <w:t xml:space="preserve">Les ministres se sont réunis au cours d'un petit-déjeuner de travail pour débattre de la situation économique. </w:t>
      </w:r>
      <w:r w:rsidRPr="00367F7A">
        <w:rPr>
          <w:rFonts w:asciiTheme="majorBidi" w:hAnsiTheme="majorBidi"/>
          <w:szCs w:val="24"/>
        </w:rPr>
        <w:t>Ils ont également examiné le cadre financier pluriannu</w:t>
      </w:r>
      <w:r w:rsidR="00704009">
        <w:rPr>
          <w:rFonts w:asciiTheme="majorBidi" w:hAnsiTheme="majorBidi"/>
          <w:szCs w:val="24"/>
        </w:rPr>
        <w:t>el de l'UE pour la période 2021</w:t>
      </w:r>
      <w:r w:rsidR="00704009">
        <w:rPr>
          <w:rFonts w:asciiTheme="majorBidi" w:hAnsiTheme="majorBidi"/>
          <w:szCs w:val="24"/>
        </w:rPr>
        <w:noBreakHyphen/>
      </w:r>
      <w:r w:rsidRPr="00367F7A">
        <w:rPr>
          <w:rFonts w:asciiTheme="majorBidi" w:hAnsiTheme="majorBidi"/>
          <w:szCs w:val="24"/>
        </w:rPr>
        <w:t xml:space="preserve">2027, et les ministres français et allemand ont rendu compte </w:t>
      </w:r>
      <w:r w:rsidR="00704009">
        <w:rPr>
          <w:rFonts w:asciiTheme="majorBidi" w:hAnsiTheme="majorBidi"/>
          <w:szCs w:val="24"/>
        </w:rPr>
        <w:t>du sommet franco-allemand qui a </w:t>
      </w:r>
      <w:r w:rsidRPr="00367F7A">
        <w:rPr>
          <w:rFonts w:asciiTheme="majorBidi" w:hAnsiTheme="majorBidi"/>
          <w:szCs w:val="24"/>
        </w:rPr>
        <w:t>eu lieu le 19 juin à Meseberg.</w:t>
      </w:r>
    </w:p>
    <w:p w14:paraId="54C89E5F" w14:textId="77777777" w:rsidR="003C5A34" w:rsidRPr="00367F7A" w:rsidRDefault="003C5A34" w:rsidP="003651AB">
      <w:pPr>
        <w:rPr>
          <w:rFonts w:asciiTheme="majorBidi" w:hAnsiTheme="majorBidi" w:cstheme="majorBidi"/>
          <w:szCs w:val="24"/>
        </w:rPr>
      </w:pPr>
    </w:p>
    <w:p w14:paraId="2F70977A" w14:textId="77777777" w:rsidR="003C5A34" w:rsidRPr="00367F7A" w:rsidRDefault="003C5A34" w:rsidP="003651AB">
      <w:pPr>
        <w:rPr>
          <w:rFonts w:asciiTheme="majorBidi" w:hAnsiTheme="majorBidi" w:cstheme="majorBidi"/>
          <w:szCs w:val="24"/>
        </w:rPr>
        <w:sectPr w:rsidR="003C5A34" w:rsidRPr="00367F7A" w:rsidSect="00C207CD">
          <w:footnotePr>
            <w:numRestart w:val="eachPage"/>
          </w:footnotePr>
          <w:pgSz w:w="11907" w:h="16839"/>
          <w:pgMar w:top="1134" w:right="1134" w:bottom="1134" w:left="1134" w:header="567" w:footer="567" w:gutter="0"/>
          <w:cols w:space="720"/>
          <w:docGrid w:linePitch="360"/>
        </w:sectPr>
      </w:pPr>
    </w:p>
    <w:p w14:paraId="0D6FEB8E" w14:textId="0D034A09" w:rsidR="003C5A34" w:rsidRPr="00367F7A" w:rsidRDefault="00816F26" w:rsidP="00637DDA">
      <w:pPr>
        <w:pStyle w:val="ItemsApprovedHeading"/>
        <w:spacing w:line="240" w:lineRule="auto"/>
      </w:pPr>
      <w:r w:rsidRPr="00367F7A">
        <w:lastRenderedPageBreak/>
        <w:t>AUTRES POINTS APPROUVÉS</w:t>
      </w:r>
    </w:p>
    <w:p w14:paraId="19AC5DF6" w14:textId="5C33F657" w:rsidR="000E7BA2" w:rsidRPr="00367F7A" w:rsidRDefault="000E7BA2" w:rsidP="00637DDA">
      <w:pPr>
        <w:pStyle w:val="ItemApproved"/>
        <w:spacing w:before="120" w:line="240" w:lineRule="auto"/>
        <w:rPr>
          <w:rFonts w:asciiTheme="majorBidi" w:hAnsiTheme="majorBidi" w:cstheme="majorBidi"/>
          <w:szCs w:val="24"/>
        </w:rPr>
      </w:pPr>
      <w:r w:rsidRPr="00367F7A">
        <w:rPr>
          <w:rFonts w:asciiTheme="majorBidi" w:hAnsiTheme="majorBidi"/>
          <w:szCs w:val="24"/>
        </w:rPr>
        <w:t>AFFAIRES ÉCONOMIQUES ET FINANCIÈRES</w:t>
      </w:r>
    </w:p>
    <w:p w14:paraId="72E0F0C0" w14:textId="77777777" w:rsidR="003D1FAB" w:rsidRPr="00367F7A" w:rsidRDefault="003D1FAB" w:rsidP="00637DDA">
      <w:pPr>
        <w:pStyle w:val="Sub-itemApproved"/>
        <w:spacing w:before="120" w:line="240" w:lineRule="auto"/>
      </w:pPr>
      <w:bookmarkStart w:id="18" w:name="_Toc526431637"/>
      <w:r w:rsidRPr="00367F7A">
        <w:t>Coopération administrative en matière de fraude à la TVA</w:t>
      </w:r>
      <w:bookmarkEnd w:id="18"/>
    </w:p>
    <w:p w14:paraId="3A80F055" w14:textId="77777777" w:rsidR="003D1FAB" w:rsidRPr="00367F7A" w:rsidRDefault="003D1FAB" w:rsidP="00637DDA">
      <w:pPr>
        <w:spacing w:line="240" w:lineRule="auto"/>
      </w:pPr>
      <w:r w:rsidRPr="00367F7A">
        <w:t>Le Conseil a approuvé des mesures visant à renforcer la coopération administrative afin d'améliorer la prévention de la fraude à la TVA.</w:t>
      </w:r>
    </w:p>
    <w:p w14:paraId="7F90CD02" w14:textId="77777777" w:rsidR="003D1FAB" w:rsidRPr="00367F7A" w:rsidRDefault="003D1FAB" w:rsidP="00637DDA">
      <w:pPr>
        <w:spacing w:line="240" w:lineRule="auto"/>
      </w:pPr>
      <w:r w:rsidRPr="00367F7A">
        <w:t>Le règlement proposé s'attaque aux formes de fraude transfrontière les plus courantes.</w:t>
      </w:r>
    </w:p>
    <w:p w14:paraId="7115C7A6" w14:textId="77777777" w:rsidR="003D1FAB" w:rsidRPr="00367F7A" w:rsidRDefault="003D1FAB" w:rsidP="00637DDA">
      <w:pPr>
        <w:spacing w:line="240" w:lineRule="auto"/>
      </w:pPr>
      <w:r w:rsidRPr="00367F7A">
        <w:t>Le texte proposé, qui modifie le règlement (UE) n° 904/2010, poursuit les objectifs suivants:</w:t>
      </w:r>
    </w:p>
    <w:p w14:paraId="6B992A4E" w14:textId="77777777" w:rsidR="003D1FAB" w:rsidRPr="00367F7A" w:rsidRDefault="003D1FAB" w:rsidP="00637DDA">
      <w:pPr>
        <w:pStyle w:val="Tiret0"/>
        <w:spacing w:line="240" w:lineRule="auto"/>
      </w:pPr>
      <w:r w:rsidRPr="00367F7A">
        <w:t>améliorer l'échange d'informations entre les administrations fiscales et les services répressifs des États membres, ainsi que l'analyse de ces informations;</w:t>
      </w:r>
    </w:p>
    <w:p w14:paraId="6DF8EE0A" w14:textId="180B7598" w:rsidR="003D1FAB" w:rsidRPr="00367F7A" w:rsidRDefault="003D1FAB" w:rsidP="00637DDA">
      <w:pPr>
        <w:pStyle w:val="Tiret0"/>
        <w:spacing w:line="240" w:lineRule="auto"/>
      </w:pPr>
      <w:r w:rsidRPr="00367F7A">
        <w:t>renforcer Eurofisc, un</w:t>
      </w:r>
      <w:r w:rsidRPr="00367F7A">
        <w:rPr>
          <w:b/>
          <w:bCs/>
        </w:rPr>
        <w:t xml:space="preserve"> </w:t>
      </w:r>
      <w:r w:rsidRPr="00367F7A">
        <w:t>réseau de fonctionnaires des administrations fiscales nationales pour l'échange d'informations en matière de fraude à la TVA.</w:t>
      </w:r>
    </w:p>
    <w:p w14:paraId="01D0F1A5" w14:textId="77777777" w:rsidR="003D1FAB" w:rsidRPr="00367F7A" w:rsidRDefault="003D1FAB" w:rsidP="00637DDA">
      <w:pPr>
        <w:spacing w:line="240" w:lineRule="auto"/>
      </w:pPr>
      <w:r w:rsidRPr="00367F7A">
        <w:t>Il introduit également de nouveaux instruments de coopération, tels que des enquêtes administratives menées conjointement.</w:t>
      </w:r>
    </w:p>
    <w:p w14:paraId="47D2EBBB" w14:textId="6D162629" w:rsidR="003D1FAB" w:rsidRPr="00367F7A" w:rsidRDefault="00C207CD" w:rsidP="00637DDA">
      <w:pPr>
        <w:spacing w:line="240" w:lineRule="auto"/>
        <w:rPr>
          <w:u w:val="single"/>
        </w:rPr>
      </w:pPr>
      <w:hyperlink r:id="rId27" w:history="1">
        <w:r w:rsidR="00E62CF0" w:rsidRPr="00F32027">
          <w:rPr>
            <w:rStyle w:val="Hyperlink"/>
            <w:color w:val="0000FF"/>
          </w:rPr>
          <w:t>Communiqué de presse du Conseil sur l'accord de 2018 concernant la coopération administrative dans le domaine de la TVA</w:t>
        </w:r>
      </w:hyperlink>
    </w:p>
    <w:p w14:paraId="1AFD28A6" w14:textId="77777777" w:rsidR="003D1FAB" w:rsidRPr="00367F7A" w:rsidRDefault="003D1FAB" w:rsidP="00637DDA">
      <w:pPr>
        <w:pStyle w:val="Sub-itemApproved"/>
        <w:spacing w:before="120" w:line="240" w:lineRule="auto"/>
      </w:pPr>
      <w:bookmarkStart w:id="19" w:name="_Toc526431638"/>
      <w:r w:rsidRPr="00367F7A">
        <w:t>Taux normal minimal de TVA</w:t>
      </w:r>
      <w:bookmarkEnd w:id="19"/>
    </w:p>
    <w:p w14:paraId="7D0D34CE" w14:textId="77777777" w:rsidR="003D1FAB" w:rsidRPr="00367F7A" w:rsidRDefault="003D1FAB" w:rsidP="00637DDA">
      <w:pPr>
        <w:spacing w:line="240" w:lineRule="auto"/>
      </w:pPr>
      <w:r w:rsidRPr="00367F7A">
        <w:t>Le Conseil a adopté une directive rendant permanent le taux normal minimal de TVA actuellement en vigueur, fixé à 15 %.</w:t>
      </w:r>
    </w:p>
    <w:p w14:paraId="7EAFAE21" w14:textId="61A8D2E6" w:rsidR="003D1FAB" w:rsidRPr="00367F7A" w:rsidRDefault="003D1FAB" w:rsidP="00637DDA">
      <w:pPr>
        <w:spacing w:line="240" w:lineRule="auto"/>
      </w:pPr>
      <w:r w:rsidRPr="00367F7A">
        <w:t>Le taux normal minimal permet d'éviter des divergences excessives entre les taux de TVA des États membres, ce qui écarte le risque de distorsions de concurrence résultant de taux de TVA inférieurs susceptibles d'avoir une incidence sur les achats et le commerce transfrontières.</w:t>
      </w:r>
    </w:p>
    <w:p w14:paraId="34B82C63" w14:textId="4DD94E57" w:rsidR="003D1FAB" w:rsidRPr="00367F7A" w:rsidRDefault="003D1FAB" w:rsidP="00637DDA">
      <w:pPr>
        <w:spacing w:line="240" w:lineRule="auto"/>
      </w:pPr>
      <w:r w:rsidRPr="00367F7A">
        <w:t>Un taux normal minimal de 15 % est maintenu à titre provisoire depu</w:t>
      </w:r>
      <w:r w:rsidR="00704009">
        <w:t>is que les règles en matière de </w:t>
      </w:r>
      <w:r w:rsidRPr="00367F7A">
        <w:t>TVA pour le marché unique de l'UE ont commencé à être appliquées, en 1993. Ce taux a été prorogé en dernier lieu en mai 2016, pour une durée de deu</w:t>
      </w:r>
      <w:r w:rsidR="00704009">
        <w:t>x ans qui vient à expiration le </w:t>
      </w:r>
      <w:r w:rsidRPr="00367F7A">
        <w:t>31 décembre 2017.</w:t>
      </w:r>
    </w:p>
    <w:p w14:paraId="25BDCFA0" w14:textId="77777777" w:rsidR="002C5697" w:rsidRPr="00367F7A" w:rsidRDefault="002C5697" w:rsidP="00637DDA">
      <w:pPr>
        <w:spacing w:line="240" w:lineRule="auto"/>
        <w:rPr>
          <w:u w:val="single"/>
        </w:rPr>
      </w:pPr>
      <w:r w:rsidRPr="00367F7A">
        <w:t>Parallèlement, des propositions visant à remplacer le régime "transitoire" de TVA en vigueur par un système définitif de TVA et à réformer les taux de TVA sont à l'examen. La Commission a présenté des propositions en janvier et en mai 2018.</w:t>
      </w:r>
    </w:p>
    <w:p w14:paraId="7DD2E3BF" w14:textId="77777777" w:rsidR="002C5697" w:rsidRPr="00367F7A" w:rsidRDefault="00C207CD" w:rsidP="00637DDA">
      <w:pPr>
        <w:spacing w:line="240" w:lineRule="auto"/>
        <w:rPr>
          <w:rStyle w:val="Hyperlink"/>
        </w:rPr>
      </w:pPr>
      <w:hyperlink r:id="rId28" w:history="1">
        <w:r w:rsidR="00E62CF0" w:rsidRPr="00F32027">
          <w:rPr>
            <w:rStyle w:val="Hyperlink"/>
            <w:color w:val="0000FF"/>
          </w:rPr>
          <w:t>Directive d'avril 2018 relative au taux normal minimal de TVA</w:t>
        </w:r>
      </w:hyperlink>
    </w:p>
    <w:p w14:paraId="12AC31E0" w14:textId="583C17DF" w:rsidR="003D1FAB" w:rsidRPr="00367F7A" w:rsidRDefault="00B42900" w:rsidP="003D1FAB">
      <w:pPr>
        <w:pStyle w:val="Sub-itemApproved"/>
        <w:spacing w:before="120"/>
      </w:pPr>
      <w:r w:rsidRPr="00367F7A">
        <w:br w:type="page"/>
      </w:r>
      <w:bookmarkStart w:id="20" w:name="_Toc526431639"/>
      <w:r w:rsidRPr="00367F7A">
        <w:lastRenderedPageBreak/>
        <w:t>Code de conduite dans le domaine de la fiscalité des entreprises</w:t>
      </w:r>
      <w:bookmarkEnd w:id="20"/>
    </w:p>
    <w:p w14:paraId="73022614" w14:textId="11AE19B2" w:rsidR="003D1FAB" w:rsidRPr="00367F7A" w:rsidRDefault="003D1FAB" w:rsidP="003D1FAB">
      <w:pPr>
        <w:ind w:left="709" w:hanging="709"/>
      </w:pPr>
      <w:r w:rsidRPr="00367F7A">
        <w:t>Le Conseil a adopté les conclusions suivantes:</w:t>
      </w:r>
    </w:p>
    <w:p w14:paraId="367C05F6" w14:textId="77777777" w:rsidR="00281118" w:rsidRPr="00367F7A" w:rsidRDefault="00281118" w:rsidP="00281118">
      <w:pPr>
        <w:ind w:left="709" w:hanging="709"/>
      </w:pPr>
      <w:r w:rsidRPr="00367F7A">
        <w:t>"En ce qui concerne le code de conduite (fiscalité des entreprises), le Conseil:</w:t>
      </w:r>
    </w:p>
    <w:p w14:paraId="5113571F" w14:textId="4C9AF785" w:rsidR="00281118" w:rsidRPr="00367F7A" w:rsidRDefault="00281118" w:rsidP="00281118">
      <w:pPr>
        <w:pStyle w:val="ManualNumPar1"/>
      </w:pPr>
      <w:r w:rsidRPr="00367F7A">
        <w:t>"1.</w:t>
      </w:r>
      <w:r w:rsidRPr="00367F7A">
        <w:tab/>
        <w:t>SE FÉLICITE des progrès accomplis par le groupe "C</w:t>
      </w:r>
      <w:r w:rsidR="00704009">
        <w:t>ode de conduite" au cours de la </w:t>
      </w:r>
      <w:r w:rsidRPr="00367F7A">
        <w:t>présidence bulgare, qui sont exposés dans son rapport (doc. </w:t>
      </w:r>
      <w:hyperlink r:id="rId29" w:history="1">
        <w:r w:rsidRPr="00F32027">
          <w:rPr>
            <w:rStyle w:val="Hyperlink"/>
            <w:color w:val="0000FF"/>
          </w:rPr>
          <w:t>9637/18</w:t>
        </w:r>
      </w:hyperlink>
      <w:r w:rsidR="00704009">
        <w:t>), en particulier en </w:t>
      </w:r>
      <w:r w:rsidRPr="00367F7A">
        <w:t xml:space="preserve">ce qui concerne le suivi des engagements pris par les pays </w:t>
      </w:r>
      <w:r w:rsidR="00704009">
        <w:t>et territoires dans le cadre de </w:t>
      </w:r>
      <w:r w:rsidRPr="00367F7A">
        <w:t>l'exercice d'établissement de la liste de l'UE;</w:t>
      </w:r>
    </w:p>
    <w:p w14:paraId="6539AEC4" w14:textId="6794EA99" w:rsidR="00281118" w:rsidRPr="00367F7A" w:rsidRDefault="00281118" w:rsidP="00281118">
      <w:pPr>
        <w:ind w:left="709" w:hanging="709"/>
      </w:pPr>
      <w:r w:rsidRPr="00367F7A">
        <w:t>"2.</w:t>
      </w:r>
      <w:r w:rsidRPr="00367F7A">
        <w:tab/>
        <w:t>APPROUVE le nouveau programme de travail pluriannuel figurant à l'annexe du rapport sur l'état des travaux élaboré par le groupe;</w:t>
      </w:r>
    </w:p>
    <w:p w14:paraId="1FC308DC" w14:textId="0FCD2255" w:rsidR="00281118" w:rsidRPr="00367F7A" w:rsidRDefault="00281118" w:rsidP="00281118">
      <w:pPr>
        <w:ind w:left="709" w:hanging="709"/>
      </w:pPr>
      <w:r w:rsidRPr="00367F7A">
        <w:t>"3.</w:t>
      </w:r>
      <w:r w:rsidRPr="00367F7A">
        <w:tab/>
        <w:t>DEMANDE au groupe de continuer à assurer le suivi de la question du gel et de l'application des mesures de démantèlement, notamment en ce qui concerne les pays et territoires évalués en 2017;</w:t>
      </w:r>
    </w:p>
    <w:p w14:paraId="3551CD80" w14:textId="1BAAE330" w:rsidR="00281118" w:rsidRPr="00367F7A" w:rsidRDefault="00281118" w:rsidP="00281118">
      <w:pPr>
        <w:ind w:left="709" w:hanging="709"/>
      </w:pPr>
      <w:r w:rsidRPr="00367F7A">
        <w:t>"4.</w:t>
      </w:r>
      <w:r w:rsidRPr="00367F7A">
        <w:tab/>
        <w:t>PREND NOTE AVEC SATISFACTION des différentes initiatives prises par le groupe depuis le début de l'année pour renforcer la visibilité</w:t>
      </w:r>
      <w:r w:rsidR="00704009">
        <w:t xml:space="preserve"> de ses travaux et accroître la transparence;</w:t>
      </w:r>
    </w:p>
    <w:p w14:paraId="2893F93F" w14:textId="7471CDA0" w:rsidR="00281118" w:rsidRPr="00367F7A" w:rsidRDefault="00281118" w:rsidP="00281118">
      <w:pPr>
        <w:ind w:left="709" w:hanging="709"/>
      </w:pPr>
      <w:r w:rsidRPr="00367F7A">
        <w:t>"5.</w:t>
      </w:r>
      <w:r w:rsidRPr="00367F7A">
        <w:tab/>
        <w:t>SE FÉLICITE en particulier de la publication d'un recueil d</w:t>
      </w:r>
      <w:r w:rsidR="00704009">
        <w:t>es orientations arrêtées par le </w:t>
      </w:r>
      <w:r w:rsidRPr="00367F7A">
        <w:t>groupe (doc. </w:t>
      </w:r>
      <w:hyperlink r:id="rId30" w:tooltip="http://data.consilium.europa.eu/doc/document/ST-5814-2018-REV-1/en/pdf" w:history="1">
        <w:r w:rsidRPr="00F32027">
          <w:rPr>
            <w:rStyle w:val="Hyperlink"/>
            <w:color w:val="0000FF"/>
          </w:rPr>
          <w:t>5814/1/18 REV 1</w:t>
        </w:r>
      </w:hyperlink>
      <w:r w:rsidRPr="00367F7A">
        <w:t>) et d'un aperçu des régimes fiscaux préférentiels qu'il a examinés depuis sa création en mars 1998 (doc. </w:t>
      </w:r>
      <w:hyperlink r:id="rId31" w:tooltip="http://data.consilium.europa.eu/doc/document/ST-9639-2018-INIT/en/pdf" w:history="1">
        <w:r w:rsidRPr="00F32027">
          <w:rPr>
            <w:rStyle w:val="Hyperlink"/>
            <w:color w:val="0000FF"/>
          </w:rPr>
          <w:t>9639/18</w:t>
        </w:r>
      </w:hyperlink>
      <w:r w:rsidRPr="00367F7A">
        <w:t>), ainsi que de la publication d'un recueil de toutes les lettres par lesquelles il a cherché à obtenir des engagements de la part des pays et territoires (doc. </w:t>
      </w:r>
      <w:hyperlink r:id="rId32" w:tooltip="http://data.consilium.europa.eu/doc/document/ST-6671-2018-INIT/en/pdf" w:history="1">
        <w:r w:rsidRPr="00F32027">
          <w:rPr>
            <w:rStyle w:val="Hyperlink"/>
            <w:color w:val="0000FF"/>
          </w:rPr>
          <w:t>6671/18</w:t>
        </w:r>
      </w:hyperlink>
      <w:r w:rsidRPr="00367F7A">
        <w:t>) et des lettres d'enga</w:t>
      </w:r>
      <w:r w:rsidR="00704009">
        <w:t>gement reçues en retour que les </w:t>
      </w:r>
      <w:r w:rsidRPr="00367F7A">
        <w:t>pays et territoires concernés ont approuvées (doc. </w:t>
      </w:r>
      <w:hyperlink r:id="rId33" w:tooltip="http://data.consilium.europa.eu/doc/document/ST-6972-2018-INIT/en/pdf" w:history="1">
        <w:r w:rsidRPr="00F32027">
          <w:rPr>
            <w:rStyle w:val="Hyperlink"/>
            <w:color w:val="0000FF"/>
          </w:rPr>
          <w:t>6972/18</w:t>
        </w:r>
      </w:hyperlink>
      <w:r w:rsidRPr="00367F7A">
        <w:t>);</w:t>
      </w:r>
    </w:p>
    <w:p w14:paraId="47534722" w14:textId="245735E2" w:rsidR="00281118" w:rsidRPr="00367F7A" w:rsidRDefault="00281118" w:rsidP="00281118">
      <w:pPr>
        <w:ind w:left="709" w:hanging="709"/>
      </w:pPr>
      <w:r w:rsidRPr="00367F7A">
        <w:t>"6.</w:t>
      </w:r>
      <w:r w:rsidRPr="00367F7A">
        <w:tab/>
        <w:t>SE FÉLICITE également des progrès réalisés en matière de suivi de la mise en œuvre des orientations arrêtées, y compris la liste des priorités arrêtée par le groupe (doc. </w:t>
      </w:r>
      <w:hyperlink r:id="rId34" w:tooltip="http://data.consilium.europa.eu/doc/document/ST-6603-2018-INIT/en/pdf" w:history="1">
        <w:r w:rsidRPr="00F32027">
          <w:rPr>
            <w:rStyle w:val="Hyperlink"/>
            <w:color w:val="0000FF"/>
          </w:rPr>
          <w:t>6603/18</w:t>
        </w:r>
      </w:hyperlink>
      <w:r w:rsidRPr="00367F7A">
        <w:t>);</w:t>
      </w:r>
    </w:p>
    <w:p w14:paraId="52B885D4" w14:textId="1D4492BD" w:rsidR="00281118" w:rsidRPr="00367F7A" w:rsidRDefault="00281118" w:rsidP="00281118">
      <w:pPr>
        <w:ind w:left="709" w:hanging="709"/>
      </w:pPr>
      <w:r w:rsidRPr="00367F7A">
        <w:t>"7.</w:t>
      </w:r>
      <w:r w:rsidRPr="00367F7A">
        <w:tab/>
        <w:t xml:space="preserve">INVITE le groupe à continuer à étudier d'éventuelles mesures défensives qui pourraient être appliquées de manière coordonnée aux pays et territoires non </w:t>
      </w:r>
      <w:r w:rsidR="00704009">
        <w:t>coopératifs, sans préjudice des </w:t>
      </w:r>
      <w:r w:rsidRPr="00367F7A">
        <w:t xml:space="preserve">obligations des États membres découlant du droit de l'UE et du droit international; </w:t>
      </w:r>
    </w:p>
    <w:p w14:paraId="2042FC46" w14:textId="03AD1E88" w:rsidR="00281118" w:rsidRPr="00367F7A" w:rsidRDefault="00281118" w:rsidP="00281118">
      <w:pPr>
        <w:ind w:left="709" w:hanging="709"/>
      </w:pPr>
      <w:r w:rsidRPr="00367F7A">
        <w:t>"8.</w:t>
      </w:r>
      <w:r w:rsidRPr="00367F7A">
        <w:tab/>
        <w:t>SE FÉLICITE des lignes directrices en matière de procédure sur la base desquelles est mené le processus de suivi des engagements pris concernant la liste de l'UE des pays et territoires non coopératifs à des fins fiscales (doc. </w:t>
      </w:r>
      <w:hyperlink r:id="rId35" w:tooltip="http://data.consilium.europa.eu/doc/document/ST-6213-2018-INIT/en/pdf" w:history="1">
        <w:r w:rsidRPr="00F32027">
          <w:rPr>
            <w:rStyle w:val="Hyperlink"/>
            <w:color w:val="0000FF"/>
          </w:rPr>
          <w:t>6213/18</w:t>
        </w:r>
      </w:hyperlink>
      <w:r w:rsidRPr="00367F7A">
        <w:t>), arrêtées par le groupe en février 2018;</w:t>
      </w:r>
    </w:p>
    <w:p w14:paraId="30A5E912" w14:textId="2EE817BB" w:rsidR="00281118" w:rsidRPr="00367F7A" w:rsidRDefault="00963306" w:rsidP="00281118">
      <w:pPr>
        <w:ind w:left="709" w:hanging="709"/>
      </w:pPr>
      <w:r w:rsidRPr="00367F7A">
        <w:br w:type="page"/>
      </w:r>
      <w:r w:rsidRPr="00367F7A">
        <w:lastRenderedPageBreak/>
        <w:t>"9.</w:t>
      </w:r>
      <w:r w:rsidRPr="00367F7A">
        <w:tab/>
        <w:t>APPROUVE la marche à suivre proposée par le groupe en ce</w:t>
      </w:r>
      <w:r w:rsidR="00704009">
        <w:t xml:space="preserve"> qui concerne la révision de la </w:t>
      </w:r>
      <w:r w:rsidRPr="00367F7A">
        <w:t>portée géographique de l'exercice d'établissement de la liste de l'UE;</w:t>
      </w:r>
    </w:p>
    <w:p w14:paraId="77C86C14" w14:textId="4619F2E8" w:rsidR="00281118" w:rsidRPr="00367F7A" w:rsidRDefault="00281118" w:rsidP="00281118">
      <w:pPr>
        <w:ind w:left="709" w:hanging="709"/>
      </w:pPr>
      <w:r w:rsidRPr="00367F7A">
        <w:t>"10.</w:t>
      </w:r>
      <w:r w:rsidRPr="00367F7A">
        <w:tab/>
        <w:t>APPROUVE le document d'orientation concernant le critè</w:t>
      </w:r>
      <w:r w:rsidR="00704009">
        <w:t>re 2.2 qui figure à l'annexe du </w:t>
      </w:r>
      <w:r w:rsidRPr="00367F7A">
        <w:t>rapport sur l'état des travaux du groupe;</w:t>
      </w:r>
    </w:p>
    <w:p w14:paraId="75D57C67" w14:textId="3B6A4A54" w:rsidR="00281118" w:rsidRPr="00367F7A" w:rsidRDefault="00281118" w:rsidP="00281118">
      <w:pPr>
        <w:ind w:left="709" w:hanging="709"/>
      </w:pPr>
      <w:r w:rsidRPr="00367F7A">
        <w:t>"11.</w:t>
      </w:r>
      <w:r w:rsidRPr="00367F7A">
        <w:tab/>
        <w:t>APPROUVE la note d'orientation relative à l'interprétation du</w:t>
      </w:r>
      <w:r w:rsidR="00704009">
        <w:t xml:space="preserve"> troisième critère qui figure à </w:t>
      </w:r>
      <w:r w:rsidRPr="00367F7A">
        <w:t>l'annexe du rapport sur l'état des travaux du groupe;</w:t>
      </w:r>
    </w:p>
    <w:p w14:paraId="1F6893DE" w14:textId="60A2F941" w:rsidR="00281118" w:rsidRPr="00367F7A" w:rsidRDefault="00281118" w:rsidP="00281118">
      <w:pPr>
        <w:ind w:left="709" w:hanging="709"/>
      </w:pPr>
      <w:r w:rsidRPr="00367F7A">
        <w:t>"12.</w:t>
      </w:r>
      <w:r w:rsidRPr="00367F7A">
        <w:tab/>
        <w:t>INVITE le groupe à rendre compte de ses travaux au Conseil au cours de la présidence autrichienne."</w:t>
      </w:r>
    </w:p>
    <w:p w14:paraId="295E1FA7" w14:textId="77777777" w:rsidR="003D1FAB" w:rsidRPr="00367F7A" w:rsidRDefault="003D1FAB" w:rsidP="003D1FAB">
      <w:pPr>
        <w:pStyle w:val="Sub-itemApproved"/>
        <w:spacing w:before="120"/>
      </w:pPr>
      <w:bookmarkStart w:id="21" w:name="_Toc526431640"/>
      <w:r w:rsidRPr="00367F7A">
        <w:t>TVA - Allemagne et Pologne - Pont frontalier</w:t>
      </w:r>
      <w:bookmarkEnd w:id="21"/>
    </w:p>
    <w:p w14:paraId="1AF11A12" w14:textId="44A86322" w:rsidR="003D1FAB" w:rsidRPr="00367F7A" w:rsidRDefault="003D1FAB" w:rsidP="003D1FAB">
      <w:pPr>
        <w:pStyle w:val="Default"/>
        <w:spacing w:before="120" w:after="240" w:line="276" w:lineRule="auto"/>
      </w:pPr>
      <w:r w:rsidRPr="00367F7A">
        <w:t xml:space="preserve">Le Conseil a adopté une décision autorisant l'Allemagne et la </w:t>
      </w:r>
      <w:r w:rsidR="00704009">
        <w:t>Pologne à déroger aux règles en </w:t>
      </w:r>
      <w:r w:rsidRPr="00367F7A">
        <w:t xml:space="preserve">matière de TVA en ce qui concerne la démolition d'un pont frontalier et la construction d'un nouveau pont entre Küstrin-Kietz, en Allemagne, et Kostrzyn nad Odrą, en Pologne (doc. </w:t>
      </w:r>
      <w:hyperlink r:id="rId36" w:history="1">
        <w:r w:rsidRPr="00F32027">
          <w:rPr>
            <w:rStyle w:val="Hyperlink"/>
            <w:color w:val="0000FF"/>
          </w:rPr>
          <w:t>9793/18</w:t>
        </w:r>
      </w:hyperlink>
      <w:r w:rsidRPr="00367F7A">
        <w:t xml:space="preserve"> + </w:t>
      </w:r>
      <w:hyperlink r:id="rId37" w:history="1">
        <w:r w:rsidRPr="00F32027">
          <w:rPr>
            <w:rStyle w:val="Hyperlink"/>
            <w:color w:val="0000FF"/>
          </w:rPr>
          <w:t>9037/18</w:t>
        </w:r>
      </w:hyperlink>
      <w:r w:rsidRPr="00367F7A">
        <w:t>).</w:t>
      </w:r>
    </w:p>
    <w:p w14:paraId="2E81D432" w14:textId="5B741C1E" w:rsidR="003D1FAB" w:rsidRPr="00367F7A" w:rsidRDefault="003D1FAB" w:rsidP="00735E01">
      <w:pPr>
        <w:pStyle w:val="Default"/>
        <w:spacing w:before="120" w:after="240" w:line="276" w:lineRule="auto"/>
      </w:pPr>
      <w:r w:rsidRPr="00367F7A">
        <w:t>Par dérogation au principe de territorialité établi dans le cadre des r</w:t>
      </w:r>
      <w:r w:rsidR="00704009">
        <w:t>ègles de TVA, les livraisons de </w:t>
      </w:r>
      <w:r w:rsidRPr="00367F7A">
        <w:t>biens et prestations de services effectuées sont, aux fins de la TVA, effectuées sur le territoire polonais et, partant, soumises à la TVA polonaise. L'Allemagne et la Pologne sont d'avis que ces dispositions sont justifiées pour simplifier la procédure permettant de respecter les oblig</w:t>
      </w:r>
      <w:r w:rsidR="00704009">
        <w:t>ations en </w:t>
      </w:r>
      <w:r w:rsidRPr="00367F7A">
        <w:t>matière de TVA.</w:t>
      </w:r>
    </w:p>
    <w:p w14:paraId="5DBE89FB" w14:textId="77777777" w:rsidR="003C03BA" w:rsidRPr="00367F7A" w:rsidRDefault="003C03BA" w:rsidP="003D1FAB">
      <w:pPr>
        <w:pStyle w:val="Sub-itemApproved"/>
        <w:spacing w:before="120"/>
        <w:rPr>
          <w:bCs/>
        </w:rPr>
      </w:pPr>
      <w:bookmarkStart w:id="22" w:name="_Toc526431641"/>
      <w:r w:rsidRPr="00367F7A">
        <w:t>Accord avec la Norvège - TVA</w:t>
      </w:r>
      <w:bookmarkEnd w:id="22"/>
    </w:p>
    <w:p w14:paraId="71C04E3A" w14:textId="7ADB7F71" w:rsidR="003C03BA" w:rsidRPr="00367F7A" w:rsidRDefault="003C03BA" w:rsidP="003D1FAB">
      <w:r w:rsidRPr="00367F7A">
        <w:t>Le Conseil a adopté une décision approuvant un accord avec l</w:t>
      </w:r>
      <w:r w:rsidR="00704009">
        <w:t>a Norvège visant à renforcer la </w:t>
      </w:r>
      <w:r w:rsidRPr="00367F7A">
        <w:t>coopération dans le domaine de la TVA.</w:t>
      </w:r>
    </w:p>
    <w:p w14:paraId="7986046C" w14:textId="3B1D7364" w:rsidR="003C03BA" w:rsidRPr="00367F7A" w:rsidRDefault="003C03BA" w:rsidP="003D1FAB">
      <w:r w:rsidRPr="00367F7A">
        <w:t xml:space="preserve">L'accord, signé à Sofia le 6 février 2018, fournit aux États membres </w:t>
      </w:r>
      <w:r w:rsidR="00704009">
        <w:t>de l'UE et à la Norvège un </w:t>
      </w:r>
      <w:r w:rsidRPr="00367F7A">
        <w:t>cadre juridique pour la coopération administrative en vue de:</w:t>
      </w:r>
    </w:p>
    <w:p w14:paraId="25649F18" w14:textId="506AC9A3" w:rsidR="003C03BA" w:rsidRPr="00367F7A" w:rsidRDefault="003C03BA" w:rsidP="003D1FAB">
      <w:pPr>
        <w:pStyle w:val="Tiret0"/>
      </w:pPr>
      <w:r w:rsidRPr="00367F7A">
        <w:t>prévenir la fraude à la TVA;</w:t>
      </w:r>
    </w:p>
    <w:p w14:paraId="203818F0" w14:textId="6A3EB69E" w:rsidR="003C03BA" w:rsidRPr="00367F7A" w:rsidRDefault="003C03BA" w:rsidP="003D1FAB">
      <w:pPr>
        <w:pStyle w:val="Tiret0"/>
      </w:pPr>
      <w:r w:rsidRPr="00367F7A">
        <w:t>se porter mutuellement assistance en matière de recouvrement des créances de TVA.</w:t>
      </w:r>
    </w:p>
    <w:p w14:paraId="23217207" w14:textId="73E553F5" w:rsidR="003C03BA" w:rsidRPr="00367F7A" w:rsidRDefault="003C03BA" w:rsidP="003D1FAB">
      <w:r w:rsidRPr="00367F7A">
        <w:t>L'accord a une structure identique à celle qui est actuellement utilisé</w:t>
      </w:r>
      <w:r w:rsidR="00704009">
        <w:t>e pour la coopération entre les </w:t>
      </w:r>
      <w:r w:rsidRPr="00367F7A">
        <w:t>États membres de l'UE. Il est doté des mêmes instruments, tels que les plateformes électroniques et les formulaires électroniques. Les systèmes de fraude exploitent souvent les faiblesses décelées dans la manière dont les chaînes d'opérations liées à la TVA sont contrôlées lorsqu'elles comportent des contreparties situées dans des pays tiers.</w:t>
      </w:r>
    </w:p>
    <w:p w14:paraId="55202AEB" w14:textId="2978F451" w:rsidR="003C03BA" w:rsidRPr="00367F7A" w:rsidRDefault="00B42900" w:rsidP="003D1FAB">
      <w:r w:rsidRPr="00367F7A">
        <w:br w:type="page"/>
      </w:r>
      <w:r w:rsidRPr="00367F7A">
        <w:lastRenderedPageBreak/>
        <w:t>La Norvège est le premier pays avec lequel l'UE a conclu un accord dans ce domaine. Faisant partie de l'espace économique européen, ce pays est doté d'un régime de TVA similaire à celui de l'UE et il affiche un bilan positif en matière de coopération avec les États membres de l'UE dans le domaine de la TVA.</w:t>
      </w:r>
    </w:p>
    <w:p w14:paraId="2654B822" w14:textId="77777777" w:rsidR="003C03BA" w:rsidRPr="00367F7A" w:rsidRDefault="00C207CD" w:rsidP="003D1FAB">
      <w:pPr>
        <w:pStyle w:val="ListParagraph"/>
        <w:spacing w:before="120" w:after="240" w:line="276" w:lineRule="auto"/>
        <w:ind w:left="0"/>
        <w:rPr>
          <w:rFonts w:ascii="Arial" w:hAnsi="Arial"/>
          <w:szCs w:val="24"/>
          <w:u w:val="single"/>
        </w:rPr>
      </w:pPr>
      <w:hyperlink r:id="rId38" w:history="1">
        <w:r w:rsidR="00E62CF0" w:rsidRPr="00F32027">
          <w:rPr>
            <w:rStyle w:val="Hyperlink"/>
            <w:color w:val="0000FF"/>
          </w:rPr>
          <w:t>Accord de 2017 avec la Norvège sur la coopération administrative dans le domaine de la TVA</w:t>
        </w:r>
      </w:hyperlink>
    </w:p>
    <w:p w14:paraId="1B28B836" w14:textId="77777777" w:rsidR="003C03BA" w:rsidRPr="00367F7A" w:rsidRDefault="00C207CD" w:rsidP="003D1FAB">
      <w:pPr>
        <w:rPr>
          <w:rFonts w:ascii="Arial" w:hAnsi="Arial"/>
          <w:color w:val="000000" w:themeColor="text1"/>
          <w:sz w:val="22"/>
        </w:rPr>
      </w:pPr>
      <w:hyperlink r:id="rId39" w:history="1">
        <w:r w:rsidR="00E62CF0" w:rsidRPr="00F32027">
          <w:rPr>
            <w:rStyle w:val="Hyperlink"/>
            <w:color w:val="0000FF"/>
          </w:rPr>
          <w:t>Décision relative à la conclusion de l'accord UE-Norvège de 2017 sur la coopération administrative dans le domaine de la TVA</w:t>
        </w:r>
      </w:hyperlink>
      <w:r w:rsidR="00E62CF0" w:rsidRPr="00367F7A">
        <w:rPr>
          <w:color w:val="000000" w:themeColor="text1"/>
        </w:rPr>
        <w:t xml:space="preserve"> </w:t>
      </w:r>
    </w:p>
    <w:p w14:paraId="6795FFF8" w14:textId="77777777" w:rsidR="003D1FAB" w:rsidRPr="00367F7A" w:rsidRDefault="003D1FAB" w:rsidP="003D1FAB">
      <w:pPr>
        <w:pStyle w:val="Sub-itemApproved"/>
        <w:spacing w:before="120"/>
      </w:pPr>
      <w:bookmarkStart w:id="23" w:name="_Toc526431642"/>
      <w:r w:rsidRPr="00367F7A">
        <w:t>Rapport sur les questions fiscales</w:t>
      </w:r>
      <w:bookmarkEnd w:id="23"/>
    </w:p>
    <w:p w14:paraId="0089AA75" w14:textId="77777777" w:rsidR="003D1FAB" w:rsidRPr="00367F7A" w:rsidRDefault="003D1FAB" w:rsidP="003D1FAB">
      <w:pPr>
        <w:ind w:left="709" w:hanging="709"/>
      </w:pPr>
      <w:r w:rsidRPr="00367F7A">
        <w:t>Le Conseil a approuvé un rapport semestriel adressé au Conseil européen sur les questions fiscales.</w:t>
      </w:r>
    </w:p>
    <w:p w14:paraId="3C5D0A6B" w14:textId="1E0D3A75" w:rsidR="003D1FAB" w:rsidRPr="00367F7A" w:rsidRDefault="00C207CD" w:rsidP="003D1FAB">
      <w:pPr>
        <w:ind w:left="709" w:hanging="709"/>
        <w:rPr>
          <w:rFonts w:ascii="Arial" w:hAnsi="Arial"/>
          <w:sz w:val="22"/>
          <w:u w:val="single"/>
        </w:rPr>
      </w:pPr>
      <w:hyperlink r:id="rId40" w:history="1">
        <w:r w:rsidR="00E62CF0" w:rsidRPr="00F32027">
          <w:rPr>
            <w:rStyle w:val="Hyperlink"/>
            <w:color w:val="0000FF"/>
          </w:rPr>
          <w:t>Rapport de juin 2018 sur les questions fiscales adressé au Conseil européen</w:t>
        </w:r>
      </w:hyperlink>
    </w:p>
    <w:p w14:paraId="027767E1" w14:textId="77777777" w:rsidR="003D1FAB" w:rsidRPr="00367F7A" w:rsidRDefault="003D1FAB" w:rsidP="003D1FAB">
      <w:pPr>
        <w:pStyle w:val="Sub-itemApproved"/>
        <w:spacing w:before="120"/>
      </w:pPr>
      <w:bookmarkStart w:id="24" w:name="_Toc526431643"/>
      <w:r w:rsidRPr="00367F7A">
        <w:t>Lietuvos bankas — Commissaires aux comptes extérieurs</w:t>
      </w:r>
      <w:bookmarkEnd w:id="24"/>
    </w:p>
    <w:p w14:paraId="39D8D637" w14:textId="31360624" w:rsidR="003D1FAB" w:rsidRPr="00367F7A" w:rsidRDefault="003D1FAB" w:rsidP="003D1FAB">
      <w:r w:rsidRPr="00367F7A">
        <w:t>Le Conseil a adopté une décision portant désignation d'UAB Deloitte Lietuva en tant que commissaires aux comptes extérieurs du Lietuvos bankas, la banque</w:t>
      </w:r>
      <w:r w:rsidR="00704009">
        <w:t xml:space="preserve"> centrale de Lituanie, pour les </w:t>
      </w:r>
      <w:r w:rsidRPr="00367F7A">
        <w:t>exercices 2018 à 2021 (doc. </w:t>
      </w:r>
      <w:hyperlink r:id="rId41" w:tooltip="http://data.consilium.europa.eu/doc/document/ST-9595-2018-INIT/fr/pdf" w:history="1">
        <w:r w:rsidRPr="00F32027">
          <w:rPr>
            <w:rStyle w:val="Hyperlink"/>
            <w:i/>
            <w:iCs/>
            <w:color w:val="0000FF"/>
          </w:rPr>
          <w:t>9595/18</w:t>
        </w:r>
      </w:hyperlink>
      <w:r w:rsidRPr="00367F7A">
        <w:t xml:space="preserve"> + </w:t>
      </w:r>
      <w:hyperlink r:id="rId42" w:tooltip="http://data.consilium.europa.eu/doc/document/ST-9602-2018-INIT/fr/pdf" w:history="1">
        <w:r w:rsidRPr="00F32027">
          <w:rPr>
            <w:rStyle w:val="Hyperlink"/>
            <w:i/>
            <w:iCs/>
            <w:color w:val="0000FF"/>
          </w:rPr>
          <w:t>9602/18</w:t>
        </w:r>
      </w:hyperlink>
      <w:r w:rsidRPr="00367F7A">
        <w:t>).</w:t>
      </w:r>
    </w:p>
    <w:p w14:paraId="176AE3C3" w14:textId="1021EAAA" w:rsidR="003D1FAB" w:rsidRPr="00367F7A" w:rsidRDefault="00B42900" w:rsidP="003D1FAB">
      <w:pPr>
        <w:pStyle w:val="ItemApproved"/>
        <w:spacing w:before="120"/>
        <w:rPr>
          <w:rFonts w:asciiTheme="majorBidi" w:hAnsiTheme="majorBidi" w:cstheme="majorBidi"/>
          <w:szCs w:val="24"/>
        </w:rPr>
      </w:pPr>
      <w:r w:rsidRPr="00367F7A">
        <w:br w:type="page"/>
      </w:r>
      <w:r w:rsidRPr="00367F7A">
        <w:rPr>
          <w:rFonts w:asciiTheme="majorBidi" w:hAnsiTheme="majorBidi"/>
          <w:szCs w:val="24"/>
        </w:rPr>
        <w:lastRenderedPageBreak/>
        <w:t>QUESTIONS BUDGÉTAIRES</w:t>
      </w:r>
    </w:p>
    <w:p w14:paraId="5E2951B7" w14:textId="55B5FE4F" w:rsidR="003D1FAB" w:rsidRPr="00367F7A" w:rsidRDefault="003D1FAB" w:rsidP="003D1FAB">
      <w:pPr>
        <w:pStyle w:val="Sub-itemApproved"/>
        <w:spacing w:before="120"/>
      </w:pPr>
      <w:bookmarkStart w:id="25" w:name="_Toc526431645"/>
      <w:r w:rsidRPr="00367F7A">
        <w:t>Financement de la facilité en faveur des réfugiés en Turquie - P</w:t>
      </w:r>
      <w:r w:rsidR="00704009">
        <w:t>rojet de budget rectificatif n° </w:t>
      </w:r>
      <w:r w:rsidRPr="00367F7A">
        <w:t>3/2018</w:t>
      </w:r>
      <w:bookmarkEnd w:id="25"/>
    </w:p>
    <w:p w14:paraId="51CF1D4A" w14:textId="3B882890" w:rsidR="003D1FAB" w:rsidRPr="00367F7A" w:rsidRDefault="003D1FAB" w:rsidP="003D1FAB">
      <w:pPr>
        <w:rPr>
          <w:szCs w:val="24"/>
        </w:rPr>
      </w:pPr>
      <w:r w:rsidRPr="00367F7A">
        <w:t xml:space="preserve">Le Conseil a approuvé une proposition de la Commission visant à </w:t>
      </w:r>
      <w:r w:rsidR="00704009">
        <w:t>allouer 500 millions d'euros au </w:t>
      </w:r>
      <w:r w:rsidRPr="00367F7A">
        <w:t xml:space="preserve">titre du budget de l'UE pour 2018 afin de financer une prolongation de la facilité </w:t>
      </w:r>
      <w:r w:rsidR="00704009">
        <w:t>en faveur des réfugiés en Turquie.</w:t>
      </w:r>
    </w:p>
    <w:p w14:paraId="45C1140E" w14:textId="2759212B" w:rsidR="003D1FAB" w:rsidRPr="00367F7A" w:rsidRDefault="003D1FAB" w:rsidP="003D1FAB">
      <w:pPr>
        <w:rPr>
          <w:szCs w:val="24"/>
        </w:rPr>
      </w:pPr>
      <w:r w:rsidRPr="00367F7A">
        <w:t>Le p</w:t>
      </w:r>
      <w:r w:rsidR="00704009">
        <w:t>rojet de budget rectificatif n° </w:t>
      </w:r>
      <w:r w:rsidRPr="00367F7A">
        <w:t xml:space="preserve">3 au budget de l'UE pour 2018 </w:t>
      </w:r>
      <w:r w:rsidR="00704009">
        <w:t>vise à assurer la continuité du </w:t>
      </w:r>
      <w:r w:rsidRPr="00367F7A">
        <w:t>soutien accordé aux projets sur le terrain, dans l'attente d'un ac</w:t>
      </w:r>
      <w:r w:rsidR="00704009">
        <w:t>cord entre les États membres au </w:t>
      </w:r>
      <w:r w:rsidRPr="00367F7A">
        <w:t>sujet des modalités de financement d'un montant supplémentair</w:t>
      </w:r>
      <w:r w:rsidR="00704009">
        <w:t>e de trois milliards d'euros en </w:t>
      </w:r>
      <w:r w:rsidRPr="00367F7A">
        <w:t xml:space="preserve">faveur de cette facilité. </w:t>
      </w:r>
    </w:p>
    <w:p w14:paraId="62714495" w14:textId="69687DAD" w:rsidR="003D1FAB" w:rsidRPr="00367F7A" w:rsidRDefault="003D1FAB" w:rsidP="003D1FAB">
      <w:pPr>
        <w:rPr>
          <w:szCs w:val="24"/>
        </w:rPr>
      </w:pPr>
      <w:r w:rsidRPr="00367F7A">
        <w:t>Le financement vise en particulier à faire en sorte que l'éducation</w:t>
      </w:r>
      <w:r w:rsidR="00704009">
        <w:t xml:space="preserve"> des enfants réfugiés puisse se </w:t>
      </w:r>
      <w:r w:rsidRPr="00367F7A">
        <w:t>poursuivre sans interruption.</w:t>
      </w:r>
    </w:p>
    <w:p w14:paraId="08D57005" w14:textId="2CA0BE10" w:rsidR="00975BA2" w:rsidRPr="00367F7A" w:rsidRDefault="00F81A81" w:rsidP="00E83990">
      <w:pPr>
        <w:pStyle w:val="ItemApproved"/>
        <w:spacing w:before="120"/>
        <w:rPr>
          <w:rFonts w:asciiTheme="majorBidi" w:hAnsiTheme="majorBidi" w:cstheme="majorBidi"/>
          <w:szCs w:val="24"/>
        </w:rPr>
      </w:pPr>
      <w:r w:rsidRPr="00367F7A">
        <w:br w:type="page"/>
      </w:r>
      <w:r w:rsidRPr="00367F7A">
        <w:rPr>
          <w:rFonts w:asciiTheme="majorBidi" w:hAnsiTheme="majorBidi"/>
          <w:szCs w:val="24"/>
        </w:rPr>
        <w:lastRenderedPageBreak/>
        <w:t>AFFAIRES ÉTRANGÈRES</w:t>
      </w:r>
    </w:p>
    <w:p w14:paraId="7F373246" w14:textId="42C634E9" w:rsidR="00975BA2" w:rsidRPr="00367F7A" w:rsidRDefault="00975BA2" w:rsidP="00975BA2">
      <w:pPr>
        <w:pStyle w:val="Sub-itemApproved"/>
        <w:spacing w:before="120"/>
      </w:pPr>
      <w:bookmarkStart w:id="26" w:name="_Toc526431647"/>
      <w:r w:rsidRPr="00367F7A">
        <w:t>Relations avec les pays d'Afrique, des Caraïbes et du Pacifique</w:t>
      </w:r>
      <w:bookmarkEnd w:id="26"/>
      <w:r w:rsidRPr="00367F7A">
        <w:t xml:space="preserve"> </w:t>
      </w:r>
    </w:p>
    <w:p w14:paraId="0390AC0F" w14:textId="673760A7" w:rsidR="00975BA2" w:rsidRPr="00367F7A" w:rsidRDefault="00975BA2" w:rsidP="00975BA2">
      <w:pPr>
        <w:rPr>
          <w:szCs w:val="24"/>
        </w:rPr>
      </w:pPr>
      <w:r w:rsidRPr="00367F7A">
        <w:t xml:space="preserve">Le 22 juin 2018, le Conseil a adopté le mandat de négociation du futur accord entre l'UE et les pays d'Afrique, des Caraïbes et du Pacifique (ACP). Les négociations formelles débuteront à la fin d'août 2018, comme le prévoit l'accord actuel, l'accord de Cotonou. </w:t>
      </w:r>
    </w:p>
    <w:p w14:paraId="60255C0B" w14:textId="568FDEA4" w:rsidR="00975BA2" w:rsidRPr="00367F7A" w:rsidRDefault="00975BA2" w:rsidP="00975BA2">
      <w:pPr>
        <w:rPr>
          <w:szCs w:val="24"/>
        </w:rPr>
      </w:pPr>
      <w:r w:rsidRPr="00367F7A">
        <w:t>L'UE travaillera en vue d'un accord substantiellement révisé, articulé autour d'une fondation commune au niveau des ACP ainsi que de trois partenariats région</w:t>
      </w:r>
      <w:r w:rsidR="00704009">
        <w:t>aux adaptés pour l'Afrique, les </w:t>
      </w:r>
      <w:r w:rsidRPr="00367F7A">
        <w:t>Caraïbes et le Pacifique. Le futur accord devrait couvrir des do</w:t>
      </w:r>
      <w:r w:rsidR="00704009">
        <w:t>maines prioritaires tels que la </w:t>
      </w:r>
      <w:r w:rsidRPr="00367F7A">
        <w:t>démocratie et les droits de l'homme, la croissance économi</w:t>
      </w:r>
      <w:r w:rsidR="00704009">
        <w:t>que et les investissements, les </w:t>
      </w:r>
      <w:r w:rsidRPr="00367F7A">
        <w:t>changements climatiques, l'éradication de la pauvreté, la pai</w:t>
      </w:r>
      <w:r w:rsidR="00704009">
        <w:t>x et la sécurité, ainsi que les migrations et la mobilité.</w:t>
      </w:r>
    </w:p>
    <w:p w14:paraId="1448EC5D" w14:textId="7B9DF633" w:rsidR="00975BA2" w:rsidRPr="00367F7A" w:rsidRDefault="00975BA2" w:rsidP="00975BA2">
      <w:pPr>
        <w:rPr>
          <w:szCs w:val="24"/>
        </w:rPr>
      </w:pPr>
      <w:r w:rsidRPr="00367F7A">
        <w:t xml:space="preserve">Le groupe ACP a adopté sa propre position de négociation le 30 </w:t>
      </w:r>
      <w:r w:rsidR="00704009">
        <w:t>mai 2018, lors de la session du </w:t>
      </w:r>
      <w:r w:rsidRPr="00367F7A">
        <w:t xml:space="preserve">Conseil des ministres ACP. </w:t>
      </w:r>
    </w:p>
    <w:p w14:paraId="4CA06182" w14:textId="477EB745" w:rsidR="00975BA2" w:rsidRPr="00367F7A" w:rsidRDefault="00975BA2" w:rsidP="00735E01">
      <w:pPr>
        <w:rPr>
          <w:szCs w:val="24"/>
        </w:rPr>
      </w:pPr>
      <w:r w:rsidRPr="00367F7A">
        <w:t xml:space="preserve">L'accord en vigueur entre l'UE et les pays ACP, connu sous le nom d'accord de Cotonou, doit expirer en février 2020. Dans cette perspective, en décembre 2017, la Commission a présenté une recommandation autorisant l'ouverture de négociations visant à actualiser le cadre de la coopération avec les pays ACP, ainsi qu'un projet de directives de négociation. </w:t>
      </w:r>
    </w:p>
    <w:p w14:paraId="3FC99B22" w14:textId="662B2396" w:rsidR="00975BA2" w:rsidRPr="00367F7A" w:rsidRDefault="00975BA2" w:rsidP="00975BA2">
      <w:pPr>
        <w:rPr>
          <w:szCs w:val="24"/>
        </w:rPr>
      </w:pPr>
      <w:r w:rsidRPr="00367F7A">
        <w:t>L'accord de Cotonou a été adopté en 2000 en remplacement de la</w:t>
      </w:r>
      <w:r w:rsidR="00704009">
        <w:t xml:space="preserve"> convention de Lomé de 1975. Il </w:t>
      </w:r>
      <w:r w:rsidRPr="00367F7A">
        <w:t>s'agit du plus large accord de partenariat entre pays en déve</w:t>
      </w:r>
      <w:r w:rsidR="00704009">
        <w:t>loppement et l'UE, couvrant les </w:t>
      </w:r>
      <w:r w:rsidRPr="00367F7A">
        <w:t>relations de l'UE avec 79 pays, y compris 48 pays d'Afrique subsaharienne.</w:t>
      </w:r>
    </w:p>
    <w:p w14:paraId="34513833" w14:textId="77777777" w:rsidR="00975BA2" w:rsidRPr="00367F7A" w:rsidRDefault="00C207CD" w:rsidP="00975BA2">
      <w:pPr>
        <w:rPr>
          <w:rFonts w:asciiTheme="majorBidi" w:hAnsiTheme="majorBidi" w:cstheme="majorBidi"/>
          <w:b/>
          <w:bCs/>
          <w:szCs w:val="24"/>
        </w:rPr>
      </w:pPr>
      <w:hyperlink r:id="rId43" w:history="1">
        <w:r w:rsidR="00E62CF0" w:rsidRPr="00F32027">
          <w:rPr>
            <w:rStyle w:val="Hyperlink"/>
            <w:rFonts w:asciiTheme="majorBidi" w:hAnsiTheme="majorBidi"/>
            <w:color w:val="0000FF"/>
            <w:szCs w:val="24"/>
          </w:rPr>
          <w:t>Accord de Cotonou</w:t>
        </w:r>
      </w:hyperlink>
      <w:r w:rsidR="00E62CF0" w:rsidRPr="00367F7A">
        <w:t xml:space="preserve"> (informations générales)</w:t>
      </w:r>
    </w:p>
    <w:p w14:paraId="05266EF3" w14:textId="77777777" w:rsidR="003D1FAB" w:rsidRPr="00367F7A" w:rsidRDefault="003D1FAB" w:rsidP="003D1FAB">
      <w:pPr>
        <w:pStyle w:val="ItemApproved"/>
        <w:spacing w:before="120"/>
        <w:rPr>
          <w:rFonts w:asciiTheme="majorBidi" w:hAnsiTheme="majorBidi" w:cstheme="majorBidi"/>
          <w:szCs w:val="24"/>
        </w:rPr>
      </w:pPr>
      <w:r w:rsidRPr="00367F7A">
        <w:rPr>
          <w:rFonts w:asciiTheme="majorBidi" w:hAnsiTheme="majorBidi"/>
          <w:szCs w:val="24"/>
        </w:rPr>
        <w:t>UNION DOUANIÈRE</w:t>
      </w:r>
    </w:p>
    <w:p w14:paraId="3FD4A5C3" w14:textId="77777777" w:rsidR="003D1FAB" w:rsidRPr="00367F7A" w:rsidRDefault="003D1FAB" w:rsidP="003D1FAB">
      <w:pPr>
        <w:pStyle w:val="Sub-itemApproved"/>
        <w:spacing w:before="120"/>
      </w:pPr>
      <w:bookmarkStart w:id="27" w:name="_Toc526431649"/>
      <w:bookmarkStart w:id="28" w:name="_GoBack"/>
      <w:bookmarkEnd w:id="28"/>
      <w:r w:rsidRPr="00367F7A">
        <w:t>Organisation mondiale des douanes</w:t>
      </w:r>
      <w:bookmarkEnd w:id="27"/>
    </w:p>
    <w:p w14:paraId="6EFB25A8" w14:textId="2AD2455D" w:rsidR="003D1FAB" w:rsidRPr="00367F7A" w:rsidRDefault="003D1FAB" w:rsidP="003D1FAB">
      <w:r w:rsidRPr="00367F7A">
        <w:t>Le Conseil a coordonné les positions de l'UE en vue des sessions suivantes de l'</w:t>
      </w:r>
      <w:hyperlink r:id="rId44" w:history="1">
        <w:r w:rsidRPr="00F32027">
          <w:rPr>
            <w:rStyle w:val="Hyperlink"/>
            <w:color w:val="0000FF"/>
          </w:rPr>
          <w:t>Organisation mondiale des douanes</w:t>
        </w:r>
      </w:hyperlink>
      <w:r w:rsidRPr="00367F7A">
        <w:t>: la Commission de politique générale et le Conseil de coopération douanière, qui auront lieu à Bruxelles respectivement du 25 au 27 et du 28 au 30 juin 2018.</w:t>
      </w:r>
    </w:p>
    <w:p w14:paraId="6DFC585A" w14:textId="77777777" w:rsidR="00E52E6E" w:rsidRPr="00816F26" w:rsidRDefault="00E52E6E" w:rsidP="003D1FAB">
      <w:pPr>
        <w:pStyle w:val="FinalLine"/>
        <w:spacing w:before="120" w:after="240"/>
        <w:rPr>
          <w:rFonts w:asciiTheme="majorBidi" w:hAnsiTheme="majorBidi" w:cstheme="majorBidi"/>
          <w:szCs w:val="24"/>
        </w:rPr>
      </w:pPr>
    </w:p>
    <w:sectPr w:rsidR="00E52E6E" w:rsidRPr="00816F26" w:rsidSect="00C207CD">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53BB" w14:textId="77777777" w:rsidR="00422875" w:rsidRDefault="00422875" w:rsidP="00CC05AB">
      <w:pPr>
        <w:spacing w:before="0" w:after="0" w:line="240" w:lineRule="auto"/>
      </w:pPr>
      <w:r>
        <w:separator/>
      </w:r>
    </w:p>
  </w:endnote>
  <w:endnote w:type="continuationSeparator" w:id="0">
    <w:p w14:paraId="15F2E06D" w14:textId="77777777" w:rsidR="00422875" w:rsidRDefault="00422875"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A275" w14:textId="77777777" w:rsidR="00050B55" w:rsidRPr="00C207CD" w:rsidRDefault="00050B55" w:rsidP="00C2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207CD" w:rsidRPr="007410E8" w14:paraId="3A8913CF" w14:textId="77777777" w:rsidTr="00C207CD">
      <w:trPr>
        <w:jc w:val="center"/>
      </w:trPr>
      <w:tc>
        <w:tcPr>
          <w:tcW w:w="2604" w:type="pct"/>
          <w:shd w:val="clear" w:color="auto" w:fill="auto"/>
        </w:tcPr>
        <w:p w14:paraId="47893C78" w14:textId="77777777" w:rsidR="00C207CD" w:rsidRPr="007410E8" w:rsidRDefault="00C207CD" w:rsidP="0035025C">
          <w:pPr>
            <w:pStyle w:val="FooterText"/>
            <w:rPr>
              <w:sz w:val="16"/>
              <w:szCs w:val="16"/>
            </w:rPr>
          </w:pPr>
          <w:bookmarkStart w:id="1" w:name="FOOTER_PR_STANDARD"/>
        </w:p>
      </w:tc>
      <w:tc>
        <w:tcPr>
          <w:tcW w:w="1319" w:type="pct"/>
          <w:shd w:val="clear" w:color="auto" w:fill="auto"/>
        </w:tcPr>
        <w:p w14:paraId="76E1A194" w14:textId="77777777" w:rsidR="00C207CD" w:rsidRPr="007410E8" w:rsidRDefault="00C207CD" w:rsidP="0035025C">
          <w:pPr>
            <w:pStyle w:val="FooterText"/>
            <w:rPr>
              <w:sz w:val="16"/>
              <w:szCs w:val="16"/>
            </w:rPr>
          </w:pPr>
        </w:p>
      </w:tc>
      <w:tc>
        <w:tcPr>
          <w:tcW w:w="1077" w:type="pct"/>
          <w:shd w:val="clear" w:color="auto" w:fill="auto"/>
        </w:tcPr>
        <w:p w14:paraId="4900B0BD" w14:textId="77777777" w:rsidR="00C207CD" w:rsidRPr="007410E8" w:rsidRDefault="00C207CD" w:rsidP="0035025C">
          <w:pPr>
            <w:pStyle w:val="FooterText"/>
            <w:jc w:val="right"/>
            <w:rPr>
              <w:sz w:val="16"/>
              <w:szCs w:val="16"/>
            </w:rPr>
          </w:pPr>
        </w:p>
      </w:tc>
    </w:tr>
    <w:tr w:rsidR="00C207CD" w:rsidRPr="007410E8" w14:paraId="63DA7C64" w14:textId="77777777" w:rsidTr="00C207CD">
      <w:trPr>
        <w:jc w:val="center"/>
      </w:trPr>
      <w:tc>
        <w:tcPr>
          <w:tcW w:w="2604" w:type="pct"/>
          <w:shd w:val="clear" w:color="auto" w:fill="auto"/>
        </w:tcPr>
        <w:p w14:paraId="37C9BB2D" w14:textId="03205BD5" w:rsidR="00C207CD" w:rsidRPr="007410E8" w:rsidRDefault="00C207CD" w:rsidP="0035025C">
          <w:pPr>
            <w:pStyle w:val="FooterText"/>
            <w:rPr>
              <w:sz w:val="16"/>
            </w:rPr>
          </w:pPr>
          <w:r>
            <w:t>10203/18</w:t>
          </w:r>
          <w:r w:rsidRPr="002511D8">
            <w:t xml:space="preserve"> </w:t>
          </w:r>
        </w:p>
      </w:tc>
      <w:tc>
        <w:tcPr>
          <w:tcW w:w="1319" w:type="pct"/>
          <w:shd w:val="clear" w:color="auto" w:fill="auto"/>
        </w:tcPr>
        <w:p w14:paraId="511E720E" w14:textId="77777777" w:rsidR="00C207CD" w:rsidRPr="007410E8" w:rsidRDefault="00C207CD" w:rsidP="0035025C">
          <w:pPr>
            <w:pStyle w:val="FooterText"/>
            <w:rPr>
              <w:sz w:val="16"/>
            </w:rPr>
          </w:pPr>
        </w:p>
      </w:tc>
      <w:tc>
        <w:tcPr>
          <w:tcW w:w="1077" w:type="pct"/>
          <w:shd w:val="clear" w:color="auto" w:fill="auto"/>
        </w:tcPr>
        <w:p w14:paraId="180A7295" w14:textId="4384B764" w:rsidR="00C207CD" w:rsidRPr="007410E8" w:rsidRDefault="00C207CD" w:rsidP="00C207CD">
          <w:pPr>
            <w:pStyle w:val="FooterText"/>
            <w:jc w:val="right"/>
            <w:rPr>
              <w:sz w:val="16"/>
            </w:rPr>
          </w:pPr>
          <w:r>
            <w:fldChar w:fldCharType="begin"/>
          </w:r>
          <w:r>
            <w:instrText xml:space="preserve"> PAGE  \* MERGEFORMAT </w:instrText>
          </w:r>
          <w:r>
            <w:fldChar w:fldCharType="separate"/>
          </w:r>
          <w:r>
            <w:rPr>
              <w:noProof/>
            </w:rPr>
            <w:t>16</w:t>
          </w:r>
          <w:r>
            <w:fldChar w:fldCharType="end"/>
          </w:r>
        </w:p>
      </w:tc>
    </w:tr>
    <w:tr w:rsidR="00C207CD" w:rsidRPr="007410E8" w14:paraId="4CB99060" w14:textId="77777777" w:rsidTr="00C207CD">
      <w:trPr>
        <w:jc w:val="center"/>
      </w:trPr>
      <w:tc>
        <w:tcPr>
          <w:tcW w:w="2604" w:type="pct"/>
          <w:shd w:val="clear" w:color="auto" w:fill="auto"/>
        </w:tcPr>
        <w:p w14:paraId="4FE3065B" w14:textId="3B364075" w:rsidR="00C207CD" w:rsidRPr="007410E8" w:rsidRDefault="00C207CD" w:rsidP="0035025C">
          <w:pPr>
            <w:pStyle w:val="FooterText"/>
            <w:rPr>
              <w:sz w:val="16"/>
            </w:rPr>
          </w:pPr>
        </w:p>
      </w:tc>
      <w:tc>
        <w:tcPr>
          <w:tcW w:w="1319" w:type="pct"/>
          <w:shd w:val="clear" w:color="auto" w:fill="auto"/>
        </w:tcPr>
        <w:p w14:paraId="5377BED4" w14:textId="77777777" w:rsidR="00C207CD" w:rsidRPr="007410E8" w:rsidRDefault="00C207CD" w:rsidP="0035025C">
          <w:pPr>
            <w:pStyle w:val="FooterText"/>
            <w:rPr>
              <w:sz w:val="16"/>
            </w:rPr>
          </w:pPr>
        </w:p>
      </w:tc>
      <w:tc>
        <w:tcPr>
          <w:tcW w:w="1077" w:type="pct"/>
          <w:shd w:val="clear" w:color="auto" w:fill="auto"/>
        </w:tcPr>
        <w:p w14:paraId="33E0A8D4" w14:textId="6BD9E6C0" w:rsidR="00C207CD" w:rsidRPr="007410E8" w:rsidRDefault="00C207CD" w:rsidP="0035025C">
          <w:pPr>
            <w:pStyle w:val="FooterText"/>
            <w:jc w:val="right"/>
            <w:rPr>
              <w:sz w:val="16"/>
            </w:rPr>
          </w:pPr>
          <w:r>
            <w:rPr>
              <w:b/>
              <w:position w:val="-4"/>
              <w:sz w:val="36"/>
            </w:rPr>
            <w:t>FR</w:t>
          </w:r>
        </w:p>
      </w:tc>
    </w:tr>
    <w:bookmarkEnd w:id="1"/>
  </w:tbl>
  <w:p w14:paraId="7884BE92" w14:textId="77777777" w:rsidR="00422875" w:rsidRPr="00C207CD" w:rsidRDefault="00422875" w:rsidP="00C207CD">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C207CD" w:rsidRPr="009C2FB3" w14:paraId="31C619D6" w14:textId="77777777" w:rsidTr="00C207CD">
      <w:trPr>
        <w:jc w:val="center"/>
      </w:trPr>
      <w:tc>
        <w:tcPr>
          <w:tcW w:w="569" w:type="pct"/>
          <w:shd w:val="clear" w:color="auto" w:fill="auto"/>
        </w:tcPr>
        <w:p w14:paraId="75365418" w14:textId="77777777" w:rsidR="00C207CD" w:rsidRPr="009C2FB3" w:rsidRDefault="00C207CD" w:rsidP="0035025C">
          <w:pPr>
            <w:pStyle w:val="FooterText"/>
          </w:pPr>
          <w:bookmarkStart w:id="2" w:name="FOOTER_PR_COVERPAGE"/>
        </w:p>
      </w:tc>
      <w:tc>
        <w:tcPr>
          <w:tcW w:w="3760" w:type="pct"/>
          <w:gridSpan w:val="3"/>
          <w:shd w:val="clear" w:color="auto" w:fill="auto"/>
          <w:noWrap/>
        </w:tcPr>
        <w:p w14:paraId="40451E58" w14:textId="1ADC2C54" w:rsidR="00C207CD" w:rsidRPr="00F37CD6" w:rsidRDefault="00C207CD"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14:paraId="36A9F91A" w14:textId="77777777" w:rsidR="00C207CD" w:rsidRPr="009C2FB3" w:rsidRDefault="00C207CD" w:rsidP="0035025C">
          <w:pPr>
            <w:pStyle w:val="FooterText"/>
          </w:pPr>
        </w:p>
      </w:tc>
    </w:tr>
    <w:tr w:rsidR="00C207CD" w:rsidRPr="007410E8" w14:paraId="1FD5B174" w14:textId="77777777" w:rsidTr="00C207CD">
      <w:trPr>
        <w:jc w:val="center"/>
      </w:trPr>
      <w:tc>
        <w:tcPr>
          <w:tcW w:w="5000" w:type="pct"/>
          <w:gridSpan w:val="5"/>
          <w:shd w:val="clear" w:color="auto" w:fill="auto"/>
        </w:tcPr>
        <w:p w14:paraId="17D9F3D9" w14:textId="77777777" w:rsidR="00C207CD" w:rsidRPr="00827A78" w:rsidRDefault="00C207CD" w:rsidP="0035025C">
          <w:pPr>
            <w:pStyle w:val="FooterAddressText"/>
          </w:pPr>
        </w:p>
        <w:p w14:paraId="1F6C7BCA" w14:textId="4088C820" w:rsidR="00C207CD" w:rsidRPr="007410E8" w:rsidRDefault="00C207CD" w:rsidP="0035025C">
          <w:pPr>
            <w:pStyle w:val="FooterAddressText"/>
          </w:pPr>
          <w:r>
            <w:t>Rue de la Loi 175  B – 1048 BRUXELLES  Tél. +32 (0)2 281 6319  Fax +32 (0)2 281 8026</w:t>
          </w:r>
        </w:p>
      </w:tc>
    </w:tr>
    <w:tr w:rsidR="00C207CD" w:rsidRPr="007410E8" w14:paraId="3DDBB69D" w14:textId="77777777" w:rsidTr="00C207CD">
      <w:trPr>
        <w:jc w:val="center"/>
      </w:trPr>
      <w:tc>
        <w:tcPr>
          <w:tcW w:w="5000" w:type="pct"/>
          <w:gridSpan w:val="5"/>
          <w:shd w:val="clear" w:color="auto" w:fill="auto"/>
        </w:tcPr>
        <w:p w14:paraId="6405640A" w14:textId="0B9AED7D" w:rsidR="00C207CD" w:rsidRPr="007410E8" w:rsidRDefault="00C207CD" w:rsidP="0035025C">
          <w:pPr>
            <w:pStyle w:val="FooterText"/>
            <w:jc w:val="center"/>
            <w:rPr>
              <w:sz w:val="20"/>
              <w:szCs w:val="20"/>
            </w:rPr>
          </w:pPr>
          <w:hyperlink r:id="rId1" w:history="1">
            <w:r w:rsidRPr="00C207CD">
              <w:rPr>
                <w:rStyle w:val="Hyperlink"/>
                <w:sz w:val="20"/>
                <w:szCs w:val="20"/>
              </w:rPr>
              <w:t>press.office@consilium.europa.eu</w:t>
            </w:r>
          </w:hyperlink>
          <w:r w:rsidRPr="007410E8">
            <w:rPr>
              <w:sz w:val="20"/>
              <w:szCs w:val="20"/>
            </w:rPr>
            <w:t xml:space="preserve">  </w:t>
          </w:r>
          <w:hyperlink r:id="rId2" w:history="1">
            <w:r w:rsidRPr="00C207CD">
              <w:rPr>
                <w:rStyle w:val="Hyperlink"/>
                <w:sz w:val="20"/>
                <w:szCs w:val="20"/>
              </w:rPr>
              <w:t>http://www.consilium.europa.eu/press</w:t>
            </w:r>
          </w:hyperlink>
        </w:p>
      </w:tc>
    </w:tr>
    <w:tr w:rsidR="00C207CD" w:rsidRPr="007410E8" w14:paraId="6FBF40A6" w14:textId="77777777" w:rsidTr="00C207CD">
      <w:trPr>
        <w:jc w:val="center"/>
      </w:trPr>
      <w:tc>
        <w:tcPr>
          <w:tcW w:w="2602" w:type="pct"/>
          <w:gridSpan w:val="2"/>
          <w:shd w:val="clear" w:color="auto" w:fill="auto"/>
        </w:tcPr>
        <w:p w14:paraId="30F97CDA" w14:textId="51BFA370" w:rsidR="00C207CD" w:rsidRPr="007410E8" w:rsidRDefault="00C207CD" w:rsidP="0035025C">
          <w:pPr>
            <w:pStyle w:val="FooterText"/>
            <w:spacing w:before="60"/>
            <w:rPr>
              <w:sz w:val="16"/>
            </w:rPr>
          </w:pPr>
          <w:r>
            <w:t>10203/18</w:t>
          </w:r>
          <w:r w:rsidRPr="002511D8">
            <w:t xml:space="preserve"> </w:t>
          </w:r>
        </w:p>
      </w:tc>
      <w:tc>
        <w:tcPr>
          <w:tcW w:w="1295" w:type="pct"/>
          <w:shd w:val="clear" w:color="auto" w:fill="auto"/>
        </w:tcPr>
        <w:p w14:paraId="6E378C89" w14:textId="77777777" w:rsidR="00C207CD" w:rsidRPr="007410E8" w:rsidRDefault="00C207CD" w:rsidP="0035025C">
          <w:pPr>
            <w:pStyle w:val="FooterText"/>
            <w:spacing w:before="120"/>
            <w:rPr>
              <w:sz w:val="16"/>
            </w:rPr>
          </w:pPr>
        </w:p>
      </w:tc>
      <w:tc>
        <w:tcPr>
          <w:tcW w:w="1103" w:type="pct"/>
          <w:gridSpan w:val="2"/>
          <w:shd w:val="clear" w:color="auto" w:fill="auto"/>
        </w:tcPr>
        <w:p w14:paraId="64175FB3" w14:textId="397CAD8E" w:rsidR="00C207CD" w:rsidRPr="007410E8" w:rsidRDefault="00C207CD" w:rsidP="00C207CD">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C207CD" w:rsidRPr="007410E8" w14:paraId="2BB5FB61" w14:textId="77777777" w:rsidTr="00C207CD">
      <w:trPr>
        <w:jc w:val="center"/>
      </w:trPr>
      <w:tc>
        <w:tcPr>
          <w:tcW w:w="2602" w:type="pct"/>
          <w:gridSpan w:val="2"/>
          <w:shd w:val="clear" w:color="auto" w:fill="auto"/>
        </w:tcPr>
        <w:p w14:paraId="17200C5B" w14:textId="77777777" w:rsidR="00C207CD" w:rsidRPr="007410E8" w:rsidRDefault="00C207CD" w:rsidP="0035025C">
          <w:pPr>
            <w:pStyle w:val="FooterText"/>
            <w:rPr>
              <w:sz w:val="16"/>
            </w:rPr>
          </w:pPr>
        </w:p>
      </w:tc>
      <w:tc>
        <w:tcPr>
          <w:tcW w:w="1295" w:type="pct"/>
          <w:shd w:val="clear" w:color="auto" w:fill="auto"/>
        </w:tcPr>
        <w:p w14:paraId="4386AFD6" w14:textId="77777777" w:rsidR="00C207CD" w:rsidRPr="007410E8" w:rsidRDefault="00C207CD" w:rsidP="0035025C">
          <w:pPr>
            <w:pStyle w:val="FooterText"/>
            <w:rPr>
              <w:sz w:val="16"/>
            </w:rPr>
          </w:pPr>
        </w:p>
      </w:tc>
      <w:tc>
        <w:tcPr>
          <w:tcW w:w="1103" w:type="pct"/>
          <w:gridSpan w:val="2"/>
          <w:shd w:val="clear" w:color="auto" w:fill="auto"/>
        </w:tcPr>
        <w:p w14:paraId="21148819" w14:textId="39B44ADB" w:rsidR="00C207CD" w:rsidRPr="007410E8" w:rsidRDefault="00C207CD" w:rsidP="0035025C">
          <w:pPr>
            <w:pStyle w:val="FooterText"/>
            <w:jc w:val="right"/>
            <w:rPr>
              <w:sz w:val="16"/>
            </w:rPr>
          </w:pPr>
          <w:r>
            <w:rPr>
              <w:b/>
              <w:position w:val="-4"/>
              <w:sz w:val="36"/>
            </w:rPr>
            <w:t>FR</w:t>
          </w:r>
        </w:p>
      </w:tc>
    </w:tr>
    <w:bookmarkEnd w:id="2"/>
  </w:tbl>
  <w:p w14:paraId="44369414" w14:textId="77777777" w:rsidR="00422875" w:rsidRPr="00C207CD" w:rsidRDefault="00422875" w:rsidP="00C207CD">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207CD" w:rsidRPr="007410E8" w14:paraId="65756CEC" w14:textId="77777777" w:rsidTr="00C207CD">
      <w:trPr>
        <w:jc w:val="center"/>
      </w:trPr>
      <w:tc>
        <w:tcPr>
          <w:tcW w:w="5000" w:type="pct"/>
          <w:gridSpan w:val="3"/>
          <w:shd w:val="clear" w:color="auto" w:fill="auto"/>
        </w:tcPr>
        <w:p w14:paraId="4BBE4E83" w14:textId="36F88261" w:rsidR="00C207CD" w:rsidRPr="007410E8" w:rsidRDefault="00C207CD"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14:paraId="5ED6C956" w14:textId="64E67CBB" w:rsidR="00C207CD" w:rsidRPr="007410E8" w:rsidRDefault="00C207C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14:paraId="70F6C899" w14:textId="38D18589" w:rsidR="00C207CD" w:rsidRPr="007410E8" w:rsidRDefault="00C207C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14:paraId="467A860D" w14:textId="77777777" w:rsidR="00C207CD" w:rsidRPr="007410E8" w:rsidRDefault="00C207CD" w:rsidP="0035025C">
          <w:pPr>
            <w:pStyle w:val="FooterText"/>
            <w:tabs>
              <w:tab w:val="left" w:pos="285"/>
              <w:tab w:val="left" w:pos="585"/>
            </w:tabs>
            <w:rPr>
              <w:sz w:val="21"/>
              <w:szCs w:val="21"/>
            </w:rPr>
          </w:pPr>
        </w:p>
      </w:tc>
    </w:tr>
    <w:tr w:rsidR="00C207CD" w:rsidRPr="007410E8" w14:paraId="1D34311B" w14:textId="77777777" w:rsidTr="00C207CD">
      <w:trPr>
        <w:jc w:val="center"/>
      </w:trPr>
      <w:tc>
        <w:tcPr>
          <w:tcW w:w="2604" w:type="pct"/>
          <w:shd w:val="clear" w:color="auto" w:fill="auto"/>
        </w:tcPr>
        <w:p w14:paraId="64E08F85" w14:textId="792CD19C" w:rsidR="00C207CD" w:rsidRPr="007410E8" w:rsidRDefault="00C207CD" w:rsidP="0035025C">
          <w:pPr>
            <w:pStyle w:val="FooterText"/>
            <w:rPr>
              <w:sz w:val="16"/>
            </w:rPr>
          </w:pPr>
          <w:r>
            <w:t>10203/18</w:t>
          </w:r>
          <w:r w:rsidRPr="002511D8">
            <w:t xml:space="preserve"> </w:t>
          </w:r>
        </w:p>
      </w:tc>
      <w:tc>
        <w:tcPr>
          <w:tcW w:w="1319" w:type="pct"/>
          <w:shd w:val="clear" w:color="auto" w:fill="auto"/>
        </w:tcPr>
        <w:p w14:paraId="15EECFD7" w14:textId="77777777" w:rsidR="00C207CD" w:rsidRPr="007410E8" w:rsidRDefault="00C207CD" w:rsidP="0035025C">
          <w:pPr>
            <w:pStyle w:val="FooterText"/>
            <w:rPr>
              <w:sz w:val="16"/>
            </w:rPr>
          </w:pPr>
        </w:p>
      </w:tc>
      <w:tc>
        <w:tcPr>
          <w:tcW w:w="1077" w:type="pct"/>
          <w:shd w:val="clear" w:color="auto" w:fill="auto"/>
        </w:tcPr>
        <w:p w14:paraId="05A81B83" w14:textId="385D8C56" w:rsidR="00C207CD" w:rsidRPr="007410E8" w:rsidRDefault="00C207CD" w:rsidP="00C207CD">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C207CD" w:rsidRPr="007410E8" w14:paraId="165DD9BB" w14:textId="77777777" w:rsidTr="00C207CD">
      <w:trPr>
        <w:jc w:val="center"/>
      </w:trPr>
      <w:tc>
        <w:tcPr>
          <w:tcW w:w="2604" w:type="pct"/>
          <w:shd w:val="clear" w:color="auto" w:fill="auto"/>
        </w:tcPr>
        <w:p w14:paraId="764C9B58" w14:textId="23A96234" w:rsidR="00C207CD" w:rsidRPr="007410E8" w:rsidRDefault="00C207CD" w:rsidP="0035025C">
          <w:pPr>
            <w:pStyle w:val="FooterText"/>
            <w:rPr>
              <w:sz w:val="16"/>
            </w:rPr>
          </w:pPr>
        </w:p>
      </w:tc>
      <w:tc>
        <w:tcPr>
          <w:tcW w:w="1319" w:type="pct"/>
          <w:shd w:val="clear" w:color="auto" w:fill="auto"/>
        </w:tcPr>
        <w:p w14:paraId="73F06432" w14:textId="77777777" w:rsidR="00C207CD" w:rsidRPr="007410E8" w:rsidRDefault="00C207CD" w:rsidP="0035025C">
          <w:pPr>
            <w:pStyle w:val="FooterText"/>
            <w:rPr>
              <w:sz w:val="16"/>
            </w:rPr>
          </w:pPr>
        </w:p>
      </w:tc>
      <w:tc>
        <w:tcPr>
          <w:tcW w:w="1077" w:type="pct"/>
          <w:shd w:val="clear" w:color="auto" w:fill="auto"/>
        </w:tcPr>
        <w:p w14:paraId="6840BB49" w14:textId="5129A8AE" w:rsidR="00C207CD" w:rsidRPr="007410E8" w:rsidRDefault="00C207CD" w:rsidP="0035025C">
          <w:pPr>
            <w:pStyle w:val="FooterText"/>
            <w:jc w:val="right"/>
            <w:rPr>
              <w:sz w:val="16"/>
            </w:rPr>
          </w:pPr>
          <w:r>
            <w:rPr>
              <w:b/>
              <w:position w:val="-4"/>
              <w:sz w:val="36"/>
            </w:rPr>
            <w:t>FR</w:t>
          </w:r>
        </w:p>
      </w:tc>
    </w:tr>
    <w:bookmarkEnd w:id="4"/>
  </w:tbl>
  <w:p w14:paraId="7F7913E6" w14:textId="77777777" w:rsidR="00422875" w:rsidRPr="00C207CD" w:rsidRDefault="00422875" w:rsidP="00C207CD">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A656" w14:textId="77777777" w:rsidR="00422875" w:rsidRDefault="00422875" w:rsidP="00CC05AB">
      <w:pPr>
        <w:spacing w:before="0" w:after="0" w:line="240" w:lineRule="auto"/>
      </w:pPr>
      <w:r>
        <w:separator/>
      </w:r>
    </w:p>
  </w:footnote>
  <w:footnote w:type="continuationSeparator" w:id="0">
    <w:p w14:paraId="7B4790BD" w14:textId="77777777" w:rsidR="00422875" w:rsidRDefault="00422875" w:rsidP="00CC05AB">
      <w:pPr>
        <w:spacing w:before="0" w:after="0" w:line="240" w:lineRule="auto"/>
      </w:pPr>
      <w:r>
        <w:continuationSeparator/>
      </w:r>
    </w:p>
  </w:footnote>
  <w:footnote w:id="1">
    <w:p w14:paraId="25DA8F19" w14:textId="77777777" w:rsidR="00631AD6" w:rsidRPr="00367F7A" w:rsidRDefault="00631AD6" w:rsidP="00631AD6">
      <w:pPr>
        <w:pStyle w:val="FootnoteText"/>
        <w:tabs>
          <w:tab w:val="left" w:pos="567"/>
        </w:tabs>
        <w:ind w:left="567" w:hanging="567"/>
      </w:pPr>
      <w:r w:rsidRPr="00367F7A">
        <w:rPr>
          <w:rStyle w:val="FootnoteReference"/>
        </w:rPr>
        <w:footnoteRef/>
      </w:r>
      <w:r w:rsidRPr="00367F7A">
        <w:tab/>
        <w:t>Il n'existe pas de recommandation par pays en ce qui concerne la Grèce, car elle fait l'objet d'une surveillance des politiques renforcée dans le cadre d'un programme d'ajustement macroéconomique.</w:t>
      </w:r>
    </w:p>
  </w:footnote>
  <w:footnote w:id="2">
    <w:p w14:paraId="24E2D20D" w14:textId="77777777" w:rsidR="001968D2" w:rsidRPr="00367F7A" w:rsidRDefault="001968D2" w:rsidP="001968D2">
      <w:pPr>
        <w:pStyle w:val="FootnoteText"/>
      </w:pPr>
      <w:r w:rsidRPr="00367F7A">
        <w:rPr>
          <w:rStyle w:val="FootnoteReference"/>
        </w:rPr>
        <w:footnoteRef/>
      </w:r>
      <w:r w:rsidRPr="00367F7A">
        <w:tab/>
        <w:t>Le fait pour un État membre de faire l'objet d'une dérogation signifie qu'il n'a pas encore rempli les conditions nécessaires pour adopter l'euro.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E070" w14:textId="77777777" w:rsidR="00050B55" w:rsidRPr="00C207CD" w:rsidRDefault="00050B55" w:rsidP="00C2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8E85" w14:textId="5EA48460" w:rsidR="00422875" w:rsidRPr="00C207CD" w:rsidRDefault="00C207CD" w:rsidP="00C207CD">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D85" w14:textId="0B9D4C37" w:rsidR="00422875" w:rsidRPr="00C207CD" w:rsidRDefault="00C207CD" w:rsidP="00C207CD">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207CD" w:rsidRPr="007410E8" w14:paraId="71ED2BDA" w14:textId="77777777" w:rsidTr="00C207CD">
      <w:trPr>
        <w:jc w:val="center"/>
      </w:trPr>
      <w:tc>
        <w:tcPr>
          <w:tcW w:w="2500" w:type="pct"/>
          <w:shd w:val="clear" w:color="auto" w:fill="auto"/>
        </w:tcPr>
        <w:p w14:paraId="3CB088A3" w14:textId="017F9180" w:rsidR="00C207CD" w:rsidRPr="007410E8" w:rsidRDefault="00C207CD" w:rsidP="0035025C">
          <w:pPr>
            <w:pStyle w:val="HeaderText"/>
            <w:rPr>
              <w:b/>
              <w:i/>
              <w:sz w:val="16"/>
              <w:u w:val="single"/>
            </w:rPr>
          </w:pPr>
          <w:bookmarkStart w:id="3" w:name="HEADER_PRMEET"/>
        </w:p>
      </w:tc>
      <w:tc>
        <w:tcPr>
          <w:tcW w:w="2500" w:type="pct"/>
          <w:shd w:val="clear" w:color="auto" w:fill="auto"/>
        </w:tcPr>
        <w:p w14:paraId="5B76A6E3" w14:textId="53E41C05" w:rsidR="00C207CD" w:rsidRPr="007410E8" w:rsidRDefault="00C207CD" w:rsidP="00C207CD">
          <w:pPr>
            <w:pStyle w:val="HeaderText"/>
            <w:jc w:val="right"/>
            <w:rPr>
              <w:sz w:val="16"/>
            </w:rPr>
          </w:pPr>
          <w:r w:rsidRPr="00C207CD">
            <w:t>22 juin 2018</w:t>
          </w:r>
        </w:p>
      </w:tc>
    </w:tr>
    <w:bookmarkEnd w:id="3"/>
  </w:tbl>
  <w:p w14:paraId="5415D523" w14:textId="77777777" w:rsidR="00422875" w:rsidRPr="00C207CD" w:rsidRDefault="00422875" w:rsidP="00C207CD">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207CD" w:rsidRPr="007410E8" w14:paraId="33D427EF" w14:textId="77777777" w:rsidTr="00C207CD">
      <w:trPr>
        <w:jc w:val="center"/>
      </w:trPr>
      <w:tc>
        <w:tcPr>
          <w:tcW w:w="2500" w:type="pct"/>
          <w:shd w:val="clear" w:color="auto" w:fill="auto"/>
        </w:tcPr>
        <w:p w14:paraId="0BC80990" w14:textId="6FCEE938" w:rsidR="00C207CD" w:rsidRPr="007410E8" w:rsidRDefault="00C207CD" w:rsidP="0035025C">
          <w:pPr>
            <w:pStyle w:val="HeaderText"/>
            <w:rPr>
              <w:b/>
              <w:i/>
              <w:sz w:val="16"/>
              <w:u w:val="single"/>
            </w:rPr>
          </w:pPr>
        </w:p>
      </w:tc>
      <w:tc>
        <w:tcPr>
          <w:tcW w:w="2500" w:type="pct"/>
          <w:shd w:val="clear" w:color="auto" w:fill="auto"/>
        </w:tcPr>
        <w:p w14:paraId="1423933C" w14:textId="4825470E" w:rsidR="00C207CD" w:rsidRPr="007410E8" w:rsidRDefault="00C207CD" w:rsidP="00C207CD">
          <w:pPr>
            <w:pStyle w:val="HeaderText"/>
            <w:jc w:val="right"/>
            <w:rPr>
              <w:sz w:val="16"/>
            </w:rPr>
          </w:pPr>
          <w:r w:rsidRPr="00C207CD">
            <w:t>22 juin 2018</w:t>
          </w:r>
        </w:p>
      </w:tc>
    </w:tr>
  </w:tbl>
  <w:p w14:paraId="433A683C" w14:textId="77777777" w:rsidR="00422875" w:rsidRPr="00C207CD" w:rsidRDefault="00422875" w:rsidP="00C207CD">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9E54DCC"/>
    <w:multiLevelType w:val="multilevel"/>
    <w:tmpl w:val="A3569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4" w15:restartNumberingAfterBreak="0">
    <w:nsid w:val="0DF80A71"/>
    <w:multiLevelType w:val="multilevel"/>
    <w:tmpl w:val="FE4A259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6"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15:restartNumberingAfterBreak="0">
    <w:nsid w:val="213C4000"/>
    <w:multiLevelType w:val="multilevel"/>
    <w:tmpl w:val="EDC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B583D"/>
    <w:multiLevelType w:val="multilevel"/>
    <w:tmpl w:val="C2BC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E556D"/>
    <w:multiLevelType w:val="multilevel"/>
    <w:tmpl w:val="1C04053C"/>
    <w:lvl w:ilvl="0">
      <w:start w:val="1"/>
      <w:numFmt w:val="decimal"/>
      <w:lvlText w:val="%1."/>
      <w:lvlJc w:val="left"/>
      <w:pPr>
        <w:tabs>
          <w:tab w:val="num" w:pos="1570"/>
        </w:tabs>
        <w:ind w:left="1570" w:hanging="850"/>
      </w:pPr>
    </w:lvl>
    <w:lvl w:ilvl="1">
      <w:start w:val="1"/>
      <w:numFmt w:val="none"/>
      <w:suff w:val="nothing"/>
      <w:lvlText w:val=""/>
      <w:lvlJc w:val="left"/>
      <w:pPr>
        <w:ind w:left="0" w:firstLine="0"/>
      </w:pPr>
    </w:lvl>
    <w:lvl w:ilvl="2">
      <w:start w:val="1"/>
      <w:numFmt w:val="decimal"/>
      <w:lvlText w:val="%1.%3."/>
      <w:lvlJc w:val="left"/>
      <w:pPr>
        <w:tabs>
          <w:tab w:val="num" w:pos="1570"/>
        </w:tabs>
        <w:ind w:left="1570" w:hanging="850"/>
      </w:pPr>
    </w:lvl>
    <w:lvl w:ilvl="3">
      <w:start w:val="1"/>
      <w:numFmt w:val="decimal"/>
      <w:lvlText w:val="%1.%3.%4."/>
      <w:lvlJc w:val="left"/>
      <w:pPr>
        <w:tabs>
          <w:tab w:val="num" w:pos="1570"/>
        </w:tabs>
        <w:ind w:left="157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1"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12" w15:restartNumberingAfterBreak="0">
    <w:nsid w:val="3DD67A2F"/>
    <w:multiLevelType w:val="multilevel"/>
    <w:tmpl w:val="48F687E2"/>
    <w:lvl w:ilvl="0">
      <w:start w:val="1"/>
      <w:numFmt w:val="decimal"/>
      <w:lvlText w:val="%1."/>
      <w:lvlJc w:val="left"/>
      <w:pPr>
        <w:tabs>
          <w:tab w:val="num" w:pos="1570"/>
        </w:tabs>
        <w:ind w:left="1570" w:hanging="850"/>
      </w:pPr>
    </w:lvl>
    <w:lvl w:ilvl="1">
      <w:start w:val="1"/>
      <w:numFmt w:val="decimal"/>
      <w:lvlText w:val="%1.%2."/>
      <w:lvlJc w:val="left"/>
      <w:pPr>
        <w:tabs>
          <w:tab w:val="num" w:pos="1570"/>
        </w:tabs>
        <w:ind w:left="1570" w:hanging="850"/>
      </w:pPr>
    </w:lvl>
    <w:lvl w:ilvl="2">
      <w:start w:val="1"/>
      <w:numFmt w:val="decimal"/>
      <w:lvlText w:val="%1.%2.%3."/>
      <w:lvlJc w:val="left"/>
      <w:pPr>
        <w:tabs>
          <w:tab w:val="num" w:pos="1570"/>
        </w:tabs>
        <w:ind w:left="1570" w:hanging="850"/>
      </w:pPr>
    </w:lvl>
    <w:lvl w:ilvl="3">
      <w:start w:val="1"/>
      <w:numFmt w:val="decimal"/>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3"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4"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5"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6"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7"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8" w15:restartNumberingAfterBreak="0">
    <w:nsid w:val="7374060B"/>
    <w:multiLevelType w:val="multilevel"/>
    <w:tmpl w:val="2C705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0"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1"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5"/>
  </w:num>
  <w:num w:numId="2">
    <w:abstractNumId w:val="14"/>
  </w:num>
  <w:num w:numId="3">
    <w:abstractNumId w:val="16"/>
  </w:num>
  <w:num w:numId="4">
    <w:abstractNumId w:val="15"/>
  </w:num>
  <w:num w:numId="5">
    <w:abstractNumId w:val="20"/>
  </w:num>
  <w:num w:numId="6">
    <w:abstractNumId w:val="6"/>
  </w:num>
  <w:num w:numId="7">
    <w:abstractNumId w:val="0"/>
  </w:num>
  <w:num w:numId="8">
    <w:abstractNumId w:val="21"/>
  </w:num>
  <w:num w:numId="9">
    <w:abstractNumId w:val="10"/>
  </w:num>
  <w:num w:numId="10">
    <w:abstractNumId w:val="3"/>
  </w:num>
  <w:num w:numId="11">
    <w:abstractNumId w:val="2"/>
  </w:num>
  <w:num w:numId="12">
    <w:abstractNumId w:val="19"/>
  </w:num>
  <w:num w:numId="13">
    <w:abstractNumId w:val="17"/>
  </w:num>
  <w:num w:numId="14">
    <w:abstractNumId w:val="11"/>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8"/>
  </w:num>
  <w:num w:numId="20">
    <w:abstractNumId w:val="7"/>
  </w:num>
  <w:num w:numId="21">
    <w:abstractNumId w:val="18"/>
  </w:num>
  <w:num w:numId="22">
    <w:abstractNumId w:val="1"/>
  </w:num>
  <w:num w:numId="23">
    <w:abstractNumId w:val="5"/>
  </w:num>
  <w:num w:numId="24">
    <w:abstractNumId w:val="14"/>
  </w:num>
  <w:num w:numId="25">
    <w:abstractNumId w:val="16"/>
  </w:num>
  <w:num w:numId="26">
    <w:abstractNumId w:val="15"/>
  </w:num>
  <w:num w:numId="27">
    <w:abstractNumId w:val="20"/>
  </w:num>
  <w:num w:numId="28">
    <w:abstractNumId w:val="6"/>
  </w:num>
  <w:num w:numId="29">
    <w:abstractNumId w:val="0"/>
  </w:num>
  <w:num w:numId="30">
    <w:abstractNumId w:val="21"/>
  </w:num>
  <w:num w:numId="31">
    <w:abstractNumId w:val="10"/>
  </w:num>
  <w:num w:numId="32">
    <w:abstractNumId w:val="3"/>
  </w:num>
  <w:num w:numId="33">
    <w:abstractNumId w:val="2"/>
  </w:num>
  <w:num w:numId="34">
    <w:abstractNumId w:val="19"/>
  </w:num>
  <w:num w:numId="35">
    <w:abstractNumId w:val="17"/>
  </w:num>
  <w:num w:numId="36">
    <w:abstractNumId w:val="11"/>
  </w:num>
  <w:num w:numId="37">
    <w:abstractNumId w:val="13"/>
  </w:num>
  <w:num w:numId="38">
    <w:abstractNumId w:val="11"/>
    <w:lvlOverride w:ilvl="0">
      <w:startOverride w:val="1"/>
    </w:lvlOverride>
  </w:num>
  <w:num w:numId="39">
    <w:abstractNumId w:val="13"/>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59393"/>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1.25&quot; technicalblockguid=&quot;486120825778194300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203&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6&lt;/text&gt;_x000d__x000a_      &lt;text&gt;PR CO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Bulgarie&quot; name=&quot;Vladislav Goranov&quot; text=&quot;Vladislav Goranov, Ministre des finances de la Bulgarie&quot; genderKeyBds=&quot;gend_01&quot; /&gt;_x000d__x000a_    &lt;/presidents&gt;_x000d__x000a_  &lt;/metadata&gt;_x000d__x000a_  &lt;metadata key=&quot;md_MeetingNumber&quot;&gt;_x000d__x000a_    &lt;text&gt;3626&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6-22&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3C5A34"/>
    <w:rsid w:val="00027BBC"/>
    <w:rsid w:val="00047626"/>
    <w:rsid w:val="00050B55"/>
    <w:rsid w:val="00064315"/>
    <w:rsid w:val="00072F5F"/>
    <w:rsid w:val="000C2605"/>
    <w:rsid w:val="000E7BA2"/>
    <w:rsid w:val="00102B51"/>
    <w:rsid w:val="00106FFB"/>
    <w:rsid w:val="00113C9C"/>
    <w:rsid w:val="00120E6B"/>
    <w:rsid w:val="00160675"/>
    <w:rsid w:val="00184C69"/>
    <w:rsid w:val="001968D2"/>
    <w:rsid w:val="001A5446"/>
    <w:rsid w:val="002424E0"/>
    <w:rsid w:val="00245069"/>
    <w:rsid w:val="00271ED7"/>
    <w:rsid w:val="00281118"/>
    <w:rsid w:val="002927BF"/>
    <w:rsid w:val="00295F0E"/>
    <w:rsid w:val="002C5697"/>
    <w:rsid w:val="002E42AF"/>
    <w:rsid w:val="002F5678"/>
    <w:rsid w:val="00306A9C"/>
    <w:rsid w:val="003071F7"/>
    <w:rsid w:val="00324B72"/>
    <w:rsid w:val="0035257F"/>
    <w:rsid w:val="00355481"/>
    <w:rsid w:val="00355EF2"/>
    <w:rsid w:val="003651AB"/>
    <w:rsid w:val="00367F7A"/>
    <w:rsid w:val="003A53F3"/>
    <w:rsid w:val="003B1750"/>
    <w:rsid w:val="003B4281"/>
    <w:rsid w:val="003C03BA"/>
    <w:rsid w:val="003C5A34"/>
    <w:rsid w:val="003D1FAB"/>
    <w:rsid w:val="003D56E7"/>
    <w:rsid w:val="00406D2A"/>
    <w:rsid w:val="00420519"/>
    <w:rsid w:val="00422875"/>
    <w:rsid w:val="00436CA2"/>
    <w:rsid w:val="00442EFD"/>
    <w:rsid w:val="004A6F56"/>
    <w:rsid w:val="004B3F67"/>
    <w:rsid w:val="00520741"/>
    <w:rsid w:val="005353E2"/>
    <w:rsid w:val="0055628A"/>
    <w:rsid w:val="00591550"/>
    <w:rsid w:val="005E6EDD"/>
    <w:rsid w:val="00631AD6"/>
    <w:rsid w:val="00637DDA"/>
    <w:rsid w:val="00643D80"/>
    <w:rsid w:val="006F661C"/>
    <w:rsid w:val="00704009"/>
    <w:rsid w:val="00714EFE"/>
    <w:rsid w:val="00717368"/>
    <w:rsid w:val="007356CC"/>
    <w:rsid w:val="00735E01"/>
    <w:rsid w:val="007A6266"/>
    <w:rsid w:val="007C224D"/>
    <w:rsid w:val="007D7B04"/>
    <w:rsid w:val="007F6A11"/>
    <w:rsid w:val="008039C5"/>
    <w:rsid w:val="00816F26"/>
    <w:rsid w:val="00835E27"/>
    <w:rsid w:val="00836AC4"/>
    <w:rsid w:val="0084303D"/>
    <w:rsid w:val="008552E2"/>
    <w:rsid w:val="00882625"/>
    <w:rsid w:val="008A1A04"/>
    <w:rsid w:val="008C476C"/>
    <w:rsid w:val="008F19EA"/>
    <w:rsid w:val="0090269C"/>
    <w:rsid w:val="00963306"/>
    <w:rsid w:val="00966211"/>
    <w:rsid w:val="00974ED9"/>
    <w:rsid w:val="00975BA2"/>
    <w:rsid w:val="009D0867"/>
    <w:rsid w:val="009D40DB"/>
    <w:rsid w:val="009D72C1"/>
    <w:rsid w:val="009E2802"/>
    <w:rsid w:val="00A00A53"/>
    <w:rsid w:val="00A054F4"/>
    <w:rsid w:val="00A555CA"/>
    <w:rsid w:val="00AB0709"/>
    <w:rsid w:val="00AD3638"/>
    <w:rsid w:val="00AD57DD"/>
    <w:rsid w:val="00AE7974"/>
    <w:rsid w:val="00AF0D8F"/>
    <w:rsid w:val="00B000F0"/>
    <w:rsid w:val="00B15F8F"/>
    <w:rsid w:val="00B32CEE"/>
    <w:rsid w:val="00B404FF"/>
    <w:rsid w:val="00B42900"/>
    <w:rsid w:val="00B67D50"/>
    <w:rsid w:val="00B834C8"/>
    <w:rsid w:val="00BB5340"/>
    <w:rsid w:val="00BE4524"/>
    <w:rsid w:val="00BF31EF"/>
    <w:rsid w:val="00C207CD"/>
    <w:rsid w:val="00C21127"/>
    <w:rsid w:val="00C732D6"/>
    <w:rsid w:val="00CA66FE"/>
    <w:rsid w:val="00CC05AB"/>
    <w:rsid w:val="00D040DF"/>
    <w:rsid w:val="00D20D15"/>
    <w:rsid w:val="00D216F9"/>
    <w:rsid w:val="00D5720B"/>
    <w:rsid w:val="00D66326"/>
    <w:rsid w:val="00D97185"/>
    <w:rsid w:val="00DA4AC4"/>
    <w:rsid w:val="00DC2E64"/>
    <w:rsid w:val="00DD28D2"/>
    <w:rsid w:val="00DD7C57"/>
    <w:rsid w:val="00DE11A8"/>
    <w:rsid w:val="00DE7444"/>
    <w:rsid w:val="00DE787A"/>
    <w:rsid w:val="00DE7B92"/>
    <w:rsid w:val="00DF6353"/>
    <w:rsid w:val="00E16391"/>
    <w:rsid w:val="00E52E6E"/>
    <w:rsid w:val="00E62CF0"/>
    <w:rsid w:val="00E72F0E"/>
    <w:rsid w:val="00E83990"/>
    <w:rsid w:val="00ED6318"/>
    <w:rsid w:val="00EE4DF9"/>
    <w:rsid w:val="00F02D01"/>
    <w:rsid w:val="00F31A8A"/>
    <w:rsid w:val="00F32027"/>
    <w:rsid w:val="00F37686"/>
    <w:rsid w:val="00F43B4D"/>
    <w:rsid w:val="00F45887"/>
    <w:rsid w:val="00F73D48"/>
    <w:rsid w:val="00F81A81"/>
    <w:rsid w:val="00F90A29"/>
    <w:rsid w:val="00FA46E0"/>
    <w:rsid w:val="00FB06D4"/>
    <w:rsid w:val="00FB1A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AF2B7D5"/>
  <w15:docId w15:val="{7E5F17C4-C1DD-413C-9363-0E91F8AC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qFormat/>
    <w:rsid w:val="00DE787A"/>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semiHidden/>
    <w:unhideWhenUsed/>
    <w:qFormat/>
    <w:rsid w:val="00DE787A"/>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C5A34"/>
    <w:pPr>
      <w:spacing w:before="0" w:after="440"/>
      <w:ind w:left="-1134" w:right="-1134"/>
    </w:pPr>
    <w:rPr>
      <w:sz w:val="2"/>
    </w:rPr>
  </w:style>
  <w:style w:type="character" w:customStyle="1" w:styleId="TechnicalBlockChar">
    <w:name w:val="Technical Block Char"/>
    <w:basedOn w:val="DefaultParagraphFont"/>
    <w:rsid w:val="003C5A34"/>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3C5A34"/>
    <w:rPr>
      <w:rFonts w:ascii="Times New Roman" w:hAnsi="Times New Roman" w:cs="Times New Roman"/>
      <w:sz w:val="2"/>
      <w:lang w:val="fr-FR"/>
    </w:rPr>
  </w:style>
  <w:style w:type="paragraph" w:customStyle="1" w:styleId="FooterText">
    <w:name w:val="Footer Text"/>
    <w:basedOn w:val="Normal"/>
    <w:rsid w:val="003C5A34"/>
    <w:pPr>
      <w:spacing w:before="0" w:after="0" w:line="240" w:lineRule="auto"/>
    </w:pPr>
    <w:rPr>
      <w:rFonts w:eastAsia="Times New Roman"/>
      <w:szCs w:val="24"/>
    </w:rPr>
  </w:style>
  <w:style w:type="character" w:styleId="PlaceholderText">
    <w:name w:val="Placeholder Text"/>
    <w:basedOn w:val="DefaultParagraphFont"/>
    <w:uiPriority w:val="99"/>
    <w:semiHidden/>
    <w:rsid w:val="003C5A34"/>
    <w:rPr>
      <w:color w:val="808080"/>
    </w:rPr>
  </w:style>
  <w:style w:type="paragraph" w:customStyle="1" w:styleId="FooterAddressText">
    <w:name w:val="Footer Address Text"/>
    <w:basedOn w:val="FooterText"/>
    <w:qFormat/>
    <w:rsid w:val="003C5A34"/>
    <w:pPr>
      <w:jc w:val="center"/>
    </w:pPr>
    <w:rPr>
      <w:spacing w:val="10"/>
      <w:sz w:val="16"/>
      <w:szCs w:val="16"/>
    </w:rPr>
  </w:style>
  <w:style w:type="character" w:styleId="Hyperlink">
    <w:name w:val="Hyperlink"/>
    <w:basedOn w:val="DefaultParagraphFont"/>
    <w:uiPriority w:val="99"/>
    <w:unhideWhenUsed/>
    <w:qFormat/>
    <w:rsid w:val="003C5A34"/>
    <w:rPr>
      <w:color w:val="0000FF" w:themeColor="hyperlink"/>
      <w:u w:val="single"/>
    </w:rPr>
  </w:style>
  <w:style w:type="paragraph" w:customStyle="1" w:styleId="HeaderText">
    <w:name w:val="Header Text"/>
    <w:basedOn w:val="Normal"/>
    <w:rsid w:val="003C5A34"/>
    <w:pPr>
      <w:spacing w:before="0" w:after="0" w:line="240" w:lineRule="auto"/>
    </w:pPr>
    <w:rPr>
      <w:rFonts w:eastAsia="Times New Roman"/>
      <w:szCs w:val="24"/>
    </w:rPr>
  </w:style>
  <w:style w:type="paragraph" w:styleId="ListParagraph">
    <w:name w:val="List Paragraph"/>
    <w:basedOn w:val="Normal"/>
    <w:uiPriority w:val="34"/>
    <w:qFormat/>
    <w:rsid w:val="00FB06D4"/>
    <w:pPr>
      <w:spacing w:before="0" w:after="0" w:line="360" w:lineRule="auto"/>
      <w:ind w:left="720"/>
      <w:contextualSpacing/>
    </w:pPr>
    <w:rPr>
      <w:rFonts w:eastAsia="Calibri" w:cs="Arial"/>
      <w:color w:val="00000A"/>
    </w:rPr>
  </w:style>
  <w:style w:type="paragraph" w:customStyle="1" w:styleId="Style1">
    <w:name w:val="Style1"/>
    <w:qFormat/>
    <w:rsid w:val="00FB06D4"/>
    <w:pPr>
      <w:spacing w:after="0" w:line="240" w:lineRule="auto"/>
    </w:pPr>
    <w:rPr>
      <w:rFonts w:ascii="Arial" w:eastAsia="Calibri" w:hAnsi="Arial" w:cs="Arial"/>
      <w:lang w:eastAsia="en-GB"/>
    </w:rPr>
  </w:style>
  <w:style w:type="character" w:customStyle="1" w:styleId="InternetLink">
    <w:name w:val="Internet Link"/>
    <w:uiPriority w:val="99"/>
    <w:semiHidden/>
    <w:unhideWhenUsed/>
    <w:qFormat/>
    <w:rsid w:val="00113C9C"/>
    <w:rPr>
      <w:color w:val="0000FF"/>
      <w:u w:val="single"/>
    </w:rPr>
  </w:style>
  <w:style w:type="paragraph" w:styleId="BalloonText">
    <w:name w:val="Balloon Text"/>
    <w:basedOn w:val="Normal"/>
    <w:link w:val="BalloonTextChar"/>
    <w:uiPriority w:val="99"/>
    <w:semiHidden/>
    <w:unhideWhenUsed/>
    <w:rsid w:val="006F66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1C"/>
    <w:rPr>
      <w:rFonts w:ascii="Segoe UI" w:hAnsi="Segoe UI" w:cs="Segoe UI"/>
      <w:sz w:val="18"/>
      <w:szCs w:val="18"/>
      <w:lang w:val="fr-FR"/>
    </w:rPr>
  </w:style>
  <w:style w:type="character" w:styleId="FollowedHyperlink">
    <w:name w:val="FollowedHyperlink"/>
    <w:basedOn w:val="DefaultParagraphFont"/>
    <w:uiPriority w:val="99"/>
    <w:semiHidden/>
    <w:unhideWhenUsed/>
    <w:rsid w:val="009D72C1"/>
    <w:rPr>
      <w:color w:val="800080" w:themeColor="followedHyperlink"/>
      <w:u w:val="single"/>
    </w:rPr>
  </w:style>
  <w:style w:type="paragraph" w:styleId="EndnoteText">
    <w:name w:val="endnote text"/>
    <w:basedOn w:val="Normal"/>
    <w:link w:val="EndnoteTextChar"/>
    <w:semiHidden/>
    <w:unhideWhenUsed/>
    <w:rsid w:val="00B15F8F"/>
    <w:pPr>
      <w:widowControl w:val="0"/>
      <w:snapToGrid w:val="0"/>
      <w:spacing w:before="0" w:after="0" w:line="240" w:lineRule="auto"/>
    </w:pPr>
    <w:rPr>
      <w:rFonts w:eastAsia="Times New Roman"/>
      <w:szCs w:val="20"/>
    </w:rPr>
  </w:style>
  <w:style w:type="character" w:customStyle="1" w:styleId="EndnoteTextChar">
    <w:name w:val="Endnote Text Char"/>
    <w:basedOn w:val="DefaultParagraphFont"/>
    <w:link w:val="EndnoteText"/>
    <w:semiHidden/>
    <w:rsid w:val="00B15F8F"/>
    <w:rPr>
      <w:rFonts w:ascii="Times New Roman" w:eastAsia="Times New Roman" w:hAnsi="Times New Roman" w:cs="Times New Roman"/>
      <w:sz w:val="24"/>
      <w:szCs w:val="20"/>
    </w:rPr>
  </w:style>
  <w:style w:type="character" w:customStyle="1" w:styleId="Heading1Char">
    <w:name w:val="Heading 1 Char"/>
    <w:basedOn w:val="DefaultParagraphFont"/>
    <w:link w:val="Heading1"/>
    <w:qFormat/>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36"/>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aliases w:val="Reference,Footnote Text Char1 Char,Footnote Text Char Char Char,Footnote Text Char2 Char Char Char,Footnote Text Char1 Char Char Char Char,Footnote Text Char Char Char Char Char Char,Plonk,Footnote text PFR"/>
    <w:basedOn w:val="Normal"/>
    <w:link w:val="FootnoteTextChar"/>
    <w:unhideWhenUsed/>
    <w:rsid w:val="00ED6318"/>
    <w:pPr>
      <w:spacing w:before="0" w:after="0"/>
      <w:ind w:left="720" w:hanging="720"/>
    </w:pPr>
    <w:rPr>
      <w:szCs w:val="20"/>
    </w:rPr>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
    <w:basedOn w:val="DefaultParagraphFont"/>
    <w:link w:val="FootnoteText"/>
    <w:semiHidden/>
    <w:qFormat/>
    <w:rsid w:val="00ED6318"/>
    <w:rPr>
      <w:rFonts w:ascii="Times New Roman" w:hAnsi="Times New Roman" w:cs="Times New Roman"/>
      <w:sz w:val="24"/>
      <w:szCs w:val="20"/>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semiHidden/>
    <w:qFormat/>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aliases w:val="BVI fnr,Footnote symbol,(Footnote Reference),Footnote,SUPERS,Voetnootverwijzing,Times 10 Point,Exposant 3 Point,Footnote reference number,note TESI,EN Footnote Refer,Odwołanie przypisu,EN Footnote Reference,Nota,Footnote numb"/>
    <w:basedOn w:val="DefaultParagraphFont"/>
    <w:unhideWhenUsed/>
    <w:rsid w:val="00ED6318"/>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7"/>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23"/>
      </w:numPr>
    </w:pPr>
  </w:style>
  <w:style w:type="paragraph" w:customStyle="1" w:styleId="Tiret1">
    <w:name w:val="Tiret 1"/>
    <w:basedOn w:val="Normal"/>
    <w:rsid w:val="00DE787A"/>
    <w:pPr>
      <w:numPr>
        <w:numId w:val="24"/>
      </w:numPr>
    </w:pPr>
  </w:style>
  <w:style w:type="paragraph" w:customStyle="1" w:styleId="Tiret2">
    <w:name w:val="Tiret 2"/>
    <w:basedOn w:val="Normal"/>
    <w:rsid w:val="00DE787A"/>
    <w:pPr>
      <w:numPr>
        <w:numId w:val="25"/>
      </w:numPr>
    </w:pPr>
  </w:style>
  <w:style w:type="paragraph" w:customStyle="1" w:styleId="Tiret3">
    <w:name w:val="Tiret 3"/>
    <w:basedOn w:val="Normal"/>
    <w:rsid w:val="00DE787A"/>
    <w:pPr>
      <w:numPr>
        <w:numId w:val="26"/>
      </w:numPr>
    </w:pPr>
  </w:style>
  <w:style w:type="paragraph" w:customStyle="1" w:styleId="Tiret4">
    <w:name w:val="Tiret 4"/>
    <w:basedOn w:val="Normal"/>
    <w:rsid w:val="00DE787A"/>
    <w:pPr>
      <w:numPr>
        <w:numId w:val="27"/>
      </w:numPr>
    </w:pPr>
  </w:style>
  <w:style w:type="paragraph" w:customStyle="1" w:styleId="NumPar1">
    <w:name w:val="NumPar 1"/>
    <w:basedOn w:val="Normal"/>
    <w:next w:val="Text1"/>
    <w:rsid w:val="00DE787A"/>
    <w:pPr>
      <w:numPr>
        <w:numId w:val="28"/>
      </w:numPr>
    </w:pPr>
  </w:style>
  <w:style w:type="paragraph" w:customStyle="1" w:styleId="NumPar2">
    <w:name w:val="NumPar 2"/>
    <w:basedOn w:val="Normal"/>
    <w:next w:val="Text1"/>
    <w:rsid w:val="00DE787A"/>
    <w:pPr>
      <w:numPr>
        <w:ilvl w:val="1"/>
        <w:numId w:val="28"/>
      </w:numPr>
    </w:pPr>
  </w:style>
  <w:style w:type="paragraph" w:customStyle="1" w:styleId="NumPar3">
    <w:name w:val="NumPar 3"/>
    <w:basedOn w:val="Normal"/>
    <w:next w:val="Text1"/>
    <w:rsid w:val="00DE787A"/>
    <w:pPr>
      <w:numPr>
        <w:ilvl w:val="2"/>
        <w:numId w:val="28"/>
      </w:numPr>
    </w:pPr>
  </w:style>
  <w:style w:type="paragraph" w:customStyle="1" w:styleId="NumPar4">
    <w:name w:val="NumPar 4"/>
    <w:basedOn w:val="Normal"/>
    <w:next w:val="Text1"/>
    <w:rsid w:val="00DE787A"/>
    <w:pPr>
      <w:numPr>
        <w:ilvl w:val="3"/>
        <w:numId w:val="28"/>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30"/>
      </w:numPr>
    </w:pPr>
  </w:style>
  <w:style w:type="paragraph" w:customStyle="1" w:styleId="Point1number">
    <w:name w:val="Point 1 (number)"/>
    <w:basedOn w:val="Normal"/>
    <w:rsid w:val="00DE787A"/>
    <w:pPr>
      <w:numPr>
        <w:ilvl w:val="2"/>
        <w:numId w:val="30"/>
      </w:numPr>
    </w:pPr>
  </w:style>
  <w:style w:type="paragraph" w:customStyle="1" w:styleId="Point2number">
    <w:name w:val="Point 2 (number)"/>
    <w:basedOn w:val="Normal"/>
    <w:rsid w:val="00DE787A"/>
    <w:pPr>
      <w:numPr>
        <w:ilvl w:val="4"/>
        <w:numId w:val="30"/>
      </w:numPr>
    </w:pPr>
  </w:style>
  <w:style w:type="paragraph" w:customStyle="1" w:styleId="Point3number">
    <w:name w:val="Point 3 (number)"/>
    <w:basedOn w:val="Normal"/>
    <w:rsid w:val="00DE787A"/>
    <w:pPr>
      <w:numPr>
        <w:ilvl w:val="6"/>
        <w:numId w:val="30"/>
      </w:numPr>
    </w:pPr>
  </w:style>
  <w:style w:type="paragraph" w:customStyle="1" w:styleId="Point0letter">
    <w:name w:val="Point 0 (letter)"/>
    <w:basedOn w:val="Normal"/>
    <w:rsid w:val="00DE787A"/>
    <w:pPr>
      <w:numPr>
        <w:ilvl w:val="1"/>
        <w:numId w:val="30"/>
      </w:numPr>
    </w:pPr>
  </w:style>
  <w:style w:type="paragraph" w:customStyle="1" w:styleId="Point1letter">
    <w:name w:val="Point 1 (letter)"/>
    <w:basedOn w:val="Normal"/>
    <w:rsid w:val="00DE787A"/>
    <w:pPr>
      <w:numPr>
        <w:ilvl w:val="3"/>
        <w:numId w:val="30"/>
      </w:numPr>
    </w:pPr>
  </w:style>
  <w:style w:type="paragraph" w:customStyle="1" w:styleId="Point2letter">
    <w:name w:val="Point 2 (letter)"/>
    <w:basedOn w:val="Normal"/>
    <w:rsid w:val="00DE787A"/>
    <w:pPr>
      <w:numPr>
        <w:ilvl w:val="5"/>
        <w:numId w:val="30"/>
      </w:numPr>
    </w:pPr>
  </w:style>
  <w:style w:type="paragraph" w:customStyle="1" w:styleId="Point3letter">
    <w:name w:val="Point 3 (letter)"/>
    <w:basedOn w:val="Normal"/>
    <w:rsid w:val="00DE787A"/>
    <w:pPr>
      <w:numPr>
        <w:ilvl w:val="7"/>
        <w:numId w:val="30"/>
      </w:numPr>
    </w:pPr>
  </w:style>
  <w:style w:type="paragraph" w:customStyle="1" w:styleId="Point4letter">
    <w:name w:val="Point 4 (letter)"/>
    <w:basedOn w:val="Normal"/>
    <w:rsid w:val="00DE787A"/>
    <w:pPr>
      <w:numPr>
        <w:ilvl w:val="8"/>
        <w:numId w:val="30"/>
      </w:numPr>
    </w:pPr>
  </w:style>
  <w:style w:type="paragraph" w:customStyle="1" w:styleId="Bullet0">
    <w:name w:val="Bullet 0"/>
    <w:basedOn w:val="Normal"/>
    <w:rsid w:val="00DE787A"/>
    <w:pPr>
      <w:numPr>
        <w:numId w:val="31"/>
      </w:numPr>
    </w:pPr>
  </w:style>
  <w:style w:type="paragraph" w:customStyle="1" w:styleId="Bullet1">
    <w:name w:val="Bullet 1"/>
    <w:basedOn w:val="Normal"/>
    <w:rsid w:val="00DE787A"/>
    <w:pPr>
      <w:numPr>
        <w:numId w:val="32"/>
      </w:numPr>
    </w:pPr>
  </w:style>
  <w:style w:type="paragraph" w:customStyle="1" w:styleId="Bullet2">
    <w:name w:val="Bullet 2"/>
    <w:basedOn w:val="Normal"/>
    <w:rsid w:val="00DE787A"/>
    <w:pPr>
      <w:numPr>
        <w:numId w:val="33"/>
      </w:numPr>
    </w:pPr>
  </w:style>
  <w:style w:type="paragraph" w:customStyle="1" w:styleId="Bullet3">
    <w:name w:val="Bullet 3"/>
    <w:basedOn w:val="Normal"/>
    <w:rsid w:val="00DE787A"/>
    <w:pPr>
      <w:numPr>
        <w:numId w:val="34"/>
      </w:numPr>
    </w:pPr>
  </w:style>
  <w:style w:type="paragraph" w:customStyle="1" w:styleId="Bullet4">
    <w:name w:val="Bullet 4"/>
    <w:basedOn w:val="Normal"/>
    <w:rsid w:val="00DE787A"/>
    <w:pPr>
      <w:numPr>
        <w:numId w:val="35"/>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67F7A"/>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Default">
    <w:name w:val="Default"/>
    <w:rsid w:val="003D1F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925">
      <w:bodyDiv w:val="1"/>
      <w:marLeft w:val="0"/>
      <w:marRight w:val="0"/>
      <w:marTop w:val="0"/>
      <w:marBottom w:val="0"/>
      <w:divBdr>
        <w:top w:val="none" w:sz="0" w:space="0" w:color="auto"/>
        <w:left w:val="none" w:sz="0" w:space="0" w:color="auto"/>
        <w:bottom w:val="none" w:sz="0" w:space="0" w:color="auto"/>
        <w:right w:val="none" w:sz="0" w:space="0" w:color="auto"/>
      </w:divBdr>
    </w:div>
    <w:div w:id="438524447">
      <w:bodyDiv w:val="1"/>
      <w:marLeft w:val="0"/>
      <w:marRight w:val="0"/>
      <w:marTop w:val="0"/>
      <w:marBottom w:val="0"/>
      <w:divBdr>
        <w:top w:val="none" w:sz="0" w:space="0" w:color="auto"/>
        <w:left w:val="none" w:sz="0" w:space="0" w:color="auto"/>
        <w:bottom w:val="none" w:sz="0" w:space="0" w:color="auto"/>
        <w:right w:val="none" w:sz="0" w:space="0" w:color="auto"/>
      </w:divBdr>
    </w:div>
    <w:div w:id="470634111">
      <w:bodyDiv w:val="1"/>
      <w:marLeft w:val="0"/>
      <w:marRight w:val="0"/>
      <w:marTop w:val="0"/>
      <w:marBottom w:val="0"/>
      <w:divBdr>
        <w:top w:val="none" w:sz="0" w:space="0" w:color="auto"/>
        <w:left w:val="none" w:sz="0" w:space="0" w:color="auto"/>
        <w:bottom w:val="none" w:sz="0" w:space="0" w:color="auto"/>
        <w:right w:val="none" w:sz="0" w:space="0" w:color="auto"/>
      </w:divBdr>
    </w:div>
    <w:div w:id="1374883074">
      <w:bodyDiv w:val="1"/>
      <w:marLeft w:val="0"/>
      <w:marRight w:val="0"/>
      <w:marTop w:val="0"/>
      <w:marBottom w:val="0"/>
      <w:divBdr>
        <w:top w:val="none" w:sz="0" w:space="0" w:color="auto"/>
        <w:left w:val="none" w:sz="0" w:space="0" w:color="auto"/>
        <w:bottom w:val="none" w:sz="0" w:space="0" w:color="auto"/>
        <w:right w:val="none" w:sz="0" w:space="0" w:color="auto"/>
      </w:divBdr>
    </w:div>
    <w:div w:id="1701278529">
      <w:bodyDiv w:val="1"/>
      <w:marLeft w:val="0"/>
      <w:marRight w:val="0"/>
      <w:marTop w:val="0"/>
      <w:marBottom w:val="0"/>
      <w:divBdr>
        <w:top w:val="none" w:sz="0" w:space="0" w:color="auto"/>
        <w:left w:val="none" w:sz="0" w:space="0" w:color="auto"/>
        <w:bottom w:val="none" w:sz="0" w:space="0" w:color="auto"/>
        <w:right w:val="none" w:sz="0" w:space="0" w:color="auto"/>
      </w:divBdr>
    </w:div>
    <w:div w:id="19470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nsilium.europa.eu/fr/press/press-releases/2016/06/17/conclusions-on-banking-union/" TargetMode="External"/><Relationship Id="rId26" Type="http://schemas.openxmlformats.org/officeDocument/2006/relationships/hyperlink" Target="http://www.consilium.europa.eu/fr/meetings/eurogroup/2018/06/21/" TargetMode="External"/><Relationship Id="rId39" Type="http://schemas.openxmlformats.org/officeDocument/2006/relationships/hyperlink" Target="http://data.consilium.europa.eu/doc/document/ST-14381-2017-INIT/fr/pdf" TargetMode="External"/><Relationship Id="rId3" Type="http://schemas.openxmlformats.org/officeDocument/2006/relationships/settings" Target="settings.xml"/><Relationship Id="rId21" Type="http://schemas.openxmlformats.org/officeDocument/2006/relationships/hyperlink" Target="http://www.consilium.europa.eu/en/press/press-releases/2018/06/22/hungary-and-romania-called-on-to-correct-significant-budgetary-deviations/" TargetMode="External"/><Relationship Id="rId34" Type="http://schemas.openxmlformats.org/officeDocument/2006/relationships/hyperlink" Target="http://data.consilium.europa.eu/doc/document/ST-6603-2018-INIT/en/pdf" TargetMode="External"/><Relationship Id="rId42" Type="http://schemas.openxmlformats.org/officeDocument/2006/relationships/hyperlink" Target="http://data.consilium.europa.eu/doc/document/ST-9602-2018-INIT/fr/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9819-2018-INIT/en/pdf" TargetMode="External"/><Relationship Id="rId25" Type="http://schemas.openxmlformats.org/officeDocument/2006/relationships/hyperlink" Target="http://data.consilium.europa.eu/doc/document/ST-14875-2016-INIT/fr/pdf" TargetMode="External"/><Relationship Id="rId33" Type="http://schemas.openxmlformats.org/officeDocument/2006/relationships/hyperlink" Target="http://data.consilium.europa.eu/doc/document/ST-6972-2018-INIT/en/pdf" TargetMode="External"/><Relationship Id="rId38" Type="http://schemas.openxmlformats.org/officeDocument/2006/relationships/hyperlink" Target="http://data.consilium.europa.eu/doc/document/ST-14390-2017-INIT/fr/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fr/press/press-releases/2018/06/22/france-s-deficit-below-3-of-gdp-procedure-closed/" TargetMode="External"/><Relationship Id="rId29" Type="http://schemas.openxmlformats.org/officeDocument/2006/relationships/hyperlink" Target="http://data.consilium.europa.eu/doc/document/ST-9637-2018-INIT/en/pdf" TargetMode="External"/><Relationship Id="rId41" Type="http://schemas.openxmlformats.org/officeDocument/2006/relationships/hyperlink" Target="http://data.consilium.europa.eu/doc/document/ST-9595-2018-INIT/f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841-2018-INIT/en/pdf" TargetMode="External"/><Relationship Id="rId32" Type="http://schemas.openxmlformats.org/officeDocument/2006/relationships/hyperlink" Target="http://data.consilium.europa.eu/doc/document/ST-6671-2018-INIT/en/pdf" TargetMode="External"/><Relationship Id="rId37" Type="http://schemas.openxmlformats.org/officeDocument/2006/relationships/hyperlink" Target="http://data.consilium.europa.eu/doc/document/ST-9037-2018-INIT/fr/pdf" TargetMode="External"/><Relationship Id="rId40" Type="http://schemas.openxmlformats.org/officeDocument/2006/relationships/hyperlink" Target="http://data.consilium.europa.eu/doc/document/ST-9735-2018-INIT/fr/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249-2018-INIT/en/pdf" TargetMode="External"/><Relationship Id="rId28" Type="http://schemas.openxmlformats.org/officeDocument/2006/relationships/hyperlink" Target="http://data.consilium.europa.eu/doc/document/ST-7166-2018-INIT/fr/pdf" TargetMode="External"/><Relationship Id="rId36" Type="http://schemas.openxmlformats.org/officeDocument/2006/relationships/hyperlink" Target="http://www.consilium.europa.eu/register/fr/content/out?&amp;typ=ENTRY&amp;i=ADV&amp;DOC_ID=ST-9793-2018-INIT" TargetMode="External"/><Relationship Id="rId10" Type="http://schemas.openxmlformats.org/officeDocument/2006/relationships/footer" Target="footer1.xml"/><Relationship Id="rId19" Type="http://schemas.openxmlformats.org/officeDocument/2006/relationships/hyperlink" Target="http://www.consilium.europa.eu/fr/press/press-releases/2018/06/22/economic-and-fiscal-policies-country-specific-recommendations-approved/" TargetMode="External"/><Relationship Id="rId31" Type="http://schemas.openxmlformats.org/officeDocument/2006/relationships/hyperlink" Target="http://data.consilium.europa.eu/doc/document/ST-9639-2018-INIT/en/pdf" TargetMode="External"/><Relationship Id="rId44" Type="http://schemas.openxmlformats.org/officeDocument/2006/relationships/hyperlink" Target="http://www.wcoomd.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245-2018-INIT/fr/pdf" TargetMode="External"/><Relationship Id="rId27" Type="http://schemas.openxmlformats.org/officeDocument/2006/relationships/hyperlink" Target="http://www.consilium.europa.eu/fr/press/press-releases/2018/06/22/vat-fraud-agreement-on-measures-to-boost-administrative-cooperation/" TargetMode="External"/><Relationship Id="rId30" Type="http://schemas.openxmlformats.org/officeDocument/2006/relationships/hyperlink" Target="http://data.consilium.europa.eu/doc/document/ST-5814-2018-REV-1/en/pdf" TargetMode="External"/><Relationship Id="rId35" Type="http://schemas.openxmlformats.org/officeDocument/2006/relationships/hyperlink" Target="http://data.consilium.europa.eu/doc/document/ST-6213-2018-INIT/en/pdf" TargetMode="External"/><Relationship Id="rId43" Type="http://schemas.openxmlformats.org/officeDocument/2006/relationships/hyperlink" Target="http://www.consilium.europa.eu/fr/policies/cotonou-agre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34</TotalTime>
  <Pages>16</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 Aija</dc:creator>
  <cp:keywords/>
  <dc:description/>
  <cp:lastModifiedBy>SPRANGERS Marie</cp:lastModifiedBy>
  <cp:revision>18</cp:revision>
  <cp:lastPrinted>2018-06-22T10:17:00Z</cp:lastPrinted>
  <dcterms:created xsi:type="dcterms:W3CDTF">2018-10-04T13:51:00Z</dcterms:created>
  <dcterms:modified xsi:type="dcterms:W3CDTF">2018-10-04T14:31:00Z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4.1.18, Build 20180416</vt:lpwstr>
  </property>
  <property fmtid="{D5CDD505-2E9C-101B-9397-08002B2CF9AE}" pid="4" name="Last edited using">
    <vt:lpwstr>DocuWrite 4.1.25, Build 20180730</vt:lpwstr>
  </property>
</Properties>
</file>