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01" w:rsidRPr="00462A8D" w:rsidRDefault="002862E2" w:rsidP="00462A8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519/18.&#10;Subject Codes: PRESSE 39 PR CO 39.&#10;Heading: RÉSULTATS DE LA SESSION DU CONSEIL.&#10;Institutional Framework: Conseil de l'Union européenne.&#10;Language: FR.&#10;Distribution Code: Not Set.&#10;GUID: 5331935409648019310_0" style="width:573.5pt;height:425.3pt">
            <v:imagedata r:id="rId7" o:title=""/>
          </v:shape>
        </w:pict>
      </w:r>
      <w:bookmarkEnd w:id="0"/>
    </w:p>
    <w:p w:rsidR="00104CF8" w:rsidRPr="00413DC1" w:rsidRDefault="00104CF8" w:rsidP="00104CF8">
      <w:pPr>
        <w:pStyle w:val="TechnicalBlock"/>
        <w:ind w:left="-1134" w:right="-1134"/>
        <w:sectPr w:rsidR="00104CF8" w:rsidRPr="00413DC1" w:rsidSect="002862E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E161C1" w:rsidRDefault="00E161C1" w:rsidP="00E161C1">
      <w:pPr>
        <w:pStyle w:val="TOCHeading"/>
      </w:pPr>
      <w:r>
        <w:lastRenderedPageBreak/>
        <w:t>SOMMAIRE</w:t>
      </w:r>
      <w:r w:rsidRPr="00E161C1">
        <w:rPr>
          <w:vertAlign w:val="superscript"/>
        </w:rPr>
        <w:t>1</w:t>
      </w:r>
    </w:p>
    <w:p w:rsidR="00E161C1" w:rsidRDefault="00E161C1" w:rsidP="00E161C1">
      <w:pPr>
        <w:pStyle w:val="TOC5"/>
      </w:pPr>
      <w:r>
        <w:t>POINTS AYANT FAIT L'OBJET D'UN DÉBAT</w:t>
      </w:r>
    </w:p>
    <w:p w:rsidR="00E161C1" w:rsidRPr="00E161C1" w:rsidRDefault="00E161C1" w:rsidP="00E161C1">
      <w:pPr>
        <w:pStyle w:val="TOC7"/>
        <w:keepNext/>
        <w:rPr>
          <w:rFonts w:asciiTheme="minorHAnsi" w:eastAsiaTheme="minorEastAsia" w:hAnsiTheme="minorHAnsi" w:cstheme="minorBidi"/>
          <w:noProof/>
          <w:sz w:val="22"/>
          <w:lang w:val="fr-BE" w:eastAsia="en-GB"/>
        </w:rPr>
      </w:pPr>
      <w:r>
        <w:rPr>
          <w:noProof/>
        </w:rPr>
        <w:t>Élargissement</w:t>
      </w:r>
      <w:r>
        <w:rPr>
          <w:noProof/>
        </w:rPr>
        <w:tab/>
      </w:r>
      <w:r>
        <w:rPr>
          <w:noProof/>
        </w:rPr>
        <w:fldChar w:fldCharType="begin"/>
      </w:r>
      <w:r>
        <w:rPr>
          <w:noProof/>
        </w:rPr>
        <w:instrText xml:space="preserve"> PAGEREF \h _Toc526838740 \* MERGEFORMAT </w:instrText>
      </w:r>
      <w:r>
        <w:rPr>
          <w:noProof/>
        </w:rPr>
      </w:r>
      <w:r>
        <w:rPr>
          <w:noProof/>
        </w:rPr>
        <w:fldChar w:fldCharType="separate"/>
      </w:r>
      <w:r>
        <w:rPr>
          <w:noProof/>
        </w:rPr>
        <w:t>4</w:t>
      </w:r>
      <w:r>
        <w:rPr>
          <w:noProof/>
        </w:rPr>
        <w:fldChar w:fldCharType="end"/>
      </w:r>
    </w:p>
    <w:p w:rsidR="00E161C1" w:rsidRPr="00E161C1" w:rsidRDefault="00E161C1" w:rsidP="00E161C1">
      <w:pPr>
        <w:pStyle w:val="TOC7"/>
        <w:keepNext/>
        <w:rPr>
          <w:rFonts w:asciiTheme="minorHAnsi" w:eastAsiaTheme="minorEastAsia" w:hAnsiTheme="minorHAnsi" w:cstheme="minorBidi"/>
          <w:noProof/>
          <w:sz w:val="22"/>
          <w:lang w:val="fr-BE" w:eastAsia="en-GB"/>
        </w:rPr>
      </w:pPr>
      <w:r>
        <w:rPr>
          <w:noProof/>
        </w:rPr>
        <w:t>Conseil européen de juin</w:t>
      </w:r>
      <w:r>
        <w:rPr>
          <w:noProof/>
        </w:rPr>
        <w:tab/>
      </w:r>
      <w:r>
        <w:rPr>
          <w:noProof/>
        </w:rPr>
        <w:fldChar w:fldCharType="begin"/>
      </w:r>
      <w:r>
        <w:rPr>
          <w:noProof/>
        </w:rPr>
        <w:instrText xml:space="preserve"> PAGEREF \h _Toc526838741 \* MERGEFORMAT </w:instrText>
      </w:r>
      <w:r>
        <w:rPr>
          <w:noProof/>
        </w:rPr>
      </w:r>
      <w:r>
        <w:rPr>
          <w:noProof/>
        </w:rPr>
        <w:fldChar w:fldCharType="separate"/>
      </w:r>
      <w:r>
        <w:rPr>
          <w:noProof/>
        </w:rPr>
        <w:t>5</w:t>
      </w:r>
      <w:r>
        <w:rPr>
          <w:noProof/>
        </w:rPr>
        <w:fldChar w:fldCharType="end"/>
      </w:r>
    </w:p>
    <w:p w:rsidR="00E161C1" w:rsidRPr="00E161C1" w:rsidRDefault="00E161C1" w:rsidP="00E161C1">
      <w:pPr>
        <w:pStyle w:val="TOC7"/>
        <w:keepNext/>
        <w:rPr>
          <w:rFonts w:asciiTheme="minorHAnsi" w:eastAsiaTheme="minorEastAsia" w:hAnsiTheme="minorHAnsi" w:cstheme="minorBidi"/>
          <w:noProof/>
          <w:sz w:val="22"/>
          <w:lang w:val="fr-BE" w:eastAsia="en-GB"/>
        </w:rPr>
      </w:pPr>
      <w:r>
        <w:rPr>
          <w:noProof/>
        </w:rPr>
        <w:t>Semestre européen</w:t>
      </w:r>
      <w:r>
        <w:rPr>
          <w:noProof/>
        </w:rPr>
        <w:tab/>
      </w:r>
      <w:r>
        <w:rPr>
          <w:noProof/>
        </w:rPr>
        <w:fldChar w:fldCharType="begin"/>
      </w:r>
      <w:r>
        <w:rPr>
          <w:noProof/>
        </w:rPr>
        <w:instrText xml:space="preserve"> PAGEREF \h _Toc526838742 \* MERGEFORMAT </w:instrText>
      </w:r>
      <w:r>
        <w:rPr>
          <w:noProof/>
        </w:rPr>
      </w:r>
      <w:r>
        <w:rPr>
          <w:noProof/>
        </w:rPr>
        <w:fldChar w:fldCharType="separate"/>
      </w:r>
      <w:r>
        <w:rPr>
          <w:noProof/>
        </w:rPr>
        <w:t>6</w:t>
      </w:r>
      <w:r>
        <w:rPr>
          <w:noProof/>
        </w:rPr>
        <w:fldChar w:fldCharType="end"/>
      </w:r>
    </w:p>
    <w:p w:rsidR="00E161C1" w:rsidRPr="00E161C1" w:rsidRDefault="00E161C1" w:rsidP="00E161C1">
      <w:pPr>
        <w:pStyle w:val="TOC7"/>
        <w:keepNext/>
        <w:rPr>
          <w:rFonts w:asciiTheme="minorHAnsi" w:eastAsiaTheme="minorEastAsia" w:hAnsiTheme="minorHAnsi" w:cstheme="minorBidi"/>
          <w:noProof/>
          <w:sz w:val="22"/>
          <w:lang w:val="fr-BE" w:eastAsia="en-GB"/>
        </w:rPr>
      </w:pPr>
      <w:r>
        <w:rPr>
          <w:noProof/>
        </w:rPr>
        <w:t>Accord interinstitutionnel "Mieux légiférer"</w:t>
      </w:r>
      <w:r>
        <w:rPr>
          <w:noProof/>
        </w:rPr>
        <w:tab/>
      </w:r>
      <w:r>
        <w:rPr>
          <w:noProof/>
        </w:rPr>
        <w:fldChar w:fldCharType="begin"/>
      </w:r>
      <w:r>
        <w:rPr>
          <w:noProof/>
        </w:rPr>
        <w:instrText xml:space="preserve"> PAGEREF \h _Toc526838743 \* MERGEFORMAT </w:instrText>
      </w:r>
      <w:r>
        <w:rPr>
          <w:noProof/>
        </w:rPr>
      </w:r>
      <w:r>
        <w:rPr>
          <w:noProof/>
        </w:rPr>
        <w:fldChar w:fldCharType="separate"/>
      </w:r>
      <w:r>
        <w:rPr>
          <w:noProof/>
        </w:rPr>
        <w:t>6</w:t>
      </w:r>
      <w:r>
        <w:rPr>
          <w:noProof/>
        </w:rPr>
        <w:fldChar w:fldCharType="end"/>
      </w:r>
    </w:p>
    <w:p w:rsidR="00E161C1" w:rsidRPr="00E161C1" w:rsidRDefault="00E161C1" w:rsidP="00E161C1">
      <w:pPr>
        <w:pStyle w:val="TOC7"/>
        <w:keepNext/>
        <w:rPr>
          <w:rFonts w:asciiTheme="minorHAnsi" w:eastAsiaTheme="minorEastAsia" w:hAnsiTheme="minorHAnsi" w:cstheme="minorBidi"/>
          <w:noProof/>
          <w:sz w:val="22"/>
          <w:lang w:val="fr-BE" w:eastAsia="en-GB"/>
        </w:rPr>
      </w:pPr>
      <w:r>
        <w:rPr>
          <w:noProof/>
        </w:rPr>
        <w:t>État de droit en Pologne</w:t>
      </w:r>
      <w:r>
        <w:rPr>
          <w:noProof/>
        </w:rPr>
        <w:tab/>
      </w:r>
      <w:r>
        <w:rPr>
          <w:noProof/>
        </w:rPr>
        <w:fldChar w:fldCharType="begin"/>
      </w:r>
      <w:r>
        <w:rPr>
          <w:noProof/>
        </w:rPr>
        <w:instrText xml:space="preserve"> PAGEREF \h _Toc526838744 \* MERGEFORMAT </w:instrText>
      </w:r>
      <w:r>
        <w:rPr>
          <w:noProof/>
        </w:rPr>
      </w:r>
      <w:r>
        <w:rPr>
          <w:noProof/>
        </w:rPr>
        <w:fldChar w:fldCharType="separate"/>
      </w:r>
      <w:r>
        <w:rPr>
          <w:noProof/>
        </w:rPr>
        <w:t>7</w:t>
      </w:r>
      <w:r>
        <w:rPr>
          <w:noProof/>
        </w:rPr>
        <w:fldChar w:fldCharType="end"/>
      </w:r>
    </w:p>
    <w:p w:rsidR="00E161C1" w:rsidRPr="00E161C1" w:rsidRDefault="00E161C1" w:rsidP="00E161C1">
      <w:pPr>
        <w:pStyle w:val="TOC7"/>
      </w:pPr>
      <w:r>
        <w:rPr>
          <w:noProof/>
        </w:rPr>
        <w:t>Prochain cadre financier pluriannuel</w:t>
      </w:r>
      <w:r>
        <w:rPr>
          <w:noProof/>
        </w:rPr>
        <w:tab/>
      </w:r>
      <w:r>
        <w:rPr>
          <w:noProof/>
        </w:rPr>
        <w:fldChar w:fldCharType="begin"/>
      </w:r>
      <w:r>
        <w:rPr>
          <w:noProof/>
        </w:rPr>
        <w:instrText xml:space="preserve"> PAGEREF \h _Toc526838745 \* MERGEFORMAT </w:instrText>
      </w:r>
      <w:r>
        <w:rPr>
          <w:noProof/>
        </w:rPr>
      </w:r>
      <w:r>
        <w:rPr>
          <w:noProof/>
        </w:rPr>
        <w:fldChar w:fldCharType="separate"/>
      </w:r>
      <w:r>
        <w:rPr>
          <w:noProof/>
        </w:rPr>
        <w:t>7</w:t>
      </w:r>
      <w:r>
        <w:rPr>
          <w:noProof/>
        </w:rPr>
        <w:fldChar w:fldCharType="end"/>
      </w:r>
    </w:p>
    <w:p w:rsidR="00E161C1" w:rsidRDefault="00E161C1" w:rsidP="00E161C1">
      <w:pPr>
        <w:pStyle w:val="TOC5"/>
      </w:pPr>
      <w:r>
        <w:t>AUTRES POINTS APPROUVÉS</w:t>
      </w:r>
    </w:p>
    <w:p w:rsidR="00E161C1" w:rsidRDefault="00E161C1" w:rsidP="00E161C1">
      <w:pPr>
        <w:pStyle w:val="TOC8"/>
        <w:rPr>
          <w:rFonts w:asciiTheme="minorHAnsi" w:eastAsiaTheme="minorEastAsia" w:hAnsiTheme="minorHAnsi" w:cstheme="minorBidi"/>
          <w:i w:val="0"/>
          <w:noProof/>
          <w:sz w:val="22"/>
          <w:lang w:val="en-GB" w:eastAsia="en-GB"/>
        </w:rPr>
      </w:pPr>
      <w:r>
        <w:rPr>
          <w:noProof/>
        </w:rPr>
        <w:t>AFFAIRES GÉNÉRALES</w:t>
      </w:r>
    </w:p>
    <w:p w:rsidR="00E161C1" w:rsidRDefault="00E161C1" w:rsidP="00E161C1">
      <w:pPr>
        <w:pStyle w:val="TOC9"/>
        <w:keepNext/>
        <w:rPr>
          <w:rFonts w:asciiTheme="minorHAnsi" w:eastAsiaTheme="minorEastAsia" w:hAnsiTheme="minorHAnsi" w:cstheme="minorBidi"/>
          <w:noProof/>
          <w:sz w:val="22"/>
          <w:lang w:val="en-GB" w:eastAsia="en-GB"/>
        </w:rPr>
      </w:pPr>
      <w:r>
        <w:rPr>
          <w:noProof/>
        </w:rPr>
        <w:t>Initiative citoyenne européenne</w:t>
      </w:r>
      <w:r>
        <w:rPr>
          <w:noProof/>
        </w:rPr>
        <w:tab/>
      </w:r>
      <w:r>
        <w:rPr>
          <w:noProof/>
        </w:rPr>
        <w:fldChar w:fldCharType="begin"/>
      </w:r>
      <w:r>
        <w:rPr>
          <w:noProof/>
        </w:rPr>
        <w:instrText xml:space="preserve"> PAGEREF \h _Toc526838747 \* MERGEFORMAT </w:instrText>
      </w:r>
      <w:r>
        <w:rPr>
          <w:noProof/>
        </w:rPr>
      </w:r>
      <w:r>
        <w:rPr>
          <w:noProof/>
        </w:rPr>
        <w:fldChar w:fldCharType="separate"/>
      </w:r>
      <w:r>
        <w:rPr>
          <w:noProof/>
        </w:rPr>
        <w:t>8</w:t>
      </w:r>
      <w:r>
        <w:rPr>
          <w:noProof/>
        </w:rPr>
        <w:fldChar w:fldCharType="end"/>
      </w:r>
    </w:p>
    <w:p w:rsidR="00E161C1" w:rsidRDefault="00E161C1" w:rsidP="00E161C1">
      <w:pPr>
        <w:pStyle w:val="TOC9"/>
        <w:keepNext/>
        <w:rPr>
          <w:rFonts w:asciiTheme="minorHAnsi" w:eastAsiaTheme="minorEastAsia" w:hAnsiTheme="minorHAnsi" w:cstheme="minorBidi"/>
          <w:noProof/>
          <w:sz w:val="22"/>
          <w:lang w:val="en-GB" w:eastAsia="en-GB"/>
        </w:rPr>
      </w:pPr>
      <w:r>
        <w:rPr>
          <w:noProof/>
        </w:rPr>
        <w:t>Composition du Parlement européen</w:t>
      </w:r>
      <w:r>
        <w:rPr>
          <w:noProof/>
        </w:rPr>
        <w:tab/>
      </w:r>
      <w:r>
        <w:rPr>
          <w:noProof/>
        </w:rPr>
        <w:fldChar w:fldCharType="begin"/>
      </w:r>
      <w:r>
        <w:rPr>
          <w:noProof/>
        </w:rPr>
        <w:instrText xml:space="preserve"> PAGEREF \h _Toc526838748 \* MERGEFORMAT </w:instrText>
      </w:r>
      <w:r>
        <w:rPr>
          <w:noProof/>
        </w:rPr>
      </w:r>
      <w:r>
        <w:rPr>
          <w:noProof/>
        </w:rPr>
        <w:fldChar w:fldCharType="separate"/>
      </w:r>
      <w:r>
        <w:rPr>
          <w:noProof/>
        </w:rPr>
        <w:t>9</w:t>
      </w:r>
      <w:r>
        <w:rPr>
          <w:noProof/>
        </w:rPr>
        <w:fldChar w:fldCharType="end"/>
      </w:r>
    </w:p>
    <w:p w:rsidR="00E161C1" w:rsidRPr="00E161C1" w:rsidRDefault="00E161C1" w:rsidP="00E161C1">
      <w:pPr>
        <w:pStyle w:val="TOC9"/>
        <w:keepNext/>
        <w:rPr>
          <w:rFonts w:asciiTheme="minorHAnsi" w:eastAsiaTheme="minorEastAsia" w:hAnsiTheme="minorHAnsi" w:cstheme="minorBidi"/>
          <w:noProof/>
          <w:sz w:val="22"/>
          <w:lang w:val="fr-BE" w:eastAsia="en-GB"/>
        </w:rPr>
      </w:pPr>
      <w:r>
        <w:rPr>
          <w:noProof/>
        </w:rPr>
        <w:t>Règlement de procédure du Tribunal</w:t>
      </w:r>
      <w:r>
        <w:rPr>
          <w:noProof/>
        </w:rPr>
        <w:tab/>
      </w:r>
      <w:r>
        <w:rPr>
          <w:noProof/>
        </w:rPr>
        <w:fldChar w:fldCharType="begin"/>
      </w:r>
      <w:r>
        <w:rPr>
          <w:noProof/>
        </w:rPr>
        <w:instrText xml:space="preserve"> PAGEREF \h _Toc526838749 \* MERGEFORMAT </w:instrText>
      </w:r>
      <w:r>
        <w:rPr>
          <w:noProof/>
        </w:rPr>
      </w:r>
      <w:r>
        <w:rPr>
          <w:noProof/>
        </w:rPr>
        <w:fldChar w:fldCharType="separate"/>
      </w:r>
      <w:r>
        <w:rPr>
          <w:noProof/>
        </w:rPr>
        <w:t>9</w:t>
      </w:r>
      <w:r>
        <w:rPr>
          <w:noProof/>
        </w:rPr>
        <w:fldChar w:fldCharType="end"/>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Plan d'action pour la stratégie de sûreté maritime de l'UE (SSMUE)</w:t>
      </w:r>
      <w:r>
        <w:rPr>
          <w:noProof/>
        </w:rPr>
        <w:tab/>
      </w:r>
      <w:r>
        <w:rPr>
          <w:noProof/>
        </w:rPr>
        <w:fldChar w:fldCharType="begin"/>
      </w:r>
      <w:r>
        <w:rPr>
          <w:noProof/>
        </w:rPr>
        <w:instrText xml:space="preserve"> PAGEREF \h _Toc526838750 \* MERGEFORMAT </w:instrText>
      </w:r>
      <w:r>
        <w:rPr>
          <w:noProof/>
        </w:rPr>
      </w:r>
      <w:r>
        <w:rPr>
          <w:noProof/>
        </w:rPr>
        <w:fldChar w:fldCharType="separate"/>
      </w:r>
      <w:r>
        <w:rPr>
          <w:noProof/>
        </w:rPr>
        <w:t>9</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AFFAIRES ÉTRANGÈRES</w:t>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Accord de partenariat stratégique entre l'UE et le Japon</w:t>
      </w:r>
      <w:r>
        <w:rPr>
          <w:noProof/>
        </w:rPr>
        <w:tab/>
      </w:r>
      <w:r>
        <w:rPr>
          <w:noProof/>
        </w:rPr>
        <w:fldChar w:fldCharType="begin"/>
      </w:r>
      <w:r>
        <w:rPr>
          <w:noProof/>
        </w:rPr>
        <w:instrText xml:space="preserve"> PAGEREF \h _Toc526838752 \* MERGEFORMAT </w:instrText>
      </w:r>
      <w:r>
        <w:rPr>
          <w:noProof/>
        </w:rPr>
      </w:r>
      <w:r>
        <w:rPr>
          <w:noProof/>
        </w:rPr>
        <w:fldChar w:fldCharType="separate"/>
      </w:r>
      <w:r>
        <w:rPr>
          <w:noProof/>
        </w:rPr>
        <w:t>10</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QUESTIONS BUDGÉTAIRES</w:t>
      </w:r>
    </w:p>
    <w:p w:rsidR="00E161C1" w:rsidRPr="00E161C1" w:rsidRDefault="00E161C1" w:rsidP="00E161C1">
      <w:pPr>
        <w:pStyle w:val="TOC9"/>
        <w:keepNext/>
        <w:rPr>
          <w:rFonts w:asciiTheme="minorHAnsi" w:eastAsiaTheme="minorEastAsia" w:hAnsiTheme="minorHAnsi" w:cstheme="minorBidi"/>
          <w:noProof/>
          <w:sz w:val="22"/>
          <w:lang w:val="fr-BE" w:eastAsia="en-GB"/>
        </w:rPr>
      </w:pPr>
      <w:r>
        <w:rPr>
          <w:noProof/>
        </w:rPr>
        <w:t>Cadre financier pluriannuel - rapport sur l'état d'avancement des travaux</w:t>
      </w:r>
      <w:r>
        <w:rPr>
          <w:noProof/>
        </w:rPr>
        <w:tab/>
      </w:r>
      <w:r>
        <w:rPr>
          <w:noProof/>
        </w:rPr>
        <w:fldChar w:fldCharType="begin"/>
      </w:r>
      <w:r>
        <w:rPr>
          <w:noProof/>
        </w:rPr>
        <w:instrText xml:space="preserve"> PAGEREF \h _Toc526838754 \* MERGEFORMAT </w:instrText>
      </w:r>
      <w:r>
        <w:rPr>
          <w:noProof/>
        </w:rPr>
      </w:r>
      <w:r>
        <w:rPr>
          <w:noProof/>
        </w:rPr>
        <w:fldChar w:fldCharType="separate"/>
      </w:r>
      <w:r>
        <w:rPr>
          <w:noProof/>
        </w:rPr>
        <w:t>11</w:t>
      </w:r>
      <w:r>
        <w:rPr>
          <w:noProof/>
        </w:rPr>
        <w:fldChar w:fldCharType="end"/>
      </w:r>
    </w:p>
    <w:p w:rsidR="00E161C1" w:rsidRPr="00E161C1" w:rsidRDefault="00E161C1" w:rsidP="00E161C1">
      <w:pPr>
        <w:pStyle w:val="TOC9"/>
        <w:rPr>
          <w:rFonts w:asciiTheme="minorHAnsi" w:eastAsiaTheme="minorEastAsia" w:hAnsiTheme="minorHAnsi" w:cstheme="minorBidi"/>
          <w:noProof/>
          <w:sz w:val="22"/>
          <w:lang w:val="fr-BE" w:eastAsia="en-GB"/>
        </w:rPr>
      </w:pPr>
      <w:r w:rsidRPr="003E4BE6">
        <w:rPr>
          <w:rFonts w:asciiTheme="majorBidi" w:hAnsiTheme="majorBidi"/>
          <w:noProof/>
        </w:rPr>
        <w:t>Mobilisation du Fonds européen d'ajustement à la mondialisation en faveur de la France</w:t>
      </w:r>
      <w:r>
        <w:rPr>
          <w:noProof/>
        </w:rPr>
        <w:tab/>
      </w:r>
      <w:r>
        <w:rPr>
          <w:noProof/>
        </w:rPr>
        <w:fldChar w:fldCharType="begin"/>
      </w:r>
      <w:r>
        <w:rPr>
          <w:noProof/>
        </w:rPr>
        <w:instrText xml:space="preserve"> PAGEREF \h _Toc526838755 \* MERGEFORMAT </w:instrText>
      </w:r>
      <w:r>
        <w:rPr>
          <w:noProof/>
        </w:rPr>
      </w:r>
      <w:r>
        <w:rPr>
          <w:noProof/>
        </w:rPr>
        <w:fldChar w:fldCharType="separate"/>
      </w:r>
      <w:r>
        <w:rPr>
          <w:noProof/>
        </w:rPr>
        <w:t>11</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AFFAIRES ÉCONOMIQUES ET FINANCIÈRES</w:t>
      </w:r>
    </w:p>
    <w:p w:rsidR="00E161C1" w:rsidRDefault="00E161C1" w:rsidP="00E161C1">
      <w:pPr>
        <w:pStyle w:val="TOC9"/>
        <w:rPr>
          <w:rFonts w:asciiTheme="minorHAnsi" w:eastAsiaTheme="minorEastAsia" w:hAnsiTheme="minorHAnsi" w:cstheme="minorBidi"/>
          <w:noProof/>
          <w:sz w:val="22"/>
          <w:lang w:val="en-GB" w:eastAsia="en-GB"/>
        </w:rPr>
      </w:pPr>
      <w:r>
        <w:rPr>
          <w:noProof/>
        </w:rPr>
        <w:t>Assistance macrofinancière à l'Ukraine</w:t>
      </w:r>
      <w:r>
        <w:rPr>
          <w:noProof/>
        </w:rPr>
        <w:tab/>
      </w:r>
      <w:r>
        <w:rPr>
          <w:noProof/>
        </w:rPr>
        <w:fldChar w:fldCharType="begin"/>
      </w:r>
      <w:r>
        <w:rPr>
          <w:noProof/>
        </w:rPr>
        <w:instrText xml:space="preserve"> PAGEREF \h _Toc526838757 \* MERGEFORMAT </w:instrText>
      </w:r>
      <w:r>
        <w:rPr>
          <w:noProof/>
        </w:rPr>
      </w:r>
      <w:r>
        <w:rPr>
          <w:noProof/>
        </w:rPr>
        <w:fldChar w:fldCharType="separate"/>
      </w:r>
      <w:r>
        <w:rPr>
          <w:noProof/>
        </w:rPr>
        <w:t>12</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lastRenderedPageBreak/>
        <w:t>JUSTICE</w:t>
      </w:r>
    </w:p>
    <w:p w:rsidR="00E161C1" w:rsidRPr="00E161C1" w:rsidRDefault="00E161C1" w:rsidP="00E161C1">
      <w:pPr>
        <w:pStyle w:val="TOC9"/>
        <w:keepNext/>
        <w:rPr>
          <w:rFonts w:asciiTheme="minorHAnsi" w:eastAsiaTheme="minorEastAsia" w:hAnsiTheme="minorHAnsi" w:cstheme="minorBidi"/>
          <w:noProof/>
          <w:sz w:val="22"/>
          <w:lang w:val="fr-BE" w:eastAsia="en-GB"/>
        </w:rPr>
      </w:pPr>
      <w:r>
        <w:rPr>
          <w:noProof/>
        </w:rPr>
        <w:t>Conclusions du Conseil sur des lignes de conduite de l'UE concernant le renforcement des cybercapacités externes</w:t>
      </w:r>
      <w:r>
        <w:rPr>
          <w:noProof/>
        </w:rPr>
        <w:tab/>
      </w:r>
      <w:r>
        <w:rPr>
          <w:noProof/>
        </w:rPr>
        <w:fldChar w:fldCharType="begin"/>
      </w:r>
      <w:r>
        <w:rPr>
          <w:noProof/>
        </w:rPr>
        <w:instrText xml:space="preserve"> PAGEREF \h _Toc526838759 \* MERGEFORMAT </w:instrText>
      </w:r>
      <w:r>
        <w:rPr>
          <w:noProof/>
        </w:rPr>
      </w:r>
      <w:r>
        <w:rPr>
          <w:noProof/>
        </w:rPr>
        <w:fldChar w:fldCharType="separate"/>
      </w:r>
      <w:r>
        <w:rPr>
          <w:noProof/>
        </w:rPr>
        <w:t>13</w:t>
      </w:r>
      <w:r>
        <w:rPr>
          <w:noProof/>
        </w:rPr>
        <w:fldChar w:fldCharType="end"/>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Décision du Conseil relative à la signature de la convention 108 modifiée pour la protection des données</w:t>
      </w:r>
      <w:r>
        <w:rPr>
          <w:noProof/>
        </w:rPr>
        <w:tab/>
      </w:r>
      <w:r>
        <w:rPr>
          <w:noProof/>
        </w:rPr>
        <w:fldChar w:fldCharType="begin"/>
      </w:r>
      <w:r>
        <w:rPr>
          <w:noProof/>
        </w:rPr>
        <w:instrText xml:space="preserve"> PAGEREF \h _Toc526838760 \* MERGEFORMAT </w:instrText>
      </w:r>
      <w:r>
        <w:rPr>
          <w:noProof/>
        </w:rPr>
      </w:r>
      <w:r>
        <w:rPr>
          <w:noProof/>
        </w:rPr>
        <w:fldChar w:fldCharType="separate"/>
      </w:r>
      <w:r>
        <w:rPr>
          <w:noProof/>
        </w:rPr>
        <w:t>13</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ESPACE ÉCONOMIQUE EUROPÉEN</w:t>
      </w:r>
    </w:p>
    <w:p w:rsidR="00E161C1" w:rsidRPr="00E161C1" w:rsidRDefault="00E161C1" w:rsidP="00E161C1">
      <w:pPr>
        <w:pStyle w:val="TOC9"/>
        <w:keepNext/>
        <w:rPr>
          <w:rFonts w:asciiTheme="minorHAnsi" w:eastAsiaTheme="minorEastAsia" w:hAnsiTheme="minorHAnsi" w:cstheme="minorBidi"/>
          <w:noProof/>
          <w:sz w:val="22"/>
          <w:lang w:val="fr-BE" w:eastAsia="en-GB"/>
        </w:rPr>
      </w:pPr>
      <w:r>
        <w:rPr>
          <w:noProof/>
        </w:rPr>
        <w:t>Coopération dans des secteurs particuliers en dehors des quatre libertés</w:t>
      </w:r>
      <w:r>
        <w:rPr>
          <w:noProof/>
        </w:rPr>
        <w:tab/>
      </w:r>
      <w:r>
        <w:rPr>
          <w:noProof/>
        </w:rPr>
        <w:fldChar w:fldCharType="begin"/>
      </w:r>
      <w:r>
        <w:rPr>
          <w:noProof/>
        </w:rPr>
        <w:instrText xml:space="preserve"> PAGEREF \h _Toc526838762 \* MERGEFORMAT </w:instrText>
      </w:r>
      <w:r>
        <w:rPr>
          <w:noProof/>
        </w:rPr>
      </w:r>
      <w:r>
        <w:rPr>
          <w:noProof/>
        </w:rPr>
        <w:fldChar w:fldCharType="separate"/>
      </w:r>
      <w:r>
        <w:rPr>
          <w:noProof/>
        </w:rPr>
        <w:t>13</w:t>
      </w:r>
      <w:r>
        <w:rPr>
          <w:noProof/>
        </w:rPr>
        <w:fldChar w:fldCharType="end"/>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Accord EEE - Incorporation de la législation de l'UE</w:t>
      </w:r>
      <w:r>
        <w:rPr>
          <w:noProof/>
        </w:rPr>
        <w:tab/>
      </w:r>
      <w:r>
        <w:rPr>
          <w:noProof/>
        </w:rPr>
        <w:fldChar w:fldCharType="begin"/>
      </w:r>
      <w:r>
        <w:rPr>
          <w:noProof/>
        </w:rPr>
        <w:instrText xml:space="preserve"> PAGEREF \h _Toc526838763 \* MERGEFORMAT </w:instrText>
      </w:r>
      <w:r>
        <w:rPr>
          <w:noProof/>
        </w:rPr>
      </w:r>
      <w:r>
        <w:rPr>
          <w:noProof/>
        </w:rPr>
        <w:fldChar w:fldCharType="separate"/>
      </w:r>
      <w:r>
        <w:rPr>
          <w:noProof/>
        </w:rPr>
        <w:t>13</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COMMERCE</w:t>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Négociations au sein de l'OMC concernant la répartition des contingents tarifaires de l'Union en vue du Brexit</w:t>
      </w:r>
      <w:r>
        <w:rPr>
          <w:noProof/>
        </w:rPr>
        <w:tab/>
      </w:r>
      <w:r>
        <w:rPr>
          <w:noProof/>
        </w:rPr>
        <w:fldChar w:fldCharType="begin"/>
      </w:r>
      <w:r>
        <w:rPr>
          <w:noProof/>
        </w:rPr>
        <w:instrText xml:space="preserve"> PAGEREF \h _Toc526838765 \* MERGEFORMAT </w:instrText>
      </w:r>
      <w:r>
        <w:rPr>
          <w:noProof/>
        </w:rPr>
      </w:r>
      <w:r>
        <w:rPr>
          <w:noProof/>
        </w:rPr>
        <w:fldChar w:fldCharType="separate"/>
      </w:r>
      <w:r>
        <w:rPr>
          <w:noProof/>
        </w:rPr>
        <w:t>14</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AGRICULTURE</w:t>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Rapport de la Cour des comptes européenne sur le régime de paiement de base dans le cadre de la PAC: conclusions du Conseil</w:t>
      </w:r>
      <w:r>
        <w:rPr>
          <w:noProof/>
        </w:rPr>
        <w:tab/>
      </w:r>
      <w:r>
        <w:rPr>
          <w:noProof/>
        </w:rPr>
        <w:fldChar w:fldCharType="begin"/>
      </w:r>
      <w:r>
        <w:rPr>
          <w:noProof/>
        </w:rPr>
        <w:instrText xml:space="preserve"> PAGEREF \h _Toc526838767 \* MERGEFORMAT </w:instrText>
      </w:r>
      <w:r>
        <w:rPr>
          <w:noProof/>
        </w:rPr>
      </w:r>
      <w:r>
        <w:rPr>
          <w:noProof/>
        </w:rPr>
        <w:fldChar w:fldCharType="separate"/>
      </w:r>
      <w:r>
        <w:rPr>
          <w:noProof/>
        </w:rPr>
        <w:t>14</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TRANSPORTS</w:t>
      </w:r>
    </w:p>
    <w:p w:rsidR="00E161C1" w:rsidRDefault="00E161C1" w:rsidP="00E161C1">
      <w:pPr>
        <w:pStyle w:val="TOC9"/>
        <w:keepNext/>
        <w:rPr>
          <w:rFonts w:asciiTheme="minorHAnsi" w:eastAsiaTheme="minorEastAsia" w:hAnsiTheme="minorHAnsi" w:cstheme="minorBidi"/>
          <w:noProof/>
          <w:sz w:val="22"/>
          <w:lang w:val="en-GB" w:eastAsia="en-GB"/>
        </w:rPr>
      </w:pPr>
      <w:r>
        <w:rPr>
          <w:noProof/>
        </w:rPr>
        <w:t>Sécurité de l'aviation civile</w:t>
      </w:r>
      <w:r>
        <w:rPr>
          <w:noProof/>
        </w:rPr>
        <w:tab/>
      </w:r>
      <w:r>
        <w:rPr>
          <w:noProof/>
        </w:rPr>
        <w:fldChar w:fldCharType="begin"/>
      </w:r>
      <w:r>
        <w:rPr>
          <w:noProof/>
        </w:rPr>
        <w:instrText xml:space="preserve"> PAGEREF \h _Toc526838769 \* MERGEFORMAT </w:instrText>
      </w:r>
      <w:r>
        <w:rPr>
          <w:noProof/>
        </w:rPr>
      </w:r>
      <w:r>
        <w:rPr>
          <w:noProof/>
        </w:rPr>
        <w:fldChar w:fldCharType="separate"/>
      </w:r>
      <w:r>
        <w:rPr>
          <w:noProof/>
        </w:rPr>
        <w:t>15</w:t>
      </w:r>
      <w:r>
        <w:rPr>
          <w:noProof/>
        </w:rPr>
        <w:fldChar w:fldCharType="end"/>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Accords avec la Chine concernant l'aviation</w:t>
      </w:r>
      <w:r>
        <w:rPr>
          <w:noProof/>
        </w:rPr>
        <w:tab/>
      </w:r>
      <w:r>
        <w:rPr>
          <w:noProof/>
        </w:rPr>
        <w:fldChar w:fldCharType="begin"/>
      </w:r>
      <w:r>
        <w:rPr>
          <w:noProof/>
        </w:rPr>
        <w:instrText xml:space="preserve"> PAGEREF \h _Toc526838770 \* MERGEFORMAT </w:instrText>
      </w:r>
      <w:r>
        <w:rPr>
          <w:noProof/>
        </w:rPr>
      </w:r>
      <w:r>
        <w:rPr>
          <w:noProof/>
        </w:rPr>
        <w:fldChar w:fldCharType="separate"/>
      </w:r>
      <w:r>
        <w:rPr>
          <w:noProof/>
        </w:rPr>
        <w:t>15</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SANTÉ</w:t>
      </w:r>
    </w:p>
    <w:p w:rsidR="00E161C1" w:rsidRPr="00E161C1" w:rsidRDefault="00E161C1" w:rsidP="00E161C1">
      <w:pPr>
        <w:pStyle w:val="TOC9"/>
        <w:rPr>
          <w:rFonts w:asciiTheme="minorHAnsi" w:eastAsiaTheme="minorEastAsia" w:hAnsiTheme="minorHAnsi" w:cstheme="minorBidi"/>
          <w:noProof/>
          <w:sz w:val="22"/>
          <w:lang w:val="fr-BE" w:eastAsia="en-GB"/>
        </w:rPr>
      </w:pPr>
      <w:r>
        <w:rPr>
          <w:noProof/>
        </w:rPr>
        <w:t>Alimentation - Règlement sur les arômes</w:t>
      </w:r>
      <w:r>
        <w:rPr>
          <w:noProof/>
        </w:rPr>
        <w:tab/>
      </w:r>
      <w:r>
        <w:rPr>
          <w:noProof/>
        </w:rPr>
        <w:fldChar w:fldCharType="begin"/>
      </w:r>
      <w:r>
        <w:rPr>
          <w:noProof/>
        </w:rPr>
        <w:instrText xml:space="preserve"> PAGEREF \h _Toc526838772 \* MERGEFORMAT </w:instrText>
      </w:r>
      <w:r>
        <w:rPr>
          <w:noProof/>
        </w:rPr>
      </w:r>
      <w:r>
        <w:rPr>
          <w:noProof/>
        </w:rPr>
        <w:fldChar w:fldCharType="separate"/>
      </w:r>
      <w:r>
        <w:rPr>
          <w:noProof/>
        </w:rPr>
        <w:t>15</w:t>
      </w:r>
      <w:r>
        <w:rPr>
          <w:noProof/>
        </w:rPr>
        <w:fldChar w:fldCharType="end"/>
      </w:r>
    </w:p>
    <w:p w:rsidR="00E161C1" w:rsidRDefault="00E161C1" w:rsidP="00E161C1">
      <w:pPr>
        <w:pStyle w:val="TOC8"/>
        <w:rPr>
          <w:rFonts w:asciiTheme="minorHAnsi" w:eastAsiaTheme="minorEastAsia" w:hAnsiTheme="minorHAnsi" w:cstheme="minorBidi"/>
          <w:i w:val="0"/>
          <w:noProof/>
          <w:sz w:val="22"/>
          <w:lang w:val="en-GB" w:eastAsia="en-GB"/>
        </w:rPr>
      </w:pPr>
      <w:r>
        <w:rPr>
          <w:noProof/>
        </w:rPr>
        <w:t>CULTURE</w:t>
      </w:r>
    </w:p>
    <w:p w:rsidR="00E161C1" w:rsidRDefault="00E161C1" w:rsidP="00E161C1">
      <w:pPr>
        <w:pStyle w:val="TOC9"/>
      </w:pPr>
      <w:r>
        <w:rPr>
          <w:noProof/>
        </w:rPr>
        <w:t>Approche stratégique de l'UE dans le domaine des relations culturelles internationales</w:t>
      </w:r>
      <w:r>
        <w:rPr>
          <w:noProof/>
        </w:rPr>
        <w:tab/>
      </w:r>
      <w:r>
        <w:rPr>
          <w:noProof/>
        </w:rPr>
        <w:fldChar w:fldCharType="begin"/>
      </w:r>
      <w:r>
        <w:rPr>
          <w:noProof/>
        </w:rPr>
        <w:instrText xml:space="preserve"> PAGEREF \h _Toc526838774 \* MERGEFORMAT </w:instrText>
      </w:r>
      <w:r>
        <w:rPr>
          <w:noProof/>
        </w:rPr>
      </w:r>
      <w:r>
        <w:rPr>
          <w:noProof/>
        </w:rPr>
        <w:fldChar w:fldCharType="separate"/>
      </w:r>
      <w:r>
        <w:rPr>
          <w:noProof/>
        </w:rPr>
        <w:t>16</w:t>
      </w:r>
      <w:r>
        <w:rPr>
          <w:noProof/>
        </w:rPr>
        <w:fldChar w:fldCharType="end"/>
      </w:r>
    </w:p>
    <w:p w:rsidR="00E161C1" w:rsidRPr="00413DC1" w:rsidRDefault="00E161C1" w:rsidP="00104CF8">
      <w:pPr>
        <w:sectPr w:rsidR="00E161C1" w:rsidRPr="00413DC1" w:rsidSect="002862E2">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104CF8" w:rsidRPr="00413DC1" w:rsidRDefault="00673919" w:rsidP="00673919">
      <w:pPr>
        <w:pStyle w:val="ItemsDebatedHeading"/>
      </w:pPr>
      <w:r w:rsidRPr="00413DC1">
        <w:lastRenderedPageBreak/>
        <w:t>POINTS AYANT FAIT L'OBJET D'UN DÉBAT</w:t>
      </w:r>
    </w:p>
    <w:p w:rsidR="00ED0F71" w:rsidRPr="00413DC1" w:rsidRDefault="00ED0F71" w:rsidP="00ED0F71">
      <w:pPr>
        <w:pStyle w:val="Sub-itemDebated"/>
      </w:pPr>
      <w:bookmarkStart w:id="6" w:name="_Toc526838740"/>
      <w:r w:rsidRPr="00413DC1">
        <w:t>Élargissement</w:t>
      </w:r>
      <w:bookmarkEnd w:id="6"/>
      <w:r w:rsidRPr="00413DC1">
        <w:t xml:space="preserve"> </w:t>
      </w:r>
    </w:p>
    <w:p w:rsidR="00ED0F71" w:rsidRPr="00413DC1" w:rsidRDefault="00ED0F71" w:rsidP="00ED0F71">
      <w:r w:rsidRPr="00413DC1">
        <w:t xml:space="preserve">Le Conseil a débattu de la politique d'élargissement de l'UE et du processus de stabilisation et d'association. Il a adopté des </w:t>
      </w:r>
      <w:hyperlink r:id="rId17" w:history="1">
        <w:r w:rsidRPr="00DB67C7">
          <w:rPr>
            <w:rStyle w:val="Hyperlink"/>
            <w:color w:val="0000FF"/>
          </w:rPr>
          <w:t>conclusions</w:t>
        </w:r>
      </w:hyperlink>
      <w:r w:rsidRPr="00413DC1">
        <w:t xml:space="preserve"> sur ces questions. </w:t>
      </w:r>
    </w:p>
    <w:p w:rsidR="00ED0F71" w:rsidRPr="00413DC1" w:rsidRDefault="00ED0F71" w:rsidP="00ED0F71">
      <w:r w:rsidRPr="00413DC1">
        <w:t>Le débat a eu lieu à la lumière de la communication et des rapports annuels de la Commission concernant la Turquie, le Monténégro, la Serbie, l'ancienne République yougoslave de Macédoine, l'Albanie, la Bosnie</w:t>
      </w:r>
      <w:r w:rsidRPr="00413DC1">
        <w:noBreakHyphen/>
        <w:t xml:space="preserve">Herzégovine et le Kosovo. </w:t>
      </w:r>
    </w:p>
    <w:p w:rsidR="00ED0F71" w:rsidRPr="00413DC1" w:rsidRDefault="00ED0F71" w:rsidP="00ED0F71">
      <w:r w:rsidRPr="00413DC1">
        <w:t>Dans ses conclusions, le Conseil réaffirme son attachement au pr</w:t>
      </w:r>
      <w:r w:rsidR="00E161C1">
        <w:t>ocessus d'élargissement et à la </w:t>
      </w:r>
      <w:r w:rsidRPr="00413DC1">
        <w:t xml:space="preserve">perspective européenne des pays des Balkans occidentaux. </w:t>
      </w:r>
    </w:p>
    <w:p w:rsidR="00ED0F71" w:rsidRPr="00413DC1" w:rsidRDefault="00ED0F71" w:rsidP="00ED0F71">
      <w:r w:rsidRPr="00413DC1">
        <w:t xml:space="preserve">Le Conseil réaffirme également la nécessité d'appliquer une conditionnalité équitable et rigoureuse et le principe des mérites propres, conjugués à la capacité de l'UE, dans toutes ses dimensions, d'intégrer de nouveaux membres, conformément au consensus renouvelé sur l'élargissement approuvé par le Conseil européen en 2006. </w:t>
      </w:r>
    </w:p>
    <w:p w:rsidR="00ED0F71" w:rsidRPr="00413DC1" w:rsidRDefault="00ED0F71" w:rsidP="00ED0F71">
      <w:r w:rsidRPr="00413DC1">
        <w:t>L'accent restera mis sur les réformes fondamentales dans les domaines de l'État de droit, des droits fondamentaux, du développement économique et de la compétitivité, du renforcement des institutions démocratiques et de la réforme de l'administration publique. Il demeure essentiel de présenter un bilan solide de la mise en œuvre des réformes et d'obtenir des résultats concrets et tangibles dans ces secteurs clés, notamment pour assurer le rythme général des négociations d'adhésion.</w:t>
      </w:r>
    </w:p>
    <w:p w:rsidR="00ED0F71" w:rsidRPr="00413DC1" w:rsidRDefault="00ED0F71" w:rsidP="00ED0F71">
      <w:r w:rsidRPr="00413DC1">
        <w:t xml:space="preserve">Le Conseil est convenu de répondre favorablement aux progrès accomplis par l'ancienne République yougoslave de Macédoine et l'Albanie, et de poser les jalons en vue de l'ouverture de négociations d'adhésion avec ces deux pays en juin 2019. </w:t>
      </w:r>
    </w:p>
    <w:p w:rsidR="00ED0F71" w:rsidRPr="00413DC1" w:rsidRDefault="00ED0F71" w:rsidP="00ED0F71">
      <w:pPr>
        <w:pStyle w:val="Sub-itemDebated"/>
      </w:pPr>
      <w:r w:rsidRPr="00413DC1">
        <w:br w:type="page"/>
      </w:r>
      <w:bookmarkStart w:id="7" w:name="_Toc526838741"/>
      <w:r w:rsidRPr="00413DC1">
        <w:lastRenderedPageBreak/>
        <w:t>Conseil européen de juin</w:t>
      </w:r>
      <w:bookmarkEnd w:id="7"/>
      <w:r w:rsidRPr="00413DC1">
        <w:t xml:space="preserve"> </w:t>
      </w:r>
    </w:p>
    <w:p w:rsidR="00ED0F71" w:rsidRPr="00413DC1" w:rsidRDefault="00ED0F71" w:rsidP="00ED0F71">
      <w:r w:rsidRPr="00413DC1">
        <w:t xml:space="preserve">Le Conseil a achevé les préparatifs de la réunion du Conseil européen du 28 juin 2018 en examinant le projet de conclusions. </w:t>
      </w:r>
    </w:p>
    <w:p w:rsidR="00ED0F71" w:rsidRPr="00413DC1" w:rsidRDefault="00ED0F71" w:rsidP="00ED0F71">
      <w:r w:rsidRPr="00413DC1">
        <w:t>Le Conseil européen axera ses travaux sur les thèmes suivants:</w:t>
      </w:r>
    </w:p>
    <w:p w:rsidR="00ED0F71" w:rsidRPr="00413DC1" w:rsidRDefault="00ED0F71" w:rsidP="009C7907">
      <w:pPr>
        <w:pStyle w:val="Tiret0"/>
      </w:pPr>
      <w:r w:rsidRPr="00413DC1">
        <w:t>migrations: les dirigeants de l'UE devraient aborder les dimensions intérieure et extérieure de la politique migratoire, y compris la réforme du régime d'asile européen commun.</w:t>
      </w:r>
    </w:p>
    <w:p w:rsidR="00ED0F71" w:rsidRPr="00413DC1" w:rsidRDefault="00ED0F71" w:rsidP="00ED0F71">
      <w:pPr>
        <w:pStyle w:val="Tiret0"/>
      </w:pPr>
      <w:r w:rsidRPr="00413DC1">
        <w:t xml:space="preserve">sécurité et défense: les dirigeants devraient débattre de </w:t>
      </w:r>
      <w:r w:rsidR="00E161C1">
        <w:t>la coopération UE-OTAN avant le </w:t>
      </w:r>
      <w:r w:rsidRPr="00413DC1">
        <w:t>sommet de l'OTAN de juillet et fournir des orientat</w:t>
      </w:r>
      <w:r w:rsidR="00E161C1">
        <w:t>ions sur les futurs travaux, en </w:t>
      </w:r>
      <w:r w:rsidRPr="00413DC1">
        <w:t xml:space="preserve">particulier sur la coopération structurée permanente. Le Conseil européen abordera également la mobilité militaire, le Fonds européen de la défense, le programme européen de développement industriel dans le domaine de la défense et la politique de sécurité et de défense commune civile. </w:t>
      </w:r>
    </w:p>
    <w:p w:rsidR="00ED0F71" w:rsidRPr="00413DC1" w:rsidRDefault="00ED0F71" w:rsidP="00F13B57">
      <w:pPr>
        <w:pStyle w:val="Tiret0"/>
      </w:pPr>
      <w:r w:rsidRPr="00413DC1">
        <w:t>économie et finance: les dirigeants devraient adopter des conclusions sur plusieurs questions débattues récemment dans le cadre du programme des d</w:t>
      </w:r>
      <w:r w:rsidR="00E161C1">
        <w:t>irigeants, telles que la </w:t>
      </w:r>
      <w:r w:rsidRPr="00413DC1">
        <w:t xml:space="preserve">fiscalité, l'innovation et les questions numériques. Le Conseil européen approuvera également les recommandations par pays au titre du Semestre européen 2018 et discutera de la question du traitement futur du cadre financier pluriannuel, y compris un calendrier. Les dirigeants devraient également discuter du commerce. </w:t>
      </w:r>
    </w:p>
    <w:p w:rsidR="00ED0F71" w:rsidRPr="00413DC1" w:rsidRDefault="00ED0F71" w:rsidP="00ED0F71">
      <w:pPr>
        <w:pStyle w:val="Tiret0"/>
      </w:pPr>
      <w:r w:rsidRPr="00413DC1">
        <w:t>relations extérieures: le Conseil européen examinera ce point à la lumière des évolutions les plus récentes.</w:t>
      </w:r>
    </w:p>
    <w:p w:rsidR="00ED0F71" w:rsidRPr="00413DC1" w:rsidRDefault="00ED0F71" w:rsidP="00ED0F71">
      <w:r w:rsidRPr="00413DC1">
        <w:t xml:space="preserve">Le Conseil européen devrait également adopter une décision fixant la composition du Parlement européen. </w:t>
      </w:r>
    </w:p>
    <w:p w:rsidR="00ED0F71" w:rsidRPr="00413DC1" w:rsidRDefault="00ED0F71" w:rsidP="00ED0F71">
      <w:pPr>
        <w:pStyle w:val="Sub-itemDebated"/>
      </w:pPr>
      <w:r w:rsidRPr="00413DC1">
        <w:br w:type="page"/>
      </w:r>
      <w:bookmarkStart w:id="8" w:name="_Toc526838742"/>
      <w:r w:rsidRPr="00413DC1">
        <w:lastRenderedPageBreak/>
        <w:t>Semestre européen</w:t>
      </w:r>
      <w:bookmarkEnd w:id="8"/>
    </w:p>
    <w:p w:rsidR="00ED0F71" w:rsidRPr="00413DC1" w:rsidRDefault="00ED0F71" w:rsidP="00ED0F71">
      <w:r w:rsidRPr="00413DC1">
        <w:t>Dans le cadre du processus du Semestre européen, le Conseil a approuvé des recommandations intégrées par pays et les a transmises au Conseil européen afin qu'il les approuve.</w:t>
      </w:r>
    </w:p>
    <w:p w:rsidR="00ED0F71" w:rsidRPr="00413DC1" w:rsidRDefault="00ED0F71" w:rsidP="00ED0F71">
      <w:r w:rsidRPr="00413DC1">
        <w:t>Les recommandations par pays fournissent chaque année aux États membres des orientations concernant les réformes nationales. Elles adaptent au niveau nationa</w:t>
      </w:r>
      <w:r w:rsidR="00E161C1">
        <w:t>l les priorités répertoriées au </w:t>
      </w:r>
      <w:r w:rsidRPr="00413DC1">
        <w:t xml:space="preserve">niveau de l'UE. </w:t>
      </w:r>
    </w:p>
    <w:p w:rsidR="00ED0F71" w:rsidRPr="00413DC1" w:rsidRDefault="00ED0F71" w:rsidP="00F13B57">
      <w:r w:rsidRPr="00413DC1">
        <w:t xml:space="preserve">Après approbation du Conseil européen, elles devraient être formellement adoptées par le Conseil en juillet. </w:t>
      </w:r>
    </w:p>
    <w:p w:rsidR="00ED0F71" w:rsidRPr="00413DC1" w:rsidRDefault="00ED0F71" w:rsidP="00ED0F71">
      <w:pPr>
        <w:pStyle w:val="Sub-itemDebated"/>
      </w:pPr>
      <w:bookmarkStart w:id="9" w:name="_Toc526838743"/>
      <w:r w:rsidRPr="00413DC1">
        <w:t>Accord interinstitutionnel "Mieux légiférer"</w:t>
      </w:r>
      <w:bookmarkEnd w:id="9"/>
    </w:p>
    <w:p w:rsidR="00ED0F71" w:rsidRPr="00413DC1" w:rsidRDefault="00ED0F71" w:rsidP="00ED0F71">
      <w:r w:rsidRPr="00413DC1">
        <w:t xml:space="preserve">Les ministres se sont penchés sur la mise en œuvre de l'accord interinstitutionnel "Mieux légiférer" en prenant appui sur une </w:t>
      </w:r>
      <w:hyperlink r:id="rId18" w:history="1">
        <w:r w:rsidRPr="00DB67C7">
          <w:rPr>
            <w:rStyle w:val="Hyperlink"/>
            <w:color w:val="0000FF"/>
          </w:rPr>
          <w:t>note</w:t>
        </w:r>
      </w:hyperlink>
      <w:r w:rsidRPr="00413DC1">
        <w:t xml:space="preserve"> de la présidence.</w:t>
      </w:r>
    </w:p>
    <w:p w:rsidR="00ED0F71" w:rsidRPr="00413DC1" w:rsidRDefault="00ED0F71" w:rsidP="00F13B57">
      <w:r w:rsidRPr="00413DC1">
        <w:t>L'accord interinstitutionnel "Mieux légiférer" prévoit une coo</w:t>
      </w:r>
      <w:r w:rsidR="00E161C1">
        <w:t>pération plus étroite entre les </w:t>
      </w:r>
      <w:r w:rsidRPr="00413DC1">
        <w:t>institutions dans un certain nombre de domaines, en pa</w:t>
      </w:r>
      <w:r w:rsidR="00E161C1">
        <w:t>rticulier pour ce qui est de la </w:t>
      </w:r>
      <w:r w:rsidRPr="00413DC1">
        <w:t xml:space="preserve">programmation législative. Il couvre également les analyses d'impact et les consultations publiques, les actes délégués et les actes d'exécution, la transparence, </w:t>
      </w:r>
      <w:r w:rsidR="00E161C1">
        <w:t>la simplification et la mise en </w:t>
      </w:r>
      <w:r w:rsidRPr="00413DC1">
        <w:t xml:space="preserve">œuvre du droit de l'UE. Plusieurs dispositions nécessitent un suivi. </w:t>
      </w:r>
    </w:p>
    <w:p w:rsidR="00ED0F71" w:rsidRPr="00413DC1" w:rsidRDefault="00ED0F71" w:rsidP="00ED0F71">
      <w:r w:rsidRPr="00413DC1">
        <w:t>Les principaux axes des travaux du Conseil au cours du premier semestre 2018 étaient les suivants:</w:t>
      </w:r>
    </w:p>
    <w:p w:rsidR="00ED0F71" w:rsidRPr="00413DC1" w:rsidRDefault="00ED0F71" w:rsidP="00ED0F71">
      <w:pPr>
        <w:pStyle w:val="Tiret0"/>
      </w:pPr>
      <w:r w:rsidRPr="00413DC1">
        <w:t xml:space="preserve">suivi des progrès accomplis au titre de la </w:t>
      </w:r>
      <w:hyperlink r:id="rId19" w:history="1">
        <w:r w:rsidRPr="00DB67C7">
          <w:rPr>
            <w:rStyle w:val="Hyperlink"/>
            <w:color w:val="0000FF"/>
          </w:rPr>
          <w:t>déclaration commune</w:t>
        </w:r>
      </w:hyperlink>
      <w:r w:rsidRPr="00413DC1">
        <w:t xml:space="preserve"> sur les priorités législatives de l'UE pour la période 2018-2019</w:t>
      </w:r>
    </w:p>
    <w:p w:rsidR="00ED0F71" w:rsidRPr="00413DC1" w:rsidRDefault="00ED0F71" w:rsidP="006921A4">
      <w:pPr>
        <w:pStyle w:val="Tiret0"/>
      </w:pPr>
      <w:r w:rsidRPr="00413DC1">
        <w:t xml:space="preserve">négociations interinstitutionnelles sur la coopération et l'échange d'informations concernant les accords internationaux </w:t>
      </w:r>
    </w:p>
    <w:p w:rsidR="00ED0F71" w:rsidRPr="00413DC1" w:rsidRDefault="00ED0F71" w:rsidP="00ED0F71">
      <w:pPr>
        <w:pStyle w:val="Tiret0"/>
      </w:pPr>
      <w:r w:rsidRPr="00413DC1">
        <w:t xml:space="preserve">travaux relatifs au traitement des analyses d'impact au sein du Conseil </w:t>
      </w:r>
    </w:p>
    <w:p w:rsidR="00ED0F71" w:rsidRPr="00413DC1" w:rsidRDefault="00ED0F71" w:rsidP="00ED0F71">
      <w:pPr>
        <w:pStyle w:val="Tiret0"/>
      </w:pPr>
      <w:r w:rsidRPr="00413DC1">
        <w:t xml:space="preserve">négociations concernant des critères non contraignants de délimitation entre les actes délégués et les actes d'exécution </w:t>
      </w:r>
    </w:p>
    <w:p w:rsidR="00ED0F71" w:rsidRPr="00413DC1" w:rsidRDefault="00ED0F71" w:rsidP="00ED0F71">
      <w:pPr>
        <w:pStyle w:val="Tiret0"/>
      </w:pPr>
      <w:r w:rsidRPr="00413DC1">
        <w:t>travaux au niveau technique concernant la transparence et la communication tout au long du cycle législatif, notamment une base de données comm</w:t>
      </w:r>
      <w:r w:rsidR="00E161C1">
        <w:t>une sur l'état d'avancement des </w:t>
      </w:r>
      <w:r w:rsidRPr="00413DC1">
        <w:t>dossiers législatifs</w:t>
      </w:r>
    </w:p>
    <w:p w:rsidR="00ED0F71" w:rsidRPr="00413DC1" w:rsidRDefault="00ED0F71" w:rsidP="00ED0F71">
      <w:pPr>
        <w:rPr>
          <w:b/>
        </w:rPr>
      </w:pPr>
    </w:p>
    <w:p w:rsidR="00ED0F71" w:rsidRPr="00413DC1" w:rsidRDefault="00A26D22" w:rsidP="00A26D22">
      <w:pPr>
        <w:pStyle w:val="Sub-itemDebated"/>
      </w:pPr>
      <w:r w:rsidRPr="00413DC1">
        <w:br w:type="page"/>
      </w:r>
      <w:bookmarkStart w:id="10" w:name="_Toc526838744"/>
      <w:r w:rsidRPr="00413DC1">
        <w:lastRenderedPageBreak/>
        <w:t>État de droit en Pologne</w:t>
      </w:r>
      <w:bookmarkEnd w:id="10"/>
    </w:p>
    <w:p w:rsidR="00ED0F71" w:rsidRPr="00413DC1" w:rsidRDefault="00ED0F71" w:rsidP="00ED0F71">
      <w:r w:rsidRPr="00413DC1">
        <w:t xml:space="preserve">Le Conseil a procédé à une audition en vertu de l'article 7, paragraphe 1, du TUE concernant l'État de droit en Pologne. </w:t>
      </w:r>
    </w:p>
    <w:p w:rsidR="00ED0F71" w:rsidRPr="00413DC1" w:rsidRDefault="00ED0F71" w:rsidP="00ED0F71">
      <w:r w:rsidRPr="00413DC1">
        <w:t>Cette audition a permis aux ministres d'avoir un échange app</w:t>
      </w:r>
      <w:r w:rsidR="00E161C1">
        <w:t>rofondi avec la Pologne sur les </w:t>
      </w:r>
      <w:r w:rsidRPr="00413DC1">
        <w:t xml:space="preserve">préoccupations dont la Commission a fait état dans sa proposition motivée. </w:t>
      </w:r>
    </w:p>
    <w:p w:rsidR="00ED0F71" w:rsidRPr="00413DC1" w:rsidRDefault="00ED0F71" w:rsidP="00A26D22">
      <w:pPr>
        <w:pStyle w:val="Sub-itemDebated"/>
      </w:pPr>
      <w:bookmarkStart w:id="11" w:name="_Toc526838745"/>
      <w:r w:rsidRPr="00413DC1">
        <w:t>Prochain cadre financier pluriannuel</w:t>
      </w:r>
      <w:bookmarkEnd w:id="11"/>
    </w:p>
    <w:p w:rsidR="00ED0F71" w:rsidRPr="00413DC1" w:rsidRDefault="00ED0F71" w:rsidP="00ED0F71">
      <w:pPr>
        <w:rPr>
          <w:bCs/>
        </w:rPr>
      </w:pPr>
      <w:r w:rsidRPr="00413DC1">
        <w:t>Au cours du déjeuner, les ministres ont discuté avec le commissaire O</w:t>
      </w:r>
      <w:r w:rsidR="00E161C1">
        <w:t>ettinger des propositions de la </w:t>
      </w:r>
      <w:r w:rsidRPr="00413DC1">
        <w:t xml:space="preserve">Commission concernant le cadre financier pluriannuel pour la période 2021-2027. </w:t>
      </w:r>
    </w:p>
    <w:p w:rsidR="00ED0F71" w:rsidRPr="00413DC1" w:rsidRDefault="00ED0F71" w:rsidP="00ED0F71">
      <w:pPr>
        <w:rPr>
          <w:b/>
          <w:bCs/>
          <w:i/>
          <w:iCs/>
          <w:u w:val="single"/>
        </w:rPr>
      </w:pPr>
    </w:p>
    <w:p w:rsidR="00104CF8" w:rsidRPr="00413DC1" w:rsidRDefault="00104CF8" w:rsidP="00104CF8">
      <w:pPr>
        <w:sectPr w:rsidR="00104CF8" w:rsidRPr="00413DC1" w:rsidSect="002862E2">
          <w:footnotePr>
            <w:numRestart w:val="eachPage"/>
          </w:footnotePr>
          <w:pgSz w:w="11907" w:h="16839"/>
          <w:pgMar w:top="1134" w:right="1134" w:bottom="1134" w:left="1134" w:header="567" w:footer="567" w:gutter="0"/>
          <w:cols w:space="720"/>
          <w:docGrid w:linePitch="360"/>
        </w:sectPr>
      </w:pPr>
    </w:p>
    <w:p w:rsidR="00104CF8" w:rsidRPr="00413DC1" w:rsidRDefault="00673919" w:rsidP="00E161C1">
      <w:pPr>
        <w:pStyle w:val="ItemsApprovedHeading"/>
        <w:spacing w:line="252" w:lineRule="auto"/>
      </w:pPr>
      <w:r w:rsidRPr="00413DC1">
        <w:lastRenderedPageBreak/>
        <w:t>AUTRES POINTS APPROUVÉS</w:t>
      </w:r>
    </w:p>
    <w:p w:rsidR="00621201" w:rsidRPr="00413DC1" w:rsidRDefault="00621201" w:rsidP="00E161C1">
      <w:pPr>
        <w:pStyle w:val="ItemApproved"/>
        <w:spacing w:line="252" w:lineRule="auto"/>
      </w:pPr>
      <w:r w:rsidRPr="00413DC1">
        <w:t>AFFAIRES GÉNÉRALES</w:t>
      </w:r>
    </w:p>
    <w:p w:rsidR="00621201" w:rsidRPr="00413DC1" w:rsidRDefault="00621201" w:rsidP="00E161C1">
      <w:pPr>
        <w:pStyle w:val="Sub-itemApproved"/>
        <w:spacing w:line="252" w:lineRule="auto"/>
      </w:pPr>
      <w:bookmarkStart w:id="12" w:name="_Toc526838747"/>
      <w:r w:rsidRPr="00413DC1">
        <w:t>Initiative citoyenne européenne</w:t>
      </w:r>
      <w:bookmarkEnd w:id="12"/>
    </w:p>
    <w:p w:rsidR="00621201" w:rsidRPr="00413DC1" w:rsidRDefault="00621201" w:rsidP="00E161C1">
      <w:pPr>
        <w:spacing w:line="252" w:lineRule="auto"/>
        <w:rPr>
          <w:rFonts w:asciiTheme="majorBidi" w:hAnsiTheme="majorBidi" w:cstheme="majorBidi"/>
          <w:szCs w:val="24"/>
        </w:rPr>
      </w:pPr>
      <w:r w:rsidRPr="00413DC1">
        <w:rPr>
          <w:rFonts w:asciiTheme="majorBidi" w:hAnsiTheme="majorBidi"/>
          <w:szCs w:val="24"/>
        </w:rPr>
        <w:t xml:space="preserve">Le Conseil a arrêté sa position de négociation sur une proposition de révision de l'initiative citoyenne européenne. Ces nouvelles règles visent à faciliter le </w:t>
      </w:r>
      <w:r w:rsidR="00E161C1">
        <w:rPr>
          <w:rFonts w:asciiTheme="majorBidi" w:hAnsiTheme="majorBidi"/>
          <w:szCs w:val="24"/>
        </w:rPr>
        <w:t>lancement d'initiatives et leur </w:t>
      </w:r>
      <w:r w:rsidRPr="00413DC1">
        <w:rPr>
          <w:rFonts w:asciiTheme="majorBidi" w:hAnsiTheme="majorBidi"/>
          <w:szCs w:val="24"/>
        </w:rPr>
        <w:t>soutien, et à renforcer l'incidence de l'instrument. La position du</w:t>
      </w:r>
      <w:r w:rsidR="00E161C1">
        <w:rPr>
          <w:rFonts w:asciiTheme="majorBidi" w:hAnsiTheme="majorBidi"/>
          <w:szCs w:val="24"/>
        </w:rPr>
        <w:t xml:space="preserve"> Conseil servira de mandat à la </w:t>
      </w:r>
      <w:r w:rsidRPr="00413DC1">
        <w:rPr>
          <w:rFonts w:asciiTheme="majorBidi" w:hAnsiTheme="majorBidi"/>
          <w:szCs w:val="24"/>
        </w:rPr>
        <w:t>présidence autrichienne pour entamer des négociations avec le Parlement européen, une fois que le Parlement aura arrêté sa position de négociation.</w:t>
      </w:r>
    </w:p>
    <w:p w:rsidR="00621201" w:rsidRPr="00413DC1" w:rsidRDefault="00621201" w:rsidP="00E161C1">
      <w:pPr>
        <w:spacing w:line="252" w:lineRule="auto"/>
        <w:rPr>
          <w:rFonts w:asciiTheme="majorBidi" w:hAnsiTheme="majorBidi" w:cstheme="majorBidi"/>
          <w:szCs w:val="24"/>
        </w:rPr>
      </w:pPr>
      <w:r w:rsidRPr="00413DC1">
        <w:rPr>
          <w:rFonts w:asciiTheme="majorBidi" w:hAnsiTheme="majorBidi"/>
          <w:szCs w:val="24"/>
        </w:rPr>
        <w:t>Dans son mandat de négociation, le Conseil appuie la plupart d</w:t>
      </w:r>
      <w:r w:rsidR="00E161C1">
        <w:rPr>
          <w:rFonts w:asciiTheme="majorBidi" w:hAnsiTheme="majorBidi"/>
          <w:szCs w:val="24"/>
        </w:rPr>
        <w:t>es suggestions formulées par la </w:t>
      </w:r>
      <w:r w:rsidRPr="00413DC1">
        <w:rPr>
          <w:rFonts w:asciiTheme="majorBidi" w:hAnsiTheme="majorBidi"/>
          <w:szCs w:val="24"/>
        </w:rPr>
        <w:t>Commission. Il s'agit de propositions visant à:</w:t>
      </w:r>
    </w:p>
    <w:p w:rsidR="00621201" w:rsidRPr="00413DC1" w:rsidRDefault="00621201" w:rsidP="00E161C1">
      <w:pPr>
        <w:pStyle w:val="Tiret0"/>
        <w:spacing w:line="252" w:lineRule="auto"/>
      </w:pPr>
      <w:r w:rsidRPr="00413DC1">
        <w:t xml:space="preserve">améliorer les informations et l'assistance fournies aux organisateurs, y compris la création de points de contact dans les États membres et une plateforme collaborative en ligne </w:t>
      </w:r>
    </w:p>
    <w:p w:rsidR="00621201" w:rsidRPr="00413DC1" w:rsidRDefault="00621201" w:rsidP="00E161C1">
      <w:pPr>
        <w:pStyle w:val="Tiret0"/>
        <w:spacing w:line="252" w:lineRule="auto"/>
      </w:pPr>
      <w:r w:rsidRPr="00413DC1">
        <w:t xml:space="preserve">rendre possible l'enregistrement partiel des initiatives </w:t>
      </w:r>
    </w:p>
    <w:p w:rsidR="00621201" w:rsidRPr="00413DC1" w:rsidRDefault="00621201" w:rsidP="00E161C1">
      <w:pPr>
        <w:pStyle w:val="Tiret0"/>
        <w:spacing w:line="252" w:lineRule="auto"/>
      </w:pPr>
      <w:r w:rsidRPr="00413DC1">
        <w:t xml:space="preserve">traduire l'ensemble des initiatives dans toutes les langues de l'UE </w:t>
      </w:r>
    </w:p>
    <w:p w:rsidR="00621201" w:rsidRPr="00413DC1" w:rsidRDefault="00621201" w:rsidP="00E161C1">
      <w:pPr>
        <w:pStyle w:val="Tiret0"/>
        <w:spacing w:line="252" w:lineRule="auto"/>
      </w:pPr>
      <w:r w:rsidRPr="00413DC1">
        <w:t xml:space="preserve">permettre aux organisateurs de choisir la date de début de la période de collecte de 12 mois </w:t>
      </w:r>
    </w:p>
    <w:p w:rsidR="00621201" w:rsidRPr="00413DC1" w:rsidRDefault="00621201" w:rsidP="00E161C1">
      <w:pPr>
        <w:pStyle w:val="Tiret0"/>
        <w:spacing w:line="252" w:lineRule="auto"/>
      </w:pPr>
      <w:r w:rsidRPr="00413DC1">
        <w:t xml:space="preserve">fournir un service en ligne gratuit pour la collecte </w:t>
      </w:r>
      <w:r w:rsidR="00E161C1">
        <w:t>des signatures, qui permette le </w:t>
      </w:r>
      <w:r w:rsidRPr="00413DC1">
        <w:t xml:space="preserve">téléchargement des signatures collectées sur papier, et utiliser l'identification électronique en tant que support </w:t>
      </w:r>
    </w:p>
    <w:p w:rsidR="00621201" w:rsidRPr="00413DC1" w:rsidRDefault="00621201" w:rsidP="00E161C1">
      <w:pPr>
        <w:pStyle w:val="Tiret0"/>
        <w:spacing w:line="252" w:lineRule="auto"/>
      </w:pPr>
      <w:r w:rsidRPr="00413DC1">
        <w:t xml:space="preserve">permettre aux citoyens de l'UE de soutenir une initiative quel que soit leur pays de résidence </w:t>
      </w:r>
    </w:p>
    <w:p w:rsidR="00621201" w:rsidRPr="00413DC1" w:rsidRDefault="00621201" w:rsidP="00E161C1">
      <w:pPr>
        <w:pStyle w:val="Tiret0"/>
        <w:spacing w:line="252" w:lineRule="auto"/>
      </w:pPr>
      <w:r w:rsidRPr="00413DC1">
        <w:t>prolonger la phase d'examen et prévoir une audition p</w:t>
      </w:r>
      <w:r w:rsidR="00E161C1">
        <w:t>ublique plus inclusive pour les </w:t>
      </w:r>
      <w:r w:rsidRPr="00413DC1">
        <w:t>initiatives fructueuses</w:t>
      </w:r>
    </w:p>
    <w:p w:rsidR="00621201" w:rsidRPr="00413DC1" w:rsidRDefault="00621201" w:rsidP="00E161C1">
      <w:pPr>
        <w:spacing w:line="252" w:lineRule="auto"/>
        <w:rPr>
          <w:rFonts w:asciiTheme="majorBidi" w:hAnsiTheme="majorBidi" w:cstheme="majorBidi"/>
          <w:szCs w:val="24"/>
        </w:rPr>
      </w:pPr>
      <w:r w:rsidRPr="00413DC1">
        <w:rPr>
          <w:rFonts w:asciiTheme="majorBidi" w:hAnsiTheme="majorBidi"/>
          <w:szCs w:val="24"/>
        </w:rPr>
        <w:t>En ce qui concerne l'âge minimal pour soutenir une initiative citoyenne européenne, le Conseil préfère conserver le système actuel, dans le cadre duquel les initiativ</w:t>
      </w:r>
      <w:r w:rsidR="00E161C1">
        <w:rPr>
          <w:rFonts w:asciiTheme="majorBidi" w:hAnsiTheme="majorBidi"/>
          <w:szCs w:val="24"/>
        </w:rPr>
        <w:t>es peuvent être signées par les </w:t>
      </w:r>
      <w:r w:rsidRPr="00413DC1">
        <w:rPr>
          <w:rFonts w:asciiTheme="majorBidi" w:hAnsiTheme="majorBidi"/>
          <w:szCs w:val="24"/>
        </w:rPr>
        <w:t>citoyens de l'UE en âge de voter aux élections au Parlement européen.</w:t>
      </w:r>
    </w:p>
    <w:p w:rsidR="00621201" w:rsidRPr="00413DC1" w:rsidRDefault="00621201" w:rsidP="00E161C1">
      <w:pPr>
        <w:spacing w:line="252" w:lineRule="auto"/>
        <w:rPr>
          <w:rFonts w:asciiTheme="majorBidi" w:hAnsiTheme="majorBidi" w:cstheme="majorBidi"/>
          <w:szCs w:val="24"/>
        </w:rPr>
      </w:pPr>
      <w:r w:rsidRPr="00413DC1">
        <w:rPr>
          <w:rFonts w:asciiTheme="majorBidi" w:hAnsiTheme="majorBidi"/>
          <w:szCs w:val="24"/>
        </w:rPr>
        <w:t xml:space="preserve">Étant donné qu'un système commun de collecte des signatures sera mis à disposition, gratuitement, le Conseil propose également de mettre fin à l'utilisation des systèmes particuliers de collecte. Cela simplifierait la procédure pour les organisateurs comme pour les autorités nationales.  </w:t>
      </w:r>
    </w:p>
    <w:p w:rsidR="00621201" w:rsidRPr="00413DC1" w:rsidRDefault="00621201" w:rsidP="00E161C1">
      <w:pPr>
        <w:spacing w:line="252" w:lineRule="auto"/>
      </w:pPr>
      <w:r w:rsidRPr="00413DC1">
        <w:t xml:space="preserve">Pour en savoir plus, voir le </w:t>
      </w:r>
      <w:hyperlink r:id="rId20" w:history="1">
        <w:r w:rsidRPr="00DB67C7">
          <w:rPr>
            <w:rStyle w:val="Hyperlink"/>
            <w:color w:val="0000FF"/>
          </w:rPr>
          <w:t>communiqué de presse</w:t>
        </w:r>
      </w:hyperlink>
      <w:r w:rsidRPr="00413DC1">
        <w:rPr>
          <w:rStyle w:val="Hyperlink"/>
        </w:rPr>
        <w:t>.</w:t>
      </w:r>
    </w:p>
    <w:p w:rsidR="00621201" w:rsidRPr="00413DC1" w:rsidRDefault="00621201" w:rsidP="00B41427">
      <w:pPr>
        <w:pStyle w:val="Sub-itemApproved"/>
      </w:pPr>
      <w:r w:rsidRPr="00413DC1">
        <w:br w:type="page"/>
      </w:r>
      <w:bookmarkStart w:id="13" w:name="_Toc526838748"/>
      <w:r w:rsidRPr="00413DC1">
        <w:lastRenderedPageBreak/>
        <w:t>Composition du Parlement européen</w:t>
      </w:r>
      <w:bookmarkEnd w:id="13"/>
    </w:p>
    <w:p w:rsidR="00621201" w:rsidRPr="00413DC1" w:rsidRDefault="00621201" w:rsidP="00EE12D4">
      <w:pPr>
        <w:rPr>
          <w:rFonts w:asciiTheme="majorBidi" w:hAnsiTheme="majorBidi" w:cstheme="majorBidi"/>
          <w:szCs w:val="24"/>
        </w:rPr>
      </w:pPr>
      <w:r w:rsidRPr="00413DC1">
        <w:t>Le Conseil a recommandé au Conseil européen d'adopter la décis</w:t>
      </w:r>
      <w:r w:rsidR="00E161C1">
        <w:t>ion fixant la composition du </w:t>
      </w:r>
      <w:r w:rsidRPr="00413DC1">
        <w:t>Parlement européen, telle qu'elle figure dans le document </w:t>
      </w:r>
      <w:hyperlink r:id="rId21" w:history="1">
        <w:r w:rsidRPr="00DB67C7">
          <w:rPr>
            <w:rStyle w:val="Hyperlink"/>
            <w:rFonts w:asciiTheme="majorBidi" w:hAnsiTheme="majorBidi"/>
            <w:color w:val="0000FF"/>
            <w:szCs w:val="24"/>
          </w:rPr>
          <w:t>EUCO 7/18 REV 1</w:t>
        </w:r>
      </w:hyperlink>
      <w:r w:rsidRPr="00413DC1">
        <w:t>.</w:t>
      </w:r>
      <w:r w:rsidRPr="00413DC1">
        <w:rPr>
          <w:rFonts w:asciiTheme="majorBidi" w:hAnsiTheme="majorBidi"/>
          <w:szCs w:val="24"/>
        </w:rPr>
        <w:t xml:space="preserve"> </w:t>
      </w:r>
    </w:p>
    <w:p w:rsidR="00621201" w:rsidRPr="00413DC1" w:rsidRDefault="00621201" w:rsidP="00B41427">
      <w:pPr>
        <w:pStyle w:val="Sub-itemApproved"/>
      </w:pPr>
      <w:bookmarkStart w:id="14" w:name="_Toc526838749"/>
      <w:r w:rsidRPr="00413DC1">
        <w:t>Règlement de procédure du Tribunal</w:t>
      </w:r>
      <w:bookmarkEnd w:id="14"/>
    </w:p>
    <w:p w:rsidR="00621201" w:rsidRPr="00413DC1" w:rsidRDefault="00621201" w:rsidP="00004559">
      <w:r w:rsidRPr="00413DC1">
        <w:t>Le Conseil a approuvé des modifications du règlement de procédure du Tribunal qui visent à rendre obligatoire l'utilisation de l'application informatique e-Curia pour le dépôt des actes de procédure et les significations effectuées par le greffe du Tribunal dans le cadre des procédures d</w:t>
      </w:r>
      <w:r w:rsidR="00E161C1">
        <w:t>evant le </w:t>
      </w:r>
      <w:r w:rsidRPr="00413DC1">
        <w:t>Tribunal.</w:t>
      </w:r>
    </w:p>
    <w:p w:rsidR="00621201" w:rsidRPr="00413DC1" w:rsidRDefault="00621201" w:rsidP="00EE12D4">
      <w:pPr>
        <w:rPr>
          <w:rFonts w:asciiTheme="majorBidi" w:hAnsiTheme="majorBidi" w:cstheme="majorBidi"/>
          <w:szCs w:val="24"/>
        </w:rPr>
      </w:pPr>
      <w:r w:rsidRPr="00413DC1">
        <w:rPr>
          <w:rFonts w:asciiTheme="majorBidi" w:hAnsiTheme="majorBidi"/>
          <w:szCs w:val="24"/>
        </w:rPr>
        <w:t xml:space="preserve">Le règlement de procédure du Tribunal est établi par le Tribunal en accord avec la Cour de justice. Il doit être approuvé par le Conseil. </w:t>
      </w:r>
    </w:p>
    <w:p w:rsidR="00680FF1" w:rsidRPr="00413DC1" w:rsidRDefault="00680FF1" w:rsidP="00680FF1">
      <w:pPr>
        <w:pStyle w:val="Sub-itemApproved"/>
      </w:pPr>
      <w:bookmarkStart w:id="15" w:name="_Toc526838750"/>
      <w:r w:rsidRPr="00413DC1">
        <w:t>Plan d'action pour la stratégie de sûreté maritime de l'UE (SSMUE)</w:t>
      </w:r>
      <w:bookmarkEnd w:id="15"/>
    </w:p>
    <w:p w:rsidR="00CA085F" w:rsidRPr="00413DC1" w:rsidRDefault="00CA085F" w:rsidP="00EE12D4">
      <w:r w:rsidRPr="00413DC1">
        <w:t>Le Conseil a adopté des conclusions sur la révision du plan d'action pour la stratégie de sûreté maritime de l'UE (SSMUE).</w:t>
      </w:r>
    </w:p>
    <w:p w:rsidR="00CA085F" w:rsidRPr="00413DC1" w:rsidRDefault="00CA085F" w:rsidP="00EE12D4">
      <w:r w:rsidRPr="00413DC1">
        <w:t xml:space="preserve">90 % du commerce extérieur de l'UE et 40 % de son commerce intérieur se font par voie maritime. La sûreté et la sécurité sur les mers et les océans revêtent une </w:t>
      </w:r>
      <w:r w:rsidR="00E161C1">
        <w:t>importance fondamentale pour le </w:t>
      </w:r>
      <w:r w:rsidRPr="00413DC1">
        <w:t>libre-échange, l'économie de l'UE et le niveau de vie. </w:t>
      </w:r>
    </w:p>
    <w:p w:rsidR="00CA085F" w:rsidRPr="00413DC1" w:rsidRDefault="00CA085F" w:rsidP="00EE12D4">
      <w:r w:rsidRPr="00413DC1">
        <w:t>L'UE a des intérêts mais également des responsabilités en matière de sûreté maritime mondiale. C'est pourquoi l'UE contribue activement à la sûreté et la sécurité sur les mers et les océans dans différentes régions du monde, en recourant à plusieurs des instruments dont elle dispose, comme l'instrument contribuant à la stabilité et à la paix et le Fonds euro</w:t>
      </w:r>
      <w:r w:rsidR="00E161C1">
        <w:t>péen de développement, et à des </w:t>
      </w:r>
      <w:r w:rsidRPr="00413DC1">
        <w:t>politiques de l'UE comme la politique de sécurité et de défense commune.</w:t>
      </w:r>
    </w:p>
    <w:p w:rsidR="00CA085F" w:rsidRPr="00413DC1" w:rsidRDefault="00CA085F" w:rsidP="00A6455A">
      <w:r w:rsidRPr="00413DC1">
        <w:t xml:space="preserve">Le plan d'action pour la stratégie de sûreté maritime de l'UE a été </w:t>
      </w:r>
      <w:r w:rsidR="00E161C1">
        <w:t>adopté pour la première fois le </w:t>
      </w:r>
      <w:r w:rsidRPr="00413DC1">
        <w:t>16 décembre 2014, afin de contribuer à préserver les intérêts de l'UE et à protéger ses États membres et ses citoyens. Il vise à répondre aux risques et aux menaces maritimes à l'échelle mondiale, y compris la criminalité transfrontière et organisée, les menaces pesant sur la liberté de navigation, les menaces à l'égard de la biodiversité, la pêche illicite, non déclarée et non réglementée, ou encore la dégradation de l'environnement liée à des rejets illégaux ou accidentels. </w:t>
      </w:r>
    </w:p>
    <w:p w:rsidR="00CA085F" w:rsidRPr="00413DC1" w:rsidRDefault="00680FF1" w:rsidP="006921A4">
      <w:r w:rsidRPr="00413DC1">
        <w:br w:type="page"/>
      </w:r>
      <w:r w:rsidRPr="00413DC1">
        <w:lastRenderedPageBreak/>
        <w:t>La révision adoptée ce jour permet un processus d'établissement de rapports plus ciblé afin de mieux informer et d'assurer un meilleur suivi de la stratégie. Le plan d'action réunit les aspects intérieurs et extérieurs de la sûreté maritime de l'Union. Les actions prévues dans le plan d'action contribuent aussi à la mise en œuvre de la stratégie globale de l'UE, de la stratégie de sécurité intérieure renouvelée de l'UE 2015-2020, des conclusions du Conseil sur la sûreté maritime mondiale et de la communication conjointe sur la gouvernance internationale des océans.</w:t>
      </w:r>
    </w:p>
    <w:p w:rsidR="00CA085F" w:rsidRPr="00413DC1" w:rsidRDefault="00CA085F" w:rsidP="00EE12D4">
      <w:r w:rsidRPr="00413DC1">
        <w:t xml:space="preserve">Pour en savoir plus, voir les </w:t>
      </w:r>
      <w:hyperlink r:id="rId22" w:history="1">
        <w:r w:rsidRPr="00DB67C7">
          <w:rPr>
            <w:rStyle w:val="Hyperlink"/>
            <w:color w:val="0000FF"/>
          </w:rPr>
          <w:t>conclusions du Conseil</w:t>
        </w:r>
      </w:hyperlink>
      <w:r w:rsidRPr="00413DC1">
        <w:t>.</w:t>
      </w:r>
    </w:p>
    <w:p w:rsidR="009D253E" w:rsidRPr="00413DC1" w:rsidRDefault="009D253E" w:rsidP="009D253E">
      <w:pPr>
        <w:pStyle w:val="ItemApproved"/>
        <w:spacing w:before="120"/>
      </w:pPr>
      <w:r w:rsidRPr="00413DC1">
        <w:t>AFFAIRES ÉTRANGÈRES</w:t>
      </w:r>
    </w:p>
    <w:p w:rsidR="009D253E" w:rsidRPr="00413DC1" w:rsidRDefault="009D253E" w:rsidP="009D253E">
      <w:pPr>
        <w:pStyle w:val="Sub-itemApproved"/>
      </w:pPr>
      <w:bookmarkStart w:id="16" w:name="_Toc526838752"/>
      <w:r w:rsidRPr="00413DC1">
        <w:t>Accord de partenariat stratégique entre l'UE et le Japon</w:t>
      </w:r>
      <w:bookmarkEnd w:id="16"/>
    </w:p>
    <w:p w:rsidR="009D253E" w:rsidRPr="00413DC1" w:rsidRDefault="009D253E" w:rsidP="009D253E">
      <w:r w:rsidRPr="00413DC1">
        <w:t xml:space="preserve">Le Conseil a adopté une décision relative à la signature et à l'application provisoire d'un accord de partenariat stratégique entre l'UE et le Japon. L'objectif de l'accord est de renforcer la coopération et le dialogue sur un large éventail de questions bilatérales, régionales et multilatérales. L'accord met en évidence les valeurs partagées et les principes communs qui </w:t>
      </w:r>
      <w:r w:rsidR="00E161C1">
        <w:t>constituent le fondement du </w:t>
      </w:r>
      <w:r w:rsidRPr="00413DC1">
        <w:t>partenariat entre l'UE et le Japon, y compris les droits de l'homme, la démocratie et l'État de droit.</w:t>
      </w:r>
    </w:p>
    <w:p w:rsidR="009D253E" w:rsidRPr="00413DC1" w:rsidRDefault="009D253E" w:rsidP="009D253E">
      <w:r w:rsidRPr="00413DC1">
        <w:t>Le 29 novembre 2012, le Conseil a autorisé la Commission et la haute représentante de l'Union pour les affaires étrangères et la politique de sécurité à entamer des négociations avec le Japon en vue d'un accord-cadre. Les négociations sur l'accord-cadre ont abouti en avril 2018.</w:t>
      </w:r>
    </w:p>
    <w:p w:rsidR="009D253E" w:rsidRPr="00413DC1" w:rsidRDefault="002862E2" w:rsidP="009D253E">
      <w:pPr>
        <w:rPr>
          <w:color w:val="000000" w:themeColor="text1"/>
        </w:rPr>
      </w:pPr>
      <w:hyperlink r:id="rId23" w:history="1">
        <w:r w:rsidR="001F714D" w:rsidRPr="00DB67C7">
          <w:rPr>
            <w:rStyle w:val="Hyperlink"/>
            <w:color w:val="0000FF"/>
          </w:rPr>
          <w:t>Délégation de l'UE au Japon</w:t>
        </w:r>
      </w:hyperlink>
    </w:p>
    <w:p w:rsidR="00621201" w:rsidRPr="00413DC1" w:rsidRDefault="009D253E" w:rsidP="00EE12D4">
      <w:pPr>
        <w:pStyle w:val="ItemApproved"/>
        <w:spacing w:before="120"/>
      </w:pPr>
      <w:r w:rsidRPr="00413DC1">
        <w:br w:type="page"/>
        <w:t>QUESTIONS BUDGÉTAIRES</w:t>
      </w:r>
    </w:p>
    <w:p w:rsidR="00621201" w:rsidRPr="00413DC1" w:rsidRDefault="00621201" w:rsidP="00B41427">
      <w:pPr>
        <w:pStyle w:val="Sub-itemApproved"/>
      </w:pPr>
      <w:bookmarkStart w:id="17" w:name="_Toc526838754"/>
      <w:r w:rsidRPr="00413DC1">
        <w:t>Cadre financier pluriannuel - rapport sur l'état d'avancement des travaux</w:t>
      </w:r>
      <w:bookmarkEnd w:id="17"/>
    </w:p>
    <w:p w:rsidR="00621201" w:rsidRPr="00413DC1" w:rsidRDefault="00621201" w:rsidP="00EE12D4">
      <w:pPr>
        <w:rPr>
          <w:rFonts w:asciiTheme="majorBidi" w:eastAsia="Calibri" w:hAnsiTheme="majorBidi" w:cstheme="majorBidi"/>
          <w:i/>
          <w:szCs w:val="24"/>
        </w:rPr>
      </w:pPr>
      <w:r w:rsidRPr="00413DC1">
        <w:rPr>
          <w:rFonts w:asciiTheme="majorBidi" w:hAnsiTheme="majorBidi"/>
          <w:szCs w:val="24"/>
        </w:rPr>
        <w:t xml:space="preserve">Le Conseil a pris acte d'un rapport sur l'état d'avancement des travaux, élaboré par la présidence, résumant les travaux effectués au sein du Conseil sur l'ensemble de propositions concernant le cadre financier pluriannuel pour la période 2021-2027. </w:t>
      </w:r>
    </w:p>
    <w:p w:rsidR="00621201" w:rsidRPr="00413DC1" w:rsidRDefault="00621201" w:rsidP="00EE12D4">
      <w:pPr>
        <w:pStyle w:val="Sub-itemApproved"/>
        <w:spacing w:before="120"/>
        <w:rPr>
          <w:rFonts w:asciiTheme="majorBidi" w:hAnsiTheme="majorBidi" w:cstheme="majorBidi"/>
        </w:rPr>
      </w:pPr>
      <w:bookmarkStart w:id="18" w:name="_Toc526838755"/>
      <w:r w:rsidRPr="00413DC1">
        <w:rPr>
          <w:rFonts w:asciiTheme="majorBidi" w:hAnsiTheme="majorBidi"/>
        </w:rPr>
        <w:t>Mobilisation du Fonds européen d'ajustement à la mondialisation en faveur de la France</w:t>
      </w:r>
      <w:bookmarkEnd w:id="18"/>
    </w:p>
    <w:p w:rsidR="00621201" w:rsidRPr="00413DC1" w:rsidRDefault="00621201" w:rsidP="00EE12D4">
      <w:pPr>
        <w:rPr>
          <w:rFonts w:asciiTheme="majorBidi" w:hAnsiTheme="majorBidi" w:cstheme="majorBidi"/>
          <w:szCs w:val="24"/>
        </w:rPr>
      </w:pPr>
      <w:r w:rsidRPr="00413DC1">
        <w:t>Le Conseil a adopté une décision relative à la mobilisation d'un mon</w:t>
      </w:r>
      <w:r w:rsidR="00E161C1">
        <w:t>tant de 9,9 millions d'euros au </w:t>
      </w:r>
      <w:r w:rsidRPr="00413DC1">
        <w:t>titre du Fonds européen d'ajustement à la mondialisation (FEM) a</w:t>
      </w:r>
      <w:r w:rsidR="00E161C1">
        <w:t>fin d'apporter une aide à 1 858 </w:t>
      </w:r>
      <w:r w:rsidRPr="00413DC1">
        <w:t xml:space="preserve">travailleurs licenciés chez Air France </w:t>
      </w:r>
      <w:r w:rsidRPr="00413DC1">
        <w:rPr>
          <w:rFonts w:asciiTheme="majorBidi" w:hAnsiTheme="majorBidi"/>
          <w:szCs w:val="24"/>
        </w:rPr>
        <w:t>(</w:t>
      </w:r>
      <w:hyperlink r:id="rId24" w:history="1">
        <w:r w:rsidRPr="00DB67C7">
          <w:rPr>
            <w:rStyle w:val="Hyperlink"/>
            <w:rFonts w:asciiTheme="majorBidi" w:hAnsiTheme="majorBidi"/>
            <w:color w:val="0000FF"/>
            <w:szCs w:val="24"/>
          </w:rPr>
          <w:t>doc. 9302/18</w:t>
        </w:r>
      </w:hyperlink>
      <w:r w:rsidRPr="00413DC1">
        <w:rPr>
          <w:rFonts w:asciiTheme="majorBidi" w:hAnsiTheme="majorBidi"/>
          <w:szCs w:val="24"/>
        </w:rPr>
        <w:t xml:space="preserve">). </w:t>
      </w:r>
      <w:r w:rsidR="00E161C1">
        <w:rPr>
          <w:rFonts w:asciiTheme="majorBidi" w:hAnsiTheme="majorBidi"/>
          <w:szCs w:val="24"/>
        </w:rPr>
        <w:t>Ces licenciements sont dus à la </w:t>
      </w:r>
      <w:r w:rsidRPr="00413DC1">
        <w:rPr>
          <w:rFonts w:asciiTheme="majorBidi" w:hAnsiTheme="majorBidi"/>
          <w:szCs w:val="24"/>
        </w:rPr>
        <w:t>poursuite de modifications majeures de la structure du c</w:t>
      </w:r>
      <w:r w:rsidR="00E161C1">
        <w:rPr>
          <w:rFonts w:asciiTheme="majorBidi" w:hAnsiTheme="majorBidi"/>
          <w:szCs w:val="24"/>
        </w:rPr>
        <w:t>ommerce mondial résultant de la </w:t>
      </w:r>
      <w:r w:rsidRPr="00413DC1">
        <w:rPr>
          <w:rFonts w:asciiTheme="majorBidi" w:hAnsiTheme="majorBidi"/>
          <w:szCs w:val="24"/>
        </w:rPr>
        <w:t>mondialisation.</w:t>
      </w:r>
    </w:p>
    <w:p w:rsidR="00621201" w:rsidRPr="00413DC1" w:rsidRDefault="00621201" w:rsidP="002B4A47">
      <w:pPr>
        <w:rPr>
          <w:rFonts w:asciiTheme="majorBidi" w:hAnsiTheme="majorBidi" w:cstheme="majorBidi"/>
          <w:szCs w:val="24"/>
        </w:rPr>
      </w:pPr>
      <w:r w:rsidRPr="00413DC1">
        <w:rPr>
          <w:rFonts w:asciiTheme="majorBidi" w:hAnsiTheme="majorBidi"/>
          <w:szCs w:val="24"/>
        </w:rPr>
        <w:t>Le FEM aide les travailleurs à retrouver un emploi et à développer de nouvelles compétences lorsqu'ils ont perdu leur emploi à la suite d'une modification de la structure du commerce mondial, par exemple lorsqu'une grande entreprise ferme ou qu'une usine est déplacée à l'extérieur de l'UE, ou à la suite de la crise financière et économique mondiale. L'aide</w:t>
      </w:r>
      <w:r w:rsidR="00E161C1">
        <w:rPr>
          <w:rFonts w:asciiTheme="majorBidi" w:hAnsiTheme="majorBidi"/>
          <w:szCs w:val="24"/>
        </w:rPr>
        <w:t xml:space="preserve"> octroyée par le FEM consiste à </w:t>
      </w:r>
      <w:r w:rsidRPr="00413DC1">
        <w:rPr>
          <w:rFonts w:asciiTheme="majorBidi" w:hAnsiTheme="majorBidi"/>
          <w:szCs w:val="24"/>
        </w:rPr>
        <w:t>cofinancer des mesures telles que l'aide à la recherche d'emploi, l'</w:t>
      </w:r>
      <w:r w:rsidR="00E161C1">
        <w:rPr>
          <w:rFonts w:asciiTheme="majorBidi" w:hAnsiTheme="majorBidi"/>
          <w:szCs w:val="24"/>
        </w:rPr>
        <w:t>orientation professionnelle, la </w:t>
      </w:r>
      <w:r w:rsidRPr="00413DC1">
        <w:rPr>
          <w:rFonts w:asciiTheme="majorBidi" w:hAnsiTheme="majorBidi"/>
          <w:szCs w:val="24"/>
        </w:rPr>
        <w:t>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F447A7" w:rsidRPr="00413DC1" w:rsidRDefault="00680FF1" w:rsidP="00EA7890">
      <w:pPr>
        <w:pStyle w:val="ItemApproved"/>
      </w:pPr>
      <w:r w:rsidRPr="00413DC1">
        <w:br w:type="page"/>
        <w:t>AFFAIRES ÉCONOMIQUES ET FINANCIÈRES</w:t>
      </w:r>
    </w:p>
    <w:p w:rsidR="00F447A7" w:rsidRPr="00413DC1" w:rsidRDefault="00F447A7" w:rsidP="00EA7890">
      <w:pPr>
        <w:pStyle w:val="Sub-itemApproved"/>
      </w:pPr>
      <w:bookmarkStart w:id="19" w:name="_Toc526838757"/>
      <w:r w:rsidRPr="00413DC1">
        <w:t>Assistance macrofinancière à l'Ukraine</w:t>
      </w:r>
      <w:bookmarkEnd w:id="19"/>
    </w:p>
    <w:p w:rsidR="00F447A7" w:rsidRPr="00413DC1" w:rsidRDefault="00F447A7" w:rsidP="00F447A7">
      <w:r w:rsidRPr="00413DC1">
        <w:t>Le Conseil a adopté une décision sur une nouvelle assistance macrofinancière en faveur de l'Ukraine (</w:t>
      </w:r>
      <w:hyperlink r:id="rId25" w:tooltip="http://data.consilium.europa.eu/doc/document/ST-10071-2018-REV-2/fr/pdf" w:history="1">
        <w:r w:rsidRPr="00DB67C7">
          <w:rPr>
            <w:rStyle w:val="Hyperlink"/>
            <w:i/>
            <w:iCs/>
            <w:color w:val="0000FF"/>
          </w:rPr>
          <w:t>doc. 10071/2/18 REV 2</w:t>
        </w:r>
      </w:hyperlink>
      <w:r w:rsidRPr="00413DC1">
        <w:rPr>
          <w:i/>
          <w:iCs/>
        </w:rPr>
        <w:t xml:space="preserve"> + REV 1 ADD 1 REV 1 + </w:t>
      </w:r>
      <w:hyperlink r:id="rId26" w:tooltip="http://data.consilium.europa.eu/doc/document/PE-27-2018-INIT/fr/pdf" w:history="1">
        <w:r w:rsidRPr="00DB67C7">
          <w:rPr>
            <w:rStyle w:val="Hyperlink"/>
            <w:i/>
            <w:iCs/>
            <w:color w:val="0000FF"/>
          </w:rPr>
          <w:t>PE-CONS 27/18</w:t>
        </w:r>
      </w:hyperlink>
      <w:r w:rsidRPr="00413DC1">
        <w:t>).</w:t>
      </w:r>
    </w:p>
    <w:p w:rsidR="00F447A7" w:rsidRPr="00413DC1" w:rsidRDefault="00F447A7" w:rsidP="00F447A7">
      <w:r w:rsidRPr="00413DC1">
        <w:t xml:space="preserve">Une nouvelle enveloppe d'un milliard d'euros sous forme de prêts appuiera la stabilisation de l'économie et un programme de réformes structurelles, couvrant les besoins financiers de l'Ukraine sur une période de deux ans et demi. Elle viendra en complément </w:t>
      </w:r>
      <w:r w:rsidR="00E161C1">
        <w:t>des ressources accordées par le </w:t>
      </w:r>
      <w:r w:rsidRPr="00413DC1">
        <w:t>FMI et d'autres bailleurs de fonds.</w:t>
      </w:r>
    </w:p>
    <w:p w:rsidR="00F447A7" w:rsidRPr="00413DC1" w:rsidRDefault="00F447A7" w:rsidP="00F447A7">
      <w:r w:rsidRPr="00413DC1">
        <w:t>Il s'agit de la troisième enveloppe d'assistance macrofinancière en faveur de l'Ukraine depuis 2014. L'UE a promis 1,6 milliard d'euros en 2014 et 1,8 milliard en 2015, dont 2,8 milliards d'euros ont été reçus par l'Ukraine. En janvier 2018, le versement d'une tranche de 600 millions d'euros a été annulé pour non respect des conditions requises.</w:t>
      </w:r>
    </w:p>
    <w:p w:rsidR="00F447A7" w:rsidRPr="00413DC1" w:rsidRDefault="00F447A7" w:rsidP="00F447A7">
      <w:r w:rsidRPr="00413DC1">
        <w:t>Compte tenu de ce qui précède, le Parlement européen, le Consei</w:t>
      </w:r>
      <w:r w:rsidR="00E161C1">
        <w:t>l et la Commission ont fait une </w:t>
      </w:r>
      <w:r w:rsidRPr="00413DC1">
        <w:t>déclaration commune.</w:t>
      </w:r>
    </w:p>
    <w:p w:rsidR="00F447A7" w:rsidRPr="00413DC1" w:rsidRDefault="00F447A7" w:rsidP="00F447A7">
      <w:r w:rsidRPr="00413DC1">
        <w:t>Les nouveaux décaissements seront subordonnés au respect par l'Ukraine de mécanismes démocratiques et de l'État de droit, ainsi qu'à la garantie du respect des droits de l'homme. Ils seront subordonnés à des conditions de politique économique et à des condit</w:t>
      </w:r>
      <w:r w:rsidR="00E161C1">
        <w:t>ions financières, axées sur des </w:t>
      </w:r>
      <w:r w:rsidRPr="00413DC1">
        <w:t>réformes structurelles et des finances publiques saines, et comportant un cal</w:t>
      </w:r>
      <w:r w:rsidR="00E161C1">
        <w:t>endrier pour leur </w:t>
      </w:r>
      <w:r w:rsidRPr="00413DC1">
        <w:t>réalisation. Les conditions seront définies dans un protocole d'accord conclu entre l'Ukraine et la Commission.</w:t>
      </w:r>
    </w:p>
    <w:p w:rsidR="00F447A7" w:rsidRPr="00413DC1" w:rsidRDefault="00F447A7" w:rsidP="00F447A7">
      <w:r w:rsidRPr="00413DC1">
        <w:t>La Commission sera chargée de verser l'assistance macrofinancière. La Commission et le Service européen pour l</w:t>
      </w:r>
      <w:r w:rsidR="00E161C1">
        <w:t>'</w:t>
      </w:r>
      <w:r w:rsidRPr="00413DC1">
        <w:t>action extérieure contrôleront le respect des conditions.</w:t>
      </w:r>
    </w:p>
    <w:p w:rsidR="005D3BC8" w:rsidRPr="00413DC1" w:rsidRDefault="00093856" w:rsidP="00F447A7">
      <w:pPr>
        <w:pStyle w:val="ItemApproved"/>
      </w:pPr>
      <w:r w:rsidRPr="00413DC1">
        <w:t>JUSTICE</w:t>
      </w:r>
    </w:p>
    <w:p w:rsidR="005D3BC8" w:rsidRPr="00413DC1" w:rsidRDefault="005D3BC8" w:rsidP="005D3BC8">
      <w:pPr>
        <w:spacing w:line="240" w:lineRule="auto"/>
        <w:rPr>
          <w:rFonts w:asciiTheme="majorBidi" w:hAnsiTheme="majorBidi" w:cstheme="majorBidi"/>
          <w:b/>
          <w:bCs/>
          <w:szCs w:val="24"/>
        </w:rPr>
      </w:pPr>
      <w:r w:rsidRPr="00413DC1">
        <w:rPr>
          <w:rFonts w:asciiTheme="majorBidi" w:hAnsiTheme="majorBidi"/>
          <w:b/>
          <w:bCs/>
          <w:szCs w:val="24"/>
        </w:rPr>
        <w:t>Règlement remplaçant les annexes A et B du règlement (UE) 2015/848 relatif aux procédures d'insolvabilité</w:t>
      </w:r>
    </w:p>
    <w:p w:rsidR="005D3BC8" w:rsidRPr="00413DC1" w:rsidRDefault="005D3BC8" w:rsidP="005D3BC8">
      <w:pPr>
        <w:spacing w:line="240" w:lineRule="auto"/>
        <w:rPr>
          <w:rFonts w:asciiTheme="majorBidi" w:hAnsiTheme="majorBidi" w:cstheme="majorBidi"/>
          <w:szCs w:val="24"/>
        </w:rPr>
      </w:pPr>
      <w:r w:rsidRPr="00413DC1">
        <w:t xml:space="preserve">Le Conseil a adopté un règlement remplaçant les annexes A et B du règlement (UE) 2015/848 relatif aux procédures d'insolvabilité </w:t>
      </w:r>
      <w:r w:rsidRPr="00413DC1">
        <w:rPr>
          <w:rFonts w:asciiTheme="majorBidi" w:hAnsiTheme="majorBidi"/>
          <w:szCs w:val="24"/>
        </w:rPr>
        <w:t>(</w:t>
      </w:r>
      <w:hyperlink r:id="rId27" w:history="1">
        <w:r w:rsidRPr="00DB67C7">
          <w:rPr>
            <w:rStyle w:val="Hyperlink"/>
            <w:rFonts w:asciiTheme="majorBidi" w:hAnsiTheme="majorBidi"/>
            <w:color w:val="0000FF"/>
            <w:szCs w:val="24"/>
          </w:rPr>
          <w:t>doc. 10070/18</w:t>
        </w:r>
      </w:hyperlink>
      <w:r w:rsidRPr="00413DC1">
        <w:rPr>
          <w:rFonts w:asciiTheme="majorBidi" w:hAnsiTheme="majorBidi"/>
          <w:szCs w:val="24"/>
        </w:rPr>
        <w:t xml:space="preserve">). </w:t>
      </w:r>
    </w:p>
    <w:p w:rsidR="005D3BC8" w:rsidRPr="00413DC1" w:rsidRDefault="00680FF1" w:rsidP="00AF6774">
      <w:pPr>
        <w:pStyle w:val="Sub-itemApproved"/>
      </w:pPr>
      <w:r w:rsidRPr="00413DC1">
        <w:br w:type="page"/>
      </w:r>
      <w:bookmarkStart w:id="20" w:name="_Toc526838759"/>
      <w:r w:rsidRPr="00413DC1">
        <w:t>Conclusions du Conseil sur des lignes de conduite de l'UE</w:t>
      </w:r>
      <w:r w:rsidR="00E161C1">
        <w:t xml:space="preserve"> concernant le renforcement des </w:t>
      </w:r>
      <w:r w:rsidRPr="00413DC1">
        <w:t>cybercapacités externes</w:t>
      </w:r>
      <w:bookmarkEnd w:id="20"/>
    </w:p>
    <w:p w:rsidR="005D3BC8" w:rsidRPr="00413DC1" w:rsidRDefault="005D3BC8" w:rsidP="00A47394">
      <w:pPr>
        <w:spacing w:line="240" w:lineRule="auto"/>
        <w:rPr>
          <w:rFonts w:asciiTheme="majorBidi" w:hAnsiTheme="majorBidi" w:cstheme="majorBidi"/>
          <w:szCs w:val="24"/>
        </w:rPr>
      </w:pPr>
      <w:r w:rsidRPr="00413DC1">
        <w:t xml:space="preserve">Le Conseil a adopté des conclusions sur des lignes de conduite de l'UE concernant le renforcement des cybercapacités externes </w:t>
      </w:r>
      <w:r w:rsidRPr="00413DC1">
        <w:rPr>
          <w:rFonts w:asciiTheme="majorBidi" w:hAnsiTheme="majorBidi"/>
          <w:szCs w:val="24"/>
        </w:rPr>
        <w:t>(</w:t>
      </w:r>
      <w:hyperlink r:id="rId28" w:history="1">
        <w:r w:rsidRPr="00DB67C7">
          <w:rPr>
            <w:rStyle w:val="Hyperlink"/>
            <w:rFonts w:asciiTheme="majorBidi" w:hAnsiTheme="majorBidi"/>
            <w:color w:val="0000FF"/>
            <w:szCs w:val="24"/>
          </w:rPr>
          <w:t>10072/18</w:t>
        </w:r>
      </w:hyperlink>
      <w:r w:rsidRPr="00413DC1">
        <w:rPr>
          <w:rFonts w:asciiTheme="majorBidi" w:hAnsiTheme="majorBidi"/>
          <w:szCs w:val="24"/>
        </w:rPr>
        <w:t xml:space="preserve">). </w:t>
      </w:r>
    </w:p>
    <w:p w:rsidR="005D3BC8" w:rsidRPr="00413DC1" w:rsidRDefault="005D3BC8" w:rsidP="005D3BC8">
      <w:pPr>
        <w:spacing w:line="240" w:lineRule="auto"/>
        <w:rPr>
          <w:rFonts w:asciiTheme="majorBidi" w:hAnsiTheme="majorBidi" w:cstheme="majorBidi"/>
          <w:szCs w:val="24"/>
        </w:rPr>
      </w:pPr>
      <w:r w:rsidRPr="00413DC1">
        <w:rPr>
          <w:rFonts w:asciiTheme="majorBidi" w:hAnsiTheme="majorBidi"/>
          <w:szCs w:val="24"/>
        </w:rPr>
        <w:t>Ces conclusions fournissent des orientations pour établir une approche cohérente et globale, ainsi que pour tenir compte des considérations liées aux droits de l'homme et des valeurs de l'UE.</w:t>
      </w:r>
    </w:p>
    <w:p w:rsidR="005D3BC8" w:rsidRPr="00413DC1" w:rsidRDefault="005D3BC8" w:rsidP="00AF6774">
      <w:pPr>
        <w:pStyle w:val="Sub-itemApproved"/>
      </w:pPr>
      <w:bookmarkStart w:id="21" w:name="_Toc526838760"/>
      <w:r w:rsidRPr="00413DC1">
        <w:t>Décision du Conseil relative à la signature de la convention 108 modifiée pour la protection des données</w:t>
      </w:r>
      <w:bookmarkEnd w:id="21"/>
    </w:p>
    <w:p w:rsidR="005D3BC8" w:rsidRPr="00413DC1" w:rsidRDefault="005D3BC8" w:rsidP="005D3BC8">
      <w:pPr>
        <w:spacing w:line="240" w:lineRule="auto"/>
        <w:rPr>
          <w:rFonts w:asciiTheme="majorBidi" w:hAnsiTheme="majorBidi" w:cstheme="majorBidi"/>
          <w:szCs w:val="24"/>
        </w:rPr>
      </w:pPr>
      <w:r w:rsidRPr="00413DC1">
        <w:t>Le Conseil a adopté une décision autorisant les États membres à s</w:t>
      </w:r>
      <w:r w:rsidR="00E161C1">
        <w:t>igner la convention modifiée du </w:t>
      </w:r>
      <w:r w:rsidRPr="00413DC1">
        <w:t xml:space="preserve">Conseil de l'Europe pour la protection des données </w:t>
      </w:r>
      <w:r w:rsidRPr="00413DC1">
        <w:rPr>
          <w:rFonts w:asciiTheme="majorBidi" w:hAnsiTheme="majorBidi"/>
          <w:szCs w:val="24"/>
        </w:rPr>
        <w:t>(</w:t>
      </w:r>
      <w:hyperlink r:id="rId29" w:history="1">
        <w:r w:rsidRPr="00DB67C7">
          <w:rPr>
            <w:rStyle w:val="Hyperlink"/>
            <w:rFonts w:asciiTheme="majorBidi" w:hAnsiTheme="majorBidi"/>
            <w:color w:val="0000FF"/>
            <w:szCs w:val="24"/>
          </w:rPr>
          <w:t>10129/18</w:t>
        </w:r>
      </w:hyperlink>
      <w:r w:rsidRPr="00413DC1">
        <w:rPr>
          <w:rFonts w:asciiTheme="majorBidi" w:hAnsiTheme="majorBidi"/>
          <w:szCs w:val="24"/>
        </w:rPr>
        <w:t>).</w:t>
      </w:r>
    </w:p>
    <w:p w:rsidR="005D3BC8" w:rsidRPr="00413DC1" w:rsidRDefault="005D3BC8" w:rsidP="005D3BC8">
      <w:pPr>
        <w:spacing w:line="240" w:lineRule="auto"/>
        <w:rPr>
          <w:rFonts w:asciiTheme="majorBidi" w:hAnsiTheme="majorBidi" w:cstheme="majorBidi"/>
          <w:szCs w:val="24"/>
        </w:rPr>
      </w:pPr>
      <w:r w:rsidRPr="00413DC1">
        <w:rPr>
          <w:rFonts w:asciiTheme="majorBidi" w:hAnsiTheme="majorBidi"/>
          <w:szCs w:val="24"/>
        </w:rPr>
        <w:t>L'objectif de la modernisation de la convention 108 est double: d'une part mieux faire face aux défis résultant de l'utilisation des nouvelles technologies de l'information et de la communication, et d'autre part renforcer la mise en œuvre de la convention.</w:t>
      </w:r>
    </w:p>
    <w:p w:rsidR="00621201" w:rsidRPr="00413DC1" w:rsidRDefault="00621201" w:rsidP="00F447A7">
      <w:pPr>
        <w:pStyle w:val="ItemApproved"/>
      </w:pPr>
      <w:r w:rsidRPr="00413DC1">
        <w:t>ESPACE ÉCONOMIQUE EUROPÉEN</w:t>
      </w:r>
    </w:p>
    <w:p w:rsidR="00621201" w:rsidRPr="00413DC1" w:rsidRDefault="00621201" w:rsidP="00F447A7">
      <w:pPr>
        <w:pStyle w:val="Sub-itemApproved"/>
      </w:pPr>
      <w:bookmarkStart w:id="22" w:name="_Toc526838762"/>
      <w:r w:rsidRPr="00413DC1">
        <w:t>Coopération dans des secteurs particuliers en dehors des quatre libertés</w:t>
      </w:r>
      <w:bookmarkEnd w:id="22"/>
    </w:p>
    <w:p w:rsidR="00621201" w:rsidRPr="00413DC1" w:rsidRDefault="00621201" w:rsidP="00621201">
      <w:pPr>
        <w:spacing w:line="240" w:lineRule="auto"/>
        <w:rPr>
          <w:rFonts w:asciiTheme="majorBidi" w:hAnsiTheme="majorBidi" w:cstheme="majorBidi"/>
          <w:szCs w:val="24"/>
        </w:rPr>
      </w:pPr>
      <w:r w:rsidRPr="00413DC1">
        <w:t>Le Conseil a adopté deux décisions relatives aux positions à pr</w:t>
      </w:r>
      <w:r w:rsidR="00E161C1">
        <w:t>endre au nom de l'UE au sein du </w:t>
      </w:r>
      <w:r w:rsidRPr="00413DC1">
        <w:t>Comité mixte de l'Espace économique européen (EEE) en ce qu</w:t>
      </w:r>
      <w:r w:rsidR="00E161C1">
        <w:t>i concerne les modifications du </w:t>
      </w:r>
      <w:r w:rsidRPr="00413DC1">
        <w:t xml:space="preserve">protocole 31 de l'accord EEE concernant la coopération dans des secteurs particuliers en dehors des quatre libertés </w:t>
      </w:r>
      <w:r w:rsidRPr="00413DC1">
        <w:rPr>
          <w:rFonts w:asciiTheme="majorBidi" w:hAnsiTheme="majorBidi"/>
          <w:szCs w:val="24"/>
        </w:rPr>
        <w:t>(</w:t>
      </w:r>
      <w:hyperlink r:id="rId30" w:history="1">
        <w:r w:rsidRPr="00DB67C7">
          <w:rPr>
            <w:rStyle w:val="Hyperlink"/>
            <w:rFonts w:asciiTheme="majorBidi" w:hAnsiTheme="majorBidi"/>
            <w:color w:val="0000FF"/>
            <w:szCs w:val="24"/>
          </w:rPr>
          <w:t>9267/18</w:t>
        </w:r>
      </w:hyperlink>
      <w:r w:rsidRPr="00413DC1">
        <w:rPr>
          <w:rFonts w:asciiTheme="majorBidi" w:hAnsiTheme="majorBidi"/>
          <w:szCs w:val="24"/>
        </w:rPr>
        <w:t xml:space="preserve">, </w:t>
      </w:r>
      <w:hyperlink r:id="rId31" w:history="1">
        <w:r w:rsidRPr="00DB67C7">
          <w:rPr>
            <w:rStyle w:val="Hyperlink"/>
            <w:rFonts w:asciiTheme="majorBidi" w:hAnsiTheme="majorBidi"/>
            <w:color w:val="0000FF"/>
            <w:szCs w:val="24"/>
          </w:rPr>
          <w:t>9270/18</w:t>
        </w:r>
      </w:hyperlink>
      <w:r w:rsidRPr="00413DC1">
        <w:rPr>
          <w:rFonts w:asciiTheme="majorBidi" w:hAnsiTheme="majorBidi"/>
          <w:szCs w:val="24"/>
        </w:rPr>
        <w:t>)</w:t>
      </w:r>
      <w:r w:rsidRPr="00413DC1">
        <w:t>.</w:t>
      </w:r>
    </w:p>
    <w:p w:rsidR="00621201" w:rsidRPr="00413DC1" w:rsidRDefault="00621201" w:rsidP="00621201">
      <w:pPr>
        <w:spacing w:line="240" w:lineRule="auto"/>
        <w:rPr>
          <w:rFonts w:asciiTheme="majorBidi" w:hAnsiTheme="majorBidi" w:cstheme="majorBidi"/>
          <w:szCs w:val="24"/>
        </w:rPr>
      </w:pPr>
      <w:r w:rsidRPr="00413DC1">
        <w:rPr>
          <w:rFonts w:asciiTheme="majorBidi" w:hAnsiTheme="majorBidi"/>
          <w:szCs w:val="24"/>
        </w:rPr>
        <w:t>Ces deux décisions ont pour but de permettre aux parties contractantes à l'accord EEE de poursuivre leur coopération en ce qui concerne les actions de l'Union, financées par le budget général, relatives au droit des sociétés, au fonctionnement et au développement du ma</w:t>
      </w:r>
      <w:r w:rsidR="00E161C1">
        <w:rPr>
          <w:rFonts w:asciiTheme="majorBidi" w:hAnsiTheme="majorBidi"/>
          <w:szCs w:val="24"/>
        </w:rPr>
        <w:t>rché intérieur des biens et des </w:t>
      </w:r>
      <w:r w:rsidRPr="00413DC1">
        <w:rPr>
          <w:rFonts w:asciiTheme="majorBidi" w:hAnsiTheme="majorBidi"/>
          <w:szCs w:val="24"/>
        </w:rPr>
        <w:t>services et aux outils de gouvernance du marché intérieur.</w:t>
      </w:r>
    </w:p>
    <w:p w:rsidR="00621201" w:rsidRPr="00413DC1" w:rsidRDefault="00621201" w:rsidP="00AF6774">
      <w:pPr>
        <w:pStyle w:val="Sub-itemApproved"/>
      </w:pPr>
      <w:bookmarkStart w:id="23" w:name="_Toc526838763"/>
      <w:r w:rsidRPr="00413DC1">
        <w:t>Accord EEE - Incorporation de la législation de l'UE</w:t>
      </w:r>
      <w:bookmarkEnd w:id="23"/>
      <w:r w:rsidRPr="00413DC1">
        <w:t xml:space="preserve"> </w:t>
      </w:r>
    </w:p>
    <w:p w:rsidR="00621201" w:rsidRPr="00413DC1" w:rsidRDefault="00621201" w:rsidP="00B41427">
      <w:pPr>
        <w:pStyle w:val="PointManual"/>
        <w:spacing w:before="120" w:after="240" w:line="276" w:lineRule="auto"/>
        <w:ind w:left="0" w:firstLine="0"/>
        <w:rPr>
          <w:rFonts w:asciiTheme="majorBidi" w:hAnsiTheme="majorBidi" w:cstheme="majorBidi"/>
        </w:rPr>
      </w:pPr>
      <w:r w:rsidRPr="00413DC1">
        <w:t xml:space="preserve">Le Conseil a adopté une décision relative à la position à prendre au nom de l'UE au sein du Comité mixte de l'Espace économique européen (EEE) en ce qui concerne la modification du protocole 30 de l'accord EEE concernant certaines dispositions particulières relatives </w:t>
      </w:r>
      <w:r w:rsidR="00E161C1">
        <w:t>à l'organisation de la </w:t>
      </w:r>
      <w:r w:rsidRPr="00413DC1">
        <w:t xml:space="preserve">coopération statistique </w:t>
      </w:r>
      <w:r w:rsidRPr="00413DC1">
        <w:rPr>
          <w:rFonts w:asciiTheme="majorBidi" w:hAnsiTheme="majorBidi"/>
        </w:rPr>
        <w:t>(</w:t>
      </w:r>
      <w:hyperlink r:id="rId32" w:history="1">
        <w:r w:rsidRPr="00DB67C7">
          <w:rPr>
            <w:rStyle w:val="Hyperlink"/>
            <w:rFonts w:asciiTheme="majorBidi" w:hAnsiTheme="majorBidi"/>
            <w:color w:val="0000FF"/>
          </w:rPr>
          <w:t>9273/18</w:t>
        </w:r>
      </w:hyperlink>
      <w:r w:rsidRPr="00413DC1">
        <w:t>).</w:t>
      </w:r>
      <w:r w:rsidRPr="00413DC1">
        <w:rPr>
          <w:rFonts w:asciiTheme="majorBidi" w:hAnsiTheme="majorBidi"/>
        </w:rPr>
        <w:t xml:space="preserve"> </w:t>
      </w:r>
    </w:p>
    <w:p w:rsidR="0069223A" w:rsidRPr="00413DC1" w:rsidRDefault="00621201" w:rsidP="00B41427">
      <w:pPr>
        <w:rPr>
          <w:rFonts w:asciiTheme="majorBidi" w:hAnsiTheme="majorBidi" w:cstheme="majorBidi"/>
        </w:rPr>
      </w:pPr>
      <w:r w:rsidRPr="00413DC1">
        <w:rPr>
          <w:rFonts w:asciiTheme="majorBidi" w:hAnsiTheme="majorBidi"/>
        </w:rPr>
        <w:t xml:space="preserve">Cette décision a pour objectif d'incorporer le règlement </w:t>
      </w:r>
      <w:r w:rsidR="00E161C1">
        <w:rPr>
          <w:rFonts w:asciiTheme="majorBidi" w:hAnsiTheme="majorBidi"/>
        </w:rPr>
        <w:t>(UE) 2017/1951, qui prolonge le </w:t>
      </w:r>
      <w:r w:rsidRPr="00413DC1">
        <w:rPr>
          <w:rFonts w:asciiTheme="majorBidi" w:hAnsiTheme="majorBidi"/>
        </w:rPr>
        <w:t>programme statistique européen 2013-2017 jusqu'en 2020, dans l'accord EEE.</w:t>
      </w:r>
    </w:p>
    <w:p w:rsidR="00612628" w:rsidRPr="00413DC1" w:rsidRDefault="0069223A" w:rsidP="0069223A">
      <w:pPr>
        <w:pStyle w:val="ItemApproved"/>
      </w:pPr>
      <w:r w:rsidRPr="00413DC1">
        <w:br w:type="page"/>
        <w:t>COMMERCE</w:t>
      </w:r>
    </w:p>
    <w:p w:rsidR="00612628" w:rsidRPr="00413DC1" w:rsidRDefault="00612628" w:rsidP="00AF6774">
      <w:pPr>
        <w:pStyle w:val="Sub-itemApproved"/>
      </w:pPr>
      <w:bookmarkStart w:id="24" w:name="_Toc526838765"/>
      <w:r w:rsidRPr="00413DC1">
        <w:t>Négociations au sein de l'OMC concernant la répartition des contingents tarifaires de l'Union en vue du Brexit</w:t>
      </w:r>
      <w:bookmarkEnd w:id="24"/>
    </w:p>
    <w:p w:rsidR="00612628" w:rsidRPr="00413DC1" w:rsidRDefault="00612628" w:rsidP="008A4158">
      <w:r w:rsidRPr="00413DC1">
        <w:t>Dans le cadre de la préparation du retrait du Royaume-Uni de l</w:t>
      </w:r>
      <w:r w:rsidR="00E161C1">
        <w:t>'</w:t>
      </w:r>
      <w:r w:rsidRPr="00413DC1">
        <w:t>Union européenne, le Conseil a autorisé la Commission à entamer des négociations formelles au sei</w:t>
      </w:r>
      <w:r w:rsidR="00E161C1">
        <w:t>n de l'Organisation mondiale du </w:t>
      </w:r>
      <w:r w:rsidRPr="00413DC1">
        <w:t>commerce (OMC) sur les modalités de répartition des contingents tarifaires (CT) actuels de l'UE entre l'UE à 27 et le Royaume-Uni.</w:t>
      </w:r>
    </w:p>
    <w:p w:rsidR="00612628" w:rsidRPr="00413DC1" w:rsidRDefault="00612628" w:rsidP="00612628">
      <w:r w:rsidRPr="00413DC1">
        <w:t>Après le Brexit, l'UE continuera à appliquer la liste de</w:t>
      </w:r>
      <w:r w:rsidR="00E161C1">
        <w:t xml:space="preserve"> ses engagements concernant les </w:t>
      </w:r>
      <w:r w:rsidRPr="00413DC1">
        <w:t>marchandises mais ses engagements quantitatifs actuels, notamment les contingents tarifaires pour les produits agricoles, halieutiques et industriels nécessiteront des adaptations afin de tenir compte du fait que la liste OMC de l'UE ne sera plus applicable au Royaume-Uni.</w:t>
      </w:r>
    </w:p>
    <w:p w:rsidR="00612628" w:rsidRPr="00413DC1" w:rsidRDefault="00612628" w:rsidP="00612628">
      <w:pPr>
        <w:rPr>
          <w:rStyle w:val="Hyperlink"/>
        </w:rPr>
      </w:pPr>
      <w:r w:rsidRPr="00413DC1">
        <w:t xml:space="preserve">Pour en savoir plus, voir le </w:t>
      </w:r>
      <w:hyperlink r:id="rId33" w:history="1">
        <w:r w:rsidRPr="00DB67C7">
          <w:rPr>
            <w:rStyle w:val="Hyperlink"/>
            <w:color w:val="0000FF"/>
          </w:rPr>
          <w:t>communiqué de presse</w:t>
        </w:r>
      </w:hyperlink>
      <w:r w:rsidRPr="00413DC1">
        <w:rPr>
          <w:rStyle w:val="Hyperlink"/>
        </w:rPr>
        <w:t>.</w:t>
      </w:r>
    </w:p>
    <w:p w:rsidR="00B0183C" w:rsidRPr="00413DC1" w:rsidRDefault="00B0183C" w:rsidP="00AF6774">
      <w:pPr>
        <w:pStyle w:val="ItemApproved"/>
      </w:pPr>
      <w:r w:rsidRPr="00413DC1">
        <w:t>AGRICULTURE</w:t>
      </w:r>
    </w:p>
    <w:p w:rsidR="00B0183C" w:rsidRPr="00413DC1" w:rsidRDefault="00B0183C" w:rsidP="00B0183C">
      <w:pPr>
        <w:pStyle w:val="Sub-itemApproved"/>
      </w:pPr>
      <w:bookmarkStart w:id="25" w:name="_Toc526838767"/>
      <w:r w:rsidRPr="00413DC1">
        <w:t>Rapport de la Cour des comptes européenne sur le régime de paiement de base dans le cadre de la PAC: conclusions du Conseil</w:t>
      </w:r>
      <w:bookmarkEnd w:id="25"/>
    </w:p>
    <w:p w:rsidR="00B0183C" w:rsidRPr="00413DC1" w:rsidRDefault="00B0183C" w:rsidP="008A4158">
      <w:r w:rsidRPr="00413DC1">
        <w:t xml:space="preserve">Le Conseil a adopté des conclusions sur le </w:t>
      </w:r>
      <w:hyperlink r:id="rId34" w:history="1">
        <w:r w:rsidRPr="00DB67C7">
          <w:rPr>
            <w:rStyle w:val="Hyperlink"/>
            <w:color w:val="0000FF"/>
          </w:rPr>
          <w:t>rapport spécial n° 10/2018</w:t>
        </w:r>
      </w:hyperlink>
      <w:r w:rsidRPr="00413DC1">
        <w:t xml:space="preserve"> de la Cour des comptes européenne intitulé: "Régime de paiement de base en faveur des agriculteurs — le système fonctionne, mais il a un impact limité sur la simplification, le ciblage et la convergence des niveaux d'aide"</w:t>
      </w:r>
    </w:p>
    <w:p w:rsidR="00B0183C" w:rsidRPr="00413DC1" w:rsidRDefault="00B0183C" w:rsidP="008A4158">
      <w:r w:rsidRPr="00413DC1">
        <w:t>Le rapport met l'accent sur l'efficacité du régime introduit en 2015 doté d'une enveloppe annuelle d'environ 18 milliards d'euros. Il insiste sur le fait que le régime fonctionne, mais que son impact sur la simplification, le ciblage et la convergence des niveaux d'aide est limité. La Cour des comptes européenne fait donc un certain nombre de recommandation</w:t>
      </w:r>
      <w:r w:rsidR="00E161C1">
        <w:t>s à la Commission concernant la </w:t>
      </w:r>
      <w:r w:rsidRPr="00413DC1">
        <w:t>correction des droits au paiement en faveur des agriculteurs, les contrôles clés des organismes payeurs, les systèmes pour diffuser les informations aux États membres et le rôle des organismes de certification.</w:t>
      </w:r>
    </w:p>
    <w:p w:rsidR="005D3BC8" w:rsidRPr="00413DC1" w:rsidRDefault="00680FF1" w:rsidP="005D3BC8">
      <w:pPr>
        <w:pStyle w:val="ItemApproved"/>
      </w:pPr>
      <w:r w:rsidRPr="00413DC1">
        <w:br w:type="page"/>
        <w:t>TRANSPORTS</w:t>
      </w:r>
    </w:p>
    <w:p w:rsidR="005D3BC8" w:rsidRPr="00413DC1" w:rsidRDefault="005D3BC8" w:rsidP="005D3BC8">
      <w:pPr>
        <w:pStyle w:val="Sub-itemApproved"/>
      </w:pPr>
      <w:bookmarkStart w:id="26" w:name="_Toc526838769"/>
      <w:r w:rsidRPr="00413DC1">
        <w:t>Sécurité de l'aviation civile</w:t>
      </w:r>
      <w:bookmarkEnd w:id="26"/>
    </w:p>
    <w:p w:rsidR="005D3BC8" w:rsidRPr="00413DC1" w:rsidRDefault="005D3BC8" w:rsidP="005D3BC8">
      <w:r w:rsidRPr="00413DC1">
        <w:t>Le Conseil a adopté un règlement concernant des règles communes dans le domaine de l</w:t>
      </w:r>
      <w:r w:rsidR="00E161C1">
        <w:t>'</w:t>
      </w:r>
      <w:r w:rsidRPr="00413DC1">
        <w:t>aviation civile et instituant une Agence de l'Union européenne pour la sécurité aérienne (AESA) (</w:t>
      </w:r>
      <w:hyperlink r:id="rId35" w:tooltip="http://data.consilium.europa.eu/doc/document/PE-2-2018-INIT/fr/pdf" w:history="1">
        <w:r w:rsidR="00E161C1" w:rsidRPr="00DB67C7">
          <w:rPr>
            <w:rStyle w:val="Hyperlink"/>
            <w:color w:val="0000FF"/>
          </w:rPr>
          <w:t>PE</w:t>
        </w:r>
        <w:r w:rsidR="00E161C1" w:rsidRPr="00DB67C7">
          <w:rPr>
            <w:rStyle w:val="Hyperlink"/>
            <w:color w:val="0000FF"/>
          </w:rPr>
          <w:noBreakHyphen/>
          <w:t>CONS </w:t>
        </w:r>
        <w:r w:rsidRPr="00DB67C7">
          <w:rPr>
            <w:rStyle w:val="Hyperlink"/>
            <w:color w:val="0000FF"/>
          </w:rPr>
          <w:t>2/18</w:t>
        </w:r>
      </w:hyperlink>
      <w:r w:rsidRPr="00413DC1">
        <w:t>). Ce règlement comporte les toutes premières règles à l'échelle de l'UE applicables aux drones civils de toutes tailles.</w:t>
      </w:r>
    </w:p>
    <w:p w:rsidR="005D3BC8" w:rsidRPr="00413DC1" w:rsidRDefault="005D3BC8" w:rsidP="005D3BC8">
      <w:r w:rsidRPr="00413DC1">
        <w:t xml:space="preserve">La Slovaquie, la Pologne et la République tchèque se sont abstenues et Malte et Chypre ont voté contre (déclarations: </w:t>
      </w:r>
      <w:hyperlink r:id="rId36" w:tooltip="http://data.consilium.europa.eu/doc/document/ST-10063-2018-ADD-1-REV-1/fr/pdf" w:history="1">
        <w:r w:rsidRPr="00DB67C7">
          <w:rPr>
            <w:rStyle w:val="Hyperlink"/>
            <w:color w:val="0000FF"/>
          </w:rPr>
          <w:t>10063/18 ADD 1 REV 1</w:t>
        </w:r>
      </w:hyperlink>
      <w:r w:rsidRPr="00413DC1">
        <w:t>).</w:t>
      </w:r>
    </w:p>
    <w:p w:rsidR="005D3BC8" w:rsidRPr="00413DC1" w:rsidRDefault="005D3BC8" w:rsidP="005D3BC8">
      <w:r w:rsidRPr="00413DC1">
        <w:t xml:space="preserve">Pour en savoir plus, voir le </w:t>
      </w:r>
      <w:hyperlink r:id="rId37" w:history="1">
        <w:r w:rsidRPr="00DB67C7">
          <w:rPr>
            <w:rStyle w:val="Hyperlink"/>
            <w:color w:val="0000FF"/>
          </w:rPr>
          <w:t>communiqué de presse</w:t>
        </w:r>
      </w:hyperlink>
      <w:r w:rsidRPr="00413DC1">
        <w:rPr>
          <w:rStyle w:val="Hyperlink"/>
        </w:rPr>
        <w:t>.</w:t>
      </w:r>
    </w:p>
    <w:p w:rsidR="00093856" w:rsidRPr="00413DC1" w:rsidRDefault="00093856" w:rsidP="00093856">
      <w:pPr>
        <w:pStyle w:val="Sub-itemApproved"/>
      </w:pPr>
      <w:bookmarkStart w:id="27" w:name="_Toc526838770"/>
      <w:r w:rsidRPr="00413DC1">
        <w:t>Accords avec la Chine concernant l'aviation</w:t>
      </w:r>
      <w:bookmarkEnd w:id="27"/>
    </w:p>
    <w:p w:rsidR="00093856" w:rsidRPr="00413DC1" w:rsidRDefault="00093856" w:rsidP="00093856">
      <w:r w:rsidRPr="00413DC1">
        <w:t>Le Conseil a adopté deux décisions relatives à la signature d'accords s</w:t>
      </w:r>
      <w:r w:rsidR="00E161C1">
        <w:t>ur l'aviation avec la Chine. Le </w:t>
      </w:r>
      <w:r w:rsidRPr="00413DC1">
        <w:t>premier concerne la sécurité de l'aviation civile (</w:t>
      </w:r>
      <w:hyperlink r:id="rId38" w:tooltip="http://data.consilium.europa.eu/doc/document/ST-9698-2018-INIT/fr/pdf" w:history="1">
        <w:r w:rsidRPr="00DB67C7">
          <w:rPr>
            <w:rStyle w:val="Hyperlink"/>
            <w:color w:val="0000FF"/>
          </w:rPr>
          <w:t>9698/18</w:t>
        </w:r>
      </w:hyperlink>
      <w:r w:rsidRPr="00413DC1">
        <w:t xml:space="preserve">, </w:t>
      </w:r>
      <w:hyperlink r:id="rId39" w:tooltip="http://data.consilium.europa.eu/doc/document/ST-9702-2018-INIT/fr/pdf" w:history="1">
        <w:r w:rsidRPr="00DB67C7">
          <w:rPr>
            <w:rStyle w:val="Hyperlink"/>
            <w:color w:val="0000FF"/>
          </w:rPr>
          <w:t>9702/18</w:t>
        </w:r>
      </w:hyperlink>
      <w:r w:rsidRPr="00413DC1">
        <w:t>) et le second certains aspects des services aériens (</w:t>
      </w:r>
      <w:hyperlink r:id="rId40" w:tooltip="http://data.consilium.europa.eu/doc/document/ST-9682-2018-INIT/fr/pdf" w:history="1">
        <w:r w:rsidRPr="00DB67C7">
          <w:rPr>
            <w:rStyle w:val="Hyperlink"/>
            <w:color w:val="0000FF"/>
          </w:rPr>
          <w:t>9682/18</w:t>
        </w:r>
      </w:hyperlink>
      <w:r w:rsidRPr="00413DC1">
        <w:t xml:space="preserve">, </w:t>
      </w:r>
      <w:hyperlink r:id="rId41" w:tooltip="http://data.consilium.europa.eu/doc/document/ST-9685-2018-INIT/fr/pdf" w:history="1">
        <w:r w:rsidRPr="00DB67C7">
          <w:rPr>
            <w:rStyle w:val="Hyperlink"/>
            <w:color w:val="0000FF"/>
          </w:rPr>
          <w:t>9685/18</w:t>
        </w:r>
      </w:hyperlink>
      <w:r w:rsidRPr="00413DC1">
        <w:t>).</w:t>
      </w:r>
    </w:p>
    <w:p w:rsidR="005D3BC8" w:rsidRPr="00413DC1" w:rsidRDefault="00093856" w:rsidP="00AF6774">
      <w:pPr>
        <w:pStyle w:val="ItemApproved"/>
      </w:pPr>
      <w:r w:rsidRPr="00413DC1">
        <w:t>SANTÉ</w:t>
      </w:r>
    </w:p>
    <w:p w:rsidR="005D3BC8" w:rsidRPr="00413DC1" w:rsidRDefault="005D3BC8" w:rsidP="00AF6774">
      <w:pPr>
        <w:pStyle w:val="Sub-itemApproved"/>
      </w:pPr>
      <w:bookmarkStart w:id="28" w:name="_Toc526838772"/>
      <w:r w:rsidRPr="00413DC1">
        <w:t>Alimentation - Règlement sur les arômes</w:t>
      </w:r>
      <w:bookmarkEnd w:id="28"/>
      <w:r w:rsidRPr="00413DC1">
        <w:t xml:space="preserve"> </w:t>
      </w:r>
    </w:p>
    <w:p w:rsidR="005D3BC8" w:rsidRPr="00413DC1" w:rsidRDefault="005D3BC8" w:rsidP="00AF6774">
      <w:pPr>
        <w:rPr>
          <w:rFonts w:asciiTheme="majorBidi" w:hAnsiTheme="majorBidi" w:cstheme="majorBidi"/>
          <w:szCs w:val="24"/>
        </w:rPr>
      </w:pPr>
      <w:r w:rsidRPr="00413DC1">
        <w:t xml:space="preserve">Le Conseil ne s'est pas opposé à l'adoption d'un règlement (UE) …/... de la Commission du XXX modifiant l'annexe I du règlement (CE) nº 1334/2008 en ce qui concerne l'inscription du distillat pyroligneux sur la liste de l'Union des arômes </w:t>
      </w:r>
      <w:r w:rsidRPr="00413DC1">
        <w:rPr>
          <w:rFonts w:asciiTheme="majorBidi" w:hAnsiTheme="majorBidi"/>
          <w:szCs w:val="24"/>
        </w:rPr>
        <w:t>(</w:t>
      </w:r>
      <w:hyperlink r:id="rId42" w:tooltip="http://data.consilium.europa.eu/doc/document/ST-9586-2018-INIT/fr/pdf" w:history="1">
        <w:r w:rsidRPr="00DB67C7">
          <w:rPr>
            <w:rStyle w:val="Hyperlink"/>
            <w:rFonts w:asciiTheme="majorBidi" w:hAnsiTheme="majorBidi"/>
            <w:color w:val="0000FF"/>
            <w:szCs w:val="24"/>
          </w:rPr>
          <w:t>9586/18</w:t>
        </w:r>
      </w:hyperlink>
      <w:r w:rsidRPr="00413DC1">
        <w:rPr>
          <w:rFonts w:asciiTheme="majorBidi" w:hAnsiTheme="majorBidi"/>
          <w:szCs w:val="24"/>
        </w:rPr>
        <w:t xml:space="preserve"> + ADD 1).</w:t>
      </w:r>
    </w:p>
    <w:p w:rsidR="005D3BC8" w:rsidRPr="00413DC1" w:rsidRDefault="005D3BC8" w:rsidP="00C76E0D">
      <w:pPr>
        <w:rPr>
          <w:rFonts w:asciiTheme="majorBidi" w:hAnsiTheme="majorBidi" w:cstheme="majorBidi"/>
          <w:szCs w:val="24"/>
        </w:rPr>
      </w:pPr>
      <w:r w:rsidRPr="00413DC1">
        <w:rPr>
          <w:rFonts w:asciiTheme="majorBidi" w:hAnsiTheme="majorBidi"/>
          <w:szCs w:val="24"/>
        </w:rPr>
        <w:t>Ce règlement de la Commission est adopté au moyen de la procédure dite de réglementation avec contrôle. Cela signifie que, le Conseil ayant donné son accord</w:t>
      </w:r>
      <w:r w:rsidR="00E161C1">
        <w:rPr>
          <w:rFonts w:asciiTheme="majorBidi" w:hAnsiTheme="majorBidi"/>
          <w:szCs w:val="24"/>
        </w:rPr>
        <w:t>, la Commission peut adopter le </w:t>
      </w:r>
      <w:r w:rsidRPr="00413DC1">
        <w:rPr>
          <w:rFonts w:asciiTheme="majorBidi" w:hAnsiTheme="majorBidi"/>
          <w:szCs w:val="24"/>
        </w:rPr>
        <w:t>règlement, à moins que le Parlement européen ne s'y oppose.</w:t>
      </w:r>
    </w:p>
    <w:p w:rsidR="00C82044" w:rsidRPr="00413DC1" w:rsidRDefault="00C82044" w:rsidP="00C82044">
      <w:pPr>
        <w:pStyle w:val="ItemApproved"/>
      </w:pPr>
      <w:r w:rsidRPr="00413DC1">
        <w:br w:type="page"/>
      </w:r>
      <w:bookmarkStart w:id="29" w:name="ControlPages"/>
      <w:bookmarkEnd w:id="29"/>
      <w:r w:rsidRPr="00413DC1">
        <w:t>CULTURE</w:t>
      </w:r>
    </w:p>
    <w:p w:rsidR="00C82044" w:rsidRPr="00413DC1" w:rsidRDefault="00C82044" w:rsidP="00C82044">
      <w:pPr>
        <w:pStyle w:val="Sub-itemApproved"/>
      </w:pPr>
      <w:bookmarkStart w:id="30" w:name="_Toc526838774"/>
      <w:r w:rsidRPr="00413DC1">
        <w:t>Approche stratégique de l'UE dans le domaine des relations culturelles internationales</w:t>
      </w:r>
      <w:bookmarkEnd w:id="30"/>
    </w:p>
    <w:p w:rsidR="00C82044" w:rsidRPr="00413DC1" w:rsidRDefault="00C82044" w:rsidP="0069223A">
      <w:r w:rsidRPr="00413DC1">
        <w:t>Le Conseil a pris note d'un rapport relatif à certains éléments de la future approche stratégique de l'UE dans le domaine des relations culturelles internationales (9952/18).</w:t>
      </w:r>
    </w:p>
    <w:p w:rsidR="00C82044" w:rsidRPr="00413DC1" w:rsidRDefault="00C82044" w:rsidP="0069223A">
      <w:r w:rsidRPr="00413DC1">
        <w:t>Ce rapport a été élaboré par le groupe des Amis de la présidence en ce qui concerne une approche stratégique de l'UE dans le domaine des relations culturelles internationales.</w:t>
      </w:r>
    </w:p>
    <w:p w:rsidR="00E52E6E" w:rsidRPr="00673919" w:rsidRDefault="00E52E6E" w:rsidP="00104CF8">
      <w:pPr>
        <w:pStyle w:val="FinalLine"/>
      </w:pPr>
    </w:p>
    <w:sectPr w:rsidR="00E52E6E" w:rsidRPr="00673919" w:rsidSect="002862E2">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F8" w:rsidRDefault="00104CF8" w:rsidP="00CC05AB">
      <w:pPr>
        <w:spacing w:before="0" w:after="0" w:line="240" w:lineRule="auto"/>
      </w:pPr>
      <w:r>
        <w:separator/>
      </w:r>
    </w:p>
  </w:endnote>
  <w:endnote w:type="continuationSeparator" w:id="0">
    <w:p w:rsidR="00104CF8" w:rsidRDefault="00104CF8"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C7" w:rsidRPr="002862E2" w:rsidRDefault="00DB67C7" w:rsidP="00286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862E2" w:rsidRPr="007410E8" w:rsidTr="002862E2">
      <w:trPr>
        <w:jc w:val="center"/>
      </w:trPr>
      <w:tc>
        <w:tcPr>
          <w:tcW w:w="2604" w:type="pct"/>
          <w:shd w:val="clear" w:color="auto" w:fill="auto"/>
        </w:tcPr>
        <w:p w:rsidR="002862E2" w:rsidRPr="007410E8" w:rsidRDefault="002862E2" w:rsidP="0035025C">
          <w:pPr>
            <w:pStyle w:val="FooterText"/>
            <w:rPr>
              <w:sz w:val="16"/>
              <w:szCs w:val="16"/>
            </w:rPr>
          </w:pPr>
          <w:bookmarkStart w:id="2" w:name="FOOTER_PR_STANDARD"/>
        </w:p>
      </w:tc>
      <w:tc>
        <w:tcPr>
          <w:tcW w:w="1319" w:type="pct"/>
          <w:shd w:val="clear" w:color="auto" w:fill="auto"/>
        </w:tcPr>
        <w:p w:rsidR="002862E2" w:rsidRPr="007410E8" w:rsidRDefault="002862E2" w:rsidP="0035025C">
          <w:pPr>
            <w:pStyle w:val="FooterText"/>
            <w:rPr>
              <w:sz w:val="16"/>
              <w:szCs w:val="16"/>
            </w:rPr>
          </w:pPr>
        </w:p>
      </w:tc>
      <w:tc>
        <w:tcPr>
          <w:tcW w:w="1077" w:type="pct"/>
          <w:shd w:val="clear" w:color="auto" w:fill="auto"/>
        </w:tcPr>
        <w:p w:rsidR="002862E2" w:rsidRPr="007410E8" w:rsidRDefault="002862E2" w:rsidP="0035025C">
          <w:pPr>
            <w:pStyle w:val="FooterText"/>
            <w:jc w:val="right"/>
            <w:rPr>
              <w:sz w:val="16"/>
              <w:szCs w:val="16"/>
            </w:rPr>
          </w:pPr>
        </w:p>
      </w:tc>
    </w:tr>
    <w:tr w:rsidR="002862E2" w:rsidRPr="007410E8" w:rsidTr="002862E2">
      <w:trPr>
        <w:jc w:val="center"/>
      </w:trPr>
      <w:tc>
        <w:tcPr>
          <w:tcW w:w="2604" w:type="pct"/>
          <w:shd w:val="clear" w:color="auto" w:fill="auto"/>
        </w:tcPr>
        <w:p w:rsidR="002862E2" w:rsidRPr="007410E8" w:rsidRDefault="002862E2" w:rsidP="0035025C">
          <w:pPr>
            <w:pStyle w:val="FooterText"/>
            <w:rPr>
              <w:sz w:val="16"/>
            </w:rPr>
          </w:pPr>
          <w:r>
            <w:t>10519/18</w:t>
          </w:r>
          <w:r w:rsidRPr="002511D8">
            <w:t xml:space="preserve"> </w:t>
          </w:r>
        </w:p>
      </w:tc>
      <w:tc>
        <w:tcPr>
          <w:tcW w:w="1319" w:type="pct"/>
          <w:shd w:val="clear" w:color="auto" w:fill="auto"/>
        </w:tcPr>
        <w:p w:rsidR="002862E2" w:rsidRPr="007410E8" w:rsidRDefault="002862E2" w:rsidP="0035025C">
          <w:pPr>
            <w:pStyle w:val="FooterText"/>
            <w:rPr>
              <w:sz w:val="16"/>
            </w:rPr>
          </w:pPr>
        </w:p>
      </w:tc>
      <w:tc>
        <w:tcPr>
          <w:tcW w:w="1077" w:type="pct"/>
          <w:shd w:val="clear" w:color="auto" w:fill="auto"/>
        </w:tcPr>
        <w:p w:rsidR="002862E2" w:rsidRPr="007410E8" w:rsidRDefault="002862E2" w:rsidP="002862E2">
          <w:pPr>
            <w:pStyle w:val="FooterText"/>
            <w:jc w:val="right"/>
            <w:rPr>
              <w:sz w:val="16"/>
            </w:rPr>
          </w:pPr>
          <w:r>
            <w:fldChar w:fldCharType="begin"/>
          </w:r>
          <w:r>
            <w:instrText xml:space="preserve"> PAGE  \* MERGEFORMAT </w:instrText>
          </w:r>
          <w:r>
            <w:fldChar w:fldCharType="separate"/>
          </w:r>
          <w:r>
            <w:rPr>
              <w:noProof/>
            </w:rPr>
            <w:t>6</w:t>
          </w:r>
          <w:r>
            <w:fldChar w:fldCharType="end"/>
          </w:r>
        </w:p>
      </w:tc>
    </w:tr>
    <w:tr w:rsidR="002862E2" w:rsidRPr="007410E8" w:rsidTr="002862E2">
      <w:trPr>
        <w:jc w:val="center"/>
      </w:trPr>
      <w:tc>
        <w:tcPr>
          <w:tcW w:w="2604" w:type="pct"/>
          <w:shd w:val="clear" w:color="auto" w:fill="auto"/>
        </w:tcPr>
        <w:p w:rsidR="002862E2" w:rsidRPr="007410E8" w:rsidRDefault="002862E2" w:rsidP="0035025C">
          <w:pPr>
            <w:pStyle w:val="FooterText"/>
            <w:rPr>
              <w:sz w:val="16"/>
            </w:rPr>
          </w:pPr>
        </w:p>
      </w:tc>
      <w:tc>
        <w:tcPr>
          <w:tcW w:w="1319" w:type="pct"/>
          <w:shd w:val="clear" w:color="auto" w:fill="auto"/>
        </w:tcPr>
        <w:p w:rsidR="002862E2" w:rsidRPr="007410E8" w:rsidRDefault="002862E2" w:rsidP="0035025C">
          <w:pPr>
            <w:pStyle w:val="FooterText"/>
            <w:rPr>
              <w:sz w:val="16"/>
            </w:rPr>
          </w:pPr>
        </w:p>
      </w:tc>
      <w:tc>
        <w:tcPr>
          <w:tcW w:w="1077" w:type="pct"/>
          <w:shd w:val="clear" w:color="auto" w:fill="auto"/>
        </w:tcPr>
        <w:p w:rsidR="002862E2" w:rsidRPr="007410E8" w:rsidRDefault="002862E2" w:rsidP="0035025C">
          <w:pPr>
            <w:pStyle w:val="FooterText"/>
            <w:jc w:val="right"/>
            <w:rPr>
              <w:sz w:val="16"/>
            </w:rPr>
          </w:pPr>
          <w:r>
            <w:rPr>
              <w:b/>
              <w:position w:val="-4"/>
              <w:sz w:val="36"/>
            </w:rPr>
            <w:t>FR</w:t>
          </w:r>
        </w:p>
      </w:tc>
    </w:tr>
    <w:bookmarkEnd w:id="2"/>
  </w:tbl>
  <w:p w:rsidR="00CC05AB" w:rsidRPr="002862E2" w:rsidRDefault="00CC05AB" w:rsidP="002862E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2862E2" w:rsidRPr="009C2FB3" w:rsidTr="002862E2">
      <w:trPr>
        <w:jc w:val="center"/>
      </w:trPr>
      <w:tc>
        <w:tcPr>
          <w:tcW w:w="569" w:type="pct"/>
          <w:shd w:val="clear" w:color="auto" w:fill="auto"/>
        </w:tcPr>
        <w:p w:rsidR="002862E2" w:rsidRPr="009C2FB3" w:rsidRDefault="002862E2" w:rsidP="0035025C">
          <w:pPr>
            <w:pStyle w:val="FooterText"/>
          </w:pPr>
          <w:bookmarkStart w:id="3" w:name="FOOTER_PR_COVERPAGE"/>
        </w:p>
      </w:tc>
      <w:tc>
        <w:tcPr>
          <w:tcW w:w="3760" w:type="pct"/>
          <w:gridSpan w:val="3"/>
          <w:shd w:val="clear" w:color="auto" w:fill="auto"/>
          <w:noWrap/>
        </w:tcPr>
        <w:p w:rsidR="002862E2" w:rsidRPr="00F37CD6" w:rsidRDefault="002862E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2862E2" w:rsidRPr="009C2FB3" w:rsidRDefault="002862E2" w:rsidP="0035025C">
          <w:pPr>
            <w:pStyle w:val="FooterText"/>
          </w:pPr>
        </w:p>
      </w:tc>
    </w:tr>
    <w:tr w:rsidR="002862E2" w:rsidRPr="007410E8" w:rsidTr="002862E2">
      <w:trPr>
        <w:jc w:val="center"/>
      </w:trPr>
      <w:tc>
        <w:tcPr>
          <w:tcW w:w="5000" w:type="pct"/>
          <w:gridSpan w:val="5"/>
          <w:shd w:val="clear" w:color="auto" w:fill="auto"/>
        </w:tcPr>
        <w:p w:rsidR="002862E2" w:rsidRPr="00827A78" w:rsidRDefault="002862E2" w:rsidP="0035025C">
          <w:pPr>
            <w:pStyle w:val="FooterAddressText"/>
          </w:pPr>
        </w:p>
        <w:p w:rsidR="002862E2" w:rsidRPr="007410E8" w:rsidRDefault="002862E2" w:rsidP="0035025C">
          <w:pPr>
            <w:pStyle w:val="FooterAddressText"/>
          </w:pPr>
          <w:r>
            <w:t>Rue de la Loi 175  B – 1048 BRUXELLES  Tél. +32 (0)2 281 6319  Fax +32 (0)2 281 8026</w:t>
          </w:r>
        </w:p>
      </w:tc>
    </w:tr>
    <w:tr w:rsidR="002862E2" w:rsidRPr="007410E8" w:rsidTr="002862E2">
      <w:trPr>
        <w:jc w:val="center"/>
      </w:trPr>
      <w:tc>
        <w:tcPr>
          <w:tcW w:w="5000" w:type="pct"/>
          <w:gridSpan w:val="5"/>
          <w:shd w:val="clear" w:color="auto" w:fill="auto"/>
        </w:tcPr>
        <w:p w:rsidR="002862E2" w:rsidRPr="007410E8" w:rsidRDefault="002862E2" w:rsidP="0035025C">
          <w:pPr>
            <w:pStyle w:val="FooterText"/>
            <w:jc w:val="center"/>
            <w:rPr>
              <w:sz w:val="20"/>
              <w:szCs w:val="20"/>
            </w:rPr>
          </w:pPr>
          <w:hyperlink r:id="rId1" w:history="1">
            <w:r w:rsidRPr="002862E2">
              <w:rPr>
                <w:rStyle w:val="Hyperlink"/>
                <w:sz w:val="20"/>
                <w:szCs w:val="20"/>
              </w:rPr>
              <w:t>press.office@consilium.europa.eu</w:t>
            </w:r>
          </w:hyperlink>
          <w:r w:rsidRPr="007410E8">
            <w:rPr>
              <w:sz w:val="20"/>
              <w:szCs w:val="20"/>
            </w:rPr>
            <w:t xml:space="preserve">  </w:t>
          </w:r>
          <w:hyperlink r:id="rId2" w:history="1">
            <w:r w:rsidRPr="002862E2">
              <w:rPr>
                <w:rStyle w:val="Hyperlink"/>
                <w:sz w:val="20"/>
                <w:szCs w:val="20"/>
              </w:rPr>
              <w:t>http://www.consilium.europa.eu/press</w:t>
            </w:r>
          </w:hyperlink>
        </w:p>
      </w:tc>
    </w:tr>
    <w:tr w:rsidR="002862E2" w:rsidRPr="007410E8" w:rsidTr="002862E2">
      <w:trPr>
        <w:jc w:val="center"/>
      </w:trPr>
      <w:tc>
        <w:tcPr>
          <w:tcW w:w="2602" w:type="pct"/>
          <w:gridSpan w:val="2"/>
          <w:shd w:val="clear" w:color="auto" w:fill="auto"/>
        </w:tcPr>
        <w:p w:rsidR="002862E2" w:rsidRPr="007410E8" w:rsidRDefault="002862E2" w:rsidP="0035025C">
          <w:pPr>
            <w:pStyle w:val="FooterText"/>
            <w:spacing w:before="60"/>
            <w:rPr>
              <w:sz w:val="16"/>
            </w:rPr>
          </w:pPr>
          <w:r>
            <w:t>10519/18</w:t>
          </w:r>
          <w:r w:rsidRPr="002511D8">
            <w:t xml:space="preserve"> </w:t>
          </w:r>
        </w:p>
      </w:tc>
      <w:tc>
        <w:tcPr>
          <w:tcW w:w="1295" w:type="pct"/>
          <w:shd w:val="clear" w:color="auto" w:fill="auto"/>
        </w:tcPr>
        <w:p w:rsidR="002862E2" w:rsidRPr="007410E8" w:rsidRDefault="002862E2" w:rsidP="0035025C">
          <w:pPr>
            <w:pStyle w:val="FooterText"/>
            <w:spacing w:before="120"/>
            <w:rPr>
              <w:sz w:val="16"/>
            </w:rPr>
          </w:pPr>
        </w:p>
      </w:tc>
      <w:tc>
        <w:tcPr>
          <w:tcW w:w="1103" w:type="pct"/>
          <w:gridSpan w:val="2"/>
          <w:shd w:val="clear" w:color="auto" w:fill="auto"/>
        </w:tcPr>
        <w:p w:rsidR="002862E2" w:rsidRPr="007410E8" w:rsidRDefault="002862E2" w:rsidP="002862E2">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2862E2" w:rsidRPr="007410E8" w:rsidTr="002862E2">
      <w:trPr>
        <w:jc w:val="center"/>
      </w:trPr>
      <w:tc>
        <w:tcPr>
          <w:tcW w:w="2602" w:type="pct"/>
          <w:gridSpan w:val="2"/>
          <w:shd w:val="clear" w:color="auto" w:fill="auto"/>
        </w:tcPr>
        <w:p w:rsidR="002862E2" w:rsidRPr="007410E8" w:rsidRDefault="002862E2" w:rsidP="0035025C">
          <w:pPr>
            <w:pStyle w:val="FooterText"/>
            <w:rPr>
              <w:sz w:val="16"/>
            </w:rPr>
          </w:pPr>
        </w:p>
      </w:tc>
      <w:tc>
        <w:tcPr>
          <w:tcW w:w="1295" w:type="pct"/>
          <w:shd w:val="clear" w:color="auto" w:fill="auto"/>
        </w:tcPr>
        <w:p w:rsidR="002862E2" w:rsidRPr="007410E8" w:rsidRDefault="002862E2" w:rsidP="0035025C">
          <w:pPr>
            <w:pStyle w:val="FooterText"/>
            <w:rPr>
              <w:sz w:val="16"/>
            </w:rPr>
          </w:pPr>
        </w:p>
      </w:tc>
      <w:tc>
        <w:tcPr>
          <w:tcW w:w="1103" w:type="pct"/>
          <w:gridSpan w:val="2"/>
          <w:shd w:val="clear" w:color="auto" w:fill="auto"/>
        </w:tcPr>
        <w:p w:rsidR="002862E2" w:rsidRPr="007410E8" w:rsidRDefault="002862E2" w:rsidP="0035025C">
          <w:pPr>
            <w:pStyle w:val="FooterText"/>
            <w:jc w:val="right"/>
            <w:rPr>
              <w:sz w:val="16"/>
            </w:rPr>
          </w:pPr>
          <w:r>
            <w:rPr>
              <w:b/>
              <w:position w:val="-4"/>
              <w:sz w:val="36"/>
            </w:rPr>
            <w:t>FR</w:t>
          </w:r>
        </w:p>
      </w:tc>
    </w:tr>
    <w:bookmarkEnd w:id="3"/>
  </w:tbl>
  <w:p w:rsidR="00CC05AB" w:rsidRPr="002862E2" w:rsidRDefault="00CC05AB" w:rsidP="002862E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2862E2" w:rsidRPr="007410E8" w:rsidTr="002862E2">
      <w:trPr>
        <w:jc w:val="center"/>
      </w:trPr>
      <w:tc>
        <w:tcPr>
          <w:tcW w:w="5000" w:type="pct"/>
          <w:gridSpan w:val="3"/>
          <w:shd w:val="clear" w:color="auto" w:fill="auto"/>
        </w:tcPr>
        <w:p w:rsidR="002862E2" w:rsidRPr="007410E8" w:rsidRDefault="002862E2"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2862E2" w:rsidRPr="007410E8" w:rsidRDefault="002862E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2862E2" w:rsidRPr="007410E8" w:rsidRDefault="002862E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2862E2" w:rsidRPr="007410E8" w:rsidRDefault="002862E2" w:rsidP="0035025C">
          <w:pPr>
            <w:pStyle w:val="FooterText"/>
            <w:tabs>
              <w:tab w:val="left" w:pos="285"/>
              <w:tab w:val="left" w:pos="585"/>
            </w:tabs>
            <w:rPr>
              <w:sz w:val="21"/>
              <w:szCs w:val="21"/>
            </w:rPr>
          </w:pPr>
        </w:p>
      </w:tc>
    </w:tr>
    <w:tr w:rsidR="002862E2" w:rsidRPr="007410E8" w:rsidTr="002862E2">
      <w:trPr>
        <w:jc w:val="center"/>
      </w:trPr>
      <w:tc>
        <w:tcPr>
          <w:tcW w:w="2604" w:type="pct"/>
          <w:shd w:val="clear" w:color="auto" w:fill="auto"/>
        </w:tcPr>
        <w:p w:rsidR="002862E2" w:rsidRPr="007410E8" w:rsidRDefault="002862E2" w:rsidP="0035025C">
          <w:pPr>
            <w:pStyle w:val="FooterText"/>
            <w:rPr>
              <w:sz w:val="16"/>
            </w:rPr>
          </w:pPr>
          <w:r>
            <w:t>10519/18</w:t>
          </w:r>
          <w:r w:rsidRPr="002511D8">
            <w:t xml:space="preserve"> </w:t>
          </w:r>
        </w:p>
      </w:tc>
      <w:tc>
        <w:tcPr>
          <w:tcW w:w="1319" w:type="pct"/>
          <w:shd w:val="clear" w:color="auto" w:fill="auto"/>
        </w:tcPr>
        <w:p w:rsidR="002862E2" w:rsidRPr="007410E8" w:rsidRDefault="002862E2" w:rsidP="0035025C">
          <w:pPr>
            <w:pStyle w:val="FooterText"/>
            <w:rPr>
              <w:sz w:val="16"/>
            </w:rPr>
          </w:pPr>
        </w:p>
      </w:tc>
      <w:tc>
        <w:tcPr>
          <w:tcW w:w="1077" w:type="pct"/>
          <w:shd w:val="clear" w:color="auto" w:fill="auto"/>
        </w:tcPr>
        <w:p w:rsidR="002862E2" w:rsidRPr="007410E8" w:rsidRDefault="002862E2" w:rsidP="002862E2">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2862E2" w:rsidRPr="007410E8" w:rsidTr="002862E2">
      <w:trPr>
        <w:jc w:val="center"/>
      </w:trPr>
      <w:tc>
        <w:tcPr>
          <w:tcW w:w="2604" w:type="pct"/>
          <w:shd w:val="clear" w:color="auto" w:fill="auto"/>
        </w:tcPr>
        <w:p w:rsidR="002862E2" w:rsidRPr="007410E8" w:rsidRDefault="002862E2" w:rsidP="0035025C">
          <w:pPr>
            <w:pStyle w:val="FooterText"/>
            <w:rPr>
              <w:sz w:val="16"/>
            </w:rPr>
          </w:pPr>
        </w:p>
      </w:tc>
      <w:tc>
        <w:tcPr>
          <w:tcW w:w="1319" w:type="pct"/>
          <w:shd w:val="clear" w:color="auto" w:fill="auto"/>
        </w:tcPr>
        <w:p w:rsidR="002862E2" w:rsidRPr="007410E8" w:rsidRDefault="002862E2" w:rsidP="0035025C">
          <w:pPr>
            <w:pStyle w:val="FooterText"/>
            <w:rPr>
              <w:sz w:val="16"/>
            </w:rPr>
          </w:pPr>
        </w:p>
      </w:tc>
      <w:tc>
        <w:tcPr>
          <w:tcW w:w="1077" w:type="pct"/>
          <w:shd w:val="clear" w:color="auto" w:fill="auto"/>
        </w:tcPr>
        <w:p w:rsidR="002862E2" w:rsidRPr="007410E8" w:rsidRDefault="002862E2" w:rsidP="0035025C">
          <w:pPr>
            <w:pStyle w:val="FooterText"/>
            <w:jc w:val="right"/>
            <w:rPr>
              <w:sz w:val="16"/>
            </w:rPr>
          </w:pPr>
          <w:r>
            <w:rPr>
              <w:b/>
              <w:position w:val="-4"/>
              <w:sz w:val="36"/>
            </w:rPr>
            <w:t>FR</w:t>
          </w:r>
        </w:p>
      </w:tc>
    </w:tr>
    <w:bookmarkEnd w:id="5"/>
  </w:tbl>
  <w:p w:rsidR="00104CF8" w:rsidRPr="002862E2" w:rsidRDefault="00104CF8" w:rsidP="002862E2">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F8" w:rsidRDefault="00104CF8" w:rsidP="00CC05AB">
      <w:pPr>
        <w:spacing w:before="0" w:after="0" w:line="240" w:lineRule="auto"/>
      </w:pPr>
      <w:r>
        <w:separator/>
      </w:r>
    </w:p>
  </w:footnote>
  <w:footnote w:type="continuationSeparator" w:id="0">
    <w:p w:rsidR="00104CF8" w:rsidRDefault="00104CF8"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C7" w:rsidRPr="002862E2" w:rsidRDefault="00DB67C7" w:rsidP="0028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2862E2" w:rsidRDefault="002862E2" w:rsidP="002862E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2862E2" w:rsidRDefault="002862E2" w:rsidP="002862E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862E2" w:rsidRPr="007410E8" w:rsidTr="002862E2">
      <w:trPr>
        <w:jc w:val="center"/>
      </w:trPr>
      <w:tc>
        <w:tcPr>
          <w:tcW w:w="2500" w:type="pct"/>
          <w:shd w:val="clear" w:color="auto" w:fill="auto"/>
        </w:tcPr>
        <w:p w:rsidR="002862E2" w:rsidRPr="007410E8" w:rsidRDefault="002862E2" w:rsidP="0035025C">
          <w:pPr>
            <w:pStyle w:val="HeaderText"/>
            <w:rPr>
              <w:b/>
              <w:i/>
              <w:sz w:val="16"/>
              <w:u w:val="single"/>
            </w:rPr>
          </w:pPr>
          <w:bookmarkStart w:id="4" w:name="HEADER_PRMEET"/>
        </w:p>
      </w:tc>
      <w:tc>
        <w:tcPr>
          <w:tcW w:w="2500" w:type="pct"/>
          <w:shd w:val="clear" w:color="auto" w:fill="auto"/>
        </w:tcPr>
        <w:p w:rsidR="002862E2" w:rsidRPr="007410E8" w:rsidRDefault="002862E2" w:rsidP="002862E2">
          <w:pPr>
            <w:pStyle w:val="HeaderText"/>
            <w:jc w:val="right"/>
            <w:rPr>
              <w:sz w:val="16"/>
            </w:rPr>
          </w:pPr>
          <w:r w:rsidRPr="002862E2">
            <w:t>26 juin 2018</w:t>
          </w:r>
        </w:p>
      </w:tc>
    </w:tr>
    <w:bookmarkEnd w:id="4"/>
  </w:tbl>
  <w:p w:rsidR="00104CF8" w:rsidRPr="002862E2" w:rsidRDefault="00104CF8" w:rsidP="002862E2">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2862E2" w:rsidRPr="007410E8" w:rsidTr="002862E2">
      <w:trPr>
        <w:jc w:val="center"/>
      </w:trPr>
      <w:tc>
        <w:tcPr>
          <w:tcW w:w="2500" w:type="pct"/>
          <w:shd w:val="clear" w:color="auto" w:fill="auto"/>
        </w:tcPr>
        <w:p w:rsidR="002862E2" w:rsidRPr="007410E8" w:rsidRDefault="002862E2" w:rsidP="0035025C">
          <w:pPr>
            <w:pStyle w:val="HeaderText"/>
            <w:rPr>
              <w:b/>
              <w:i/>
              <w:sz w:val="16"/>
              <w:u w:val="single"/>
            </w:rPr>
          </w:pPr>
        </w:p>
      </w:tc>
      <w:tc>
        <w:tcPr>
          <w:tcW w:w="2500" w:type="pct"/>
          <w:shd w:val="clear" w:color="auto" w:fill="auto"/>
        </w:tcPr>
        <w:p w:rsidR="002862E2" w:rsidRPr="007410E8" w:rsidRDefault="002862E2" w:rsidP="002862E2">
          <w:pPr>
            <w:pStyle w:val="HeaderText"/>
            <w:jc w:val="right"/>
            <w:rPr>
              <w:sz w:val="16"/>
            </w:rPr>
          </w:pPr>
          <w:r w:rsidRPr="002862E2">
            <w:t>26 juin 2018</w:t>
          </w:r>
        </w:p>
      </w:tc>
    </w:tr>
  </w:tbl>
  <w:p w:rsidR="00104CF8" w:rsidRPr="002862E2" w:rsidRDefault="00104CF8" w:rsidP="002862E2">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1D8B0F22"/>
    <w:multiLevelType w:val="hybridMultilevel"/>
    <w:tmpl w:val="7FB8267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7" w15:restartNumberingAfterBreak="0">
    <w:nsid w:val="37725159"/>
    <w:multiLevelType w:val="hybridMultilevel"/>
    <w:tmpl w:val="13E20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0"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1"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2"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3"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5" w15:restartNumberingAfterBreak="0">
    <w:nsid w:val="5E62267D"/>
    <w:multiLevelType w:val="hybridMultilevel"/>
    <w:tmpl w:val="3B0A5796"/>
    <w:lvl w:ilvl="0" w:tplc="08090001">
      <w:start w:val="1"/>
      <w:numFmt w:val="bullet"/>
      <w:lvlText w:val=""/>
      <w:lvlJc w:val="left"/>
      <w:pPr>
        <w:ind w:left="720" w:hanging="360"/>
      </w:pPr>
      <w:rPr>
        <w:rFonts w:ascii="Symbol" w:hAnsi="Symbol" w:hint="default"/>
      </w:rPr>
    </w:lvl>
    <w:lvl w:ilvl="1" w:tplc="AC1632EC">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8"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9"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10"/>
  </w:num>
  <w:num w:numId="3">
    <w:abstractNumId w:val="13"/>
  </w:num>
  <w:num w:numId="4">
    <w:abstractNumId w:val="12"/>
  </w:num>
  <w:num w:numId="5">
    <w:abstractNumId w:val="18"/>
  </w:num>
  <w:num w:numId="6">
    <w:abstractNumId w:val="4"/>
  </w:num>
  <w:num w:numId="7">
    <w:abstractNumId w:val="0"/>
  </w:num>
  <w:num w:numId="8">
    <w:abstractNumId w:val="19"/>
  </w:num>
  <w:num w:numId="9">
    <w:abstractNumId w:val="6"/>
  </w:num>
  <w:num w:numId="10">
    <w:abstractNumId w:val="2"/>
  </w:num>
  <w:num w:numId="11">
    <w:abstractNumId w:val="1"/>
  </w:num>
  <w:num w:numId="12">
    <w:abstractNumId w:val="17"/>
  </w:num>
  <w:num w:numId="13">
    <w:abstractNumId w:val="16"/>
  </w:num>
  <w:num w:numId="14">
    <w:abstractNumId w:val="8"/>
  </w:num>
  <w:num w:numId="15">
    <w:abstractNumId w:val="9"/>
  </w:num>
  <w:num w:numId="16">
    <w:abstractNumId w:val="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4097"/>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331935409648019310&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0519&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39&lt;/text&gt;_x000d__x000a_      &lt;text&gt;PR CO 3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Vice-Première ministre chargée de la réforme judiciaire et ministre des affaires étrangères de la Bulgarie&quot; name=&quot;Ekaterina Zaharieva&quot; text=&quot;Ekaterina Zaharieva, Vice-Première ministre chargée de la réforme judiciaire et ministre des affaires étrangères de la Bulgarie&quot; genderKeyBds=&quot;gend_02&quot; /&gt;_x000d__x000a_    &lt;/presidents&gt;_x000d__x000a_  &lt;/metadata&gt;_x000d__x000a_  &lt;metadata key=&quot;md_MeetingNumber&quot;&gt;_x000d__x000a_    &lt;text&gt;3629&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6-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104CF8"/>
    <w:rsid w:val="00004559"/>
    <w:rsid w:val="00012CC6"/>
    <w:rsid w:val="00031D16"/>
    <w:rsid w:val="00045329"/>
    <w:rsid w:val="00093856"/>
    <w:rsid w:val="000C2605"/>
    <w:rsid w:val="00104CF8"/>
    <w:rsid w:val="00170E65"/>
    <w:rsid w:val="00182EC9"/>
    <w:rsid w:val="001F714D"/>
    <w:rsid w:val="002862E2"/>
    <w:rsid w:val="002B4A47"/>
    <w:rsid w:val="002B701B"/>
    <w:rsid w:val="0032556F"/>
    <w:rsid w:val="00357ECE"/>
    <w:rsid w:val="00413DC1"/>
    <w:rsid w:val="00433454"/>
    <w:rsid w:val="00462A8D"/>
    <w:rsid w:val="00495D36"/>
    <w:rsid w:val="004C1F52"/>
    <w:rsid w:val="00554171"/>
    <w:rsid w:val="005D3BC8"/>
    <w:rsid w:val="00612628"/>
    <w:rsid w:val="00621201"/>
    <w:rsid w:val="00673919"/>
    <w:rsid w:val="00680FF1"/>
    <w:rsid w:val="006921A4"/>
    <w:rsid w:val="0069223A"/>
    <w:rsid w:val="006C73A0"/>
    <w:rsid w:val="008353C3"/>
    <w:rsid w:val="00893450"/>
    <w:rsid w:val="008A4158"/>
    <w:rsid w:val="008A6677"/>
    <w:rsid w:val="008F3E01"/>
    <w:rsid w:val="009D253E"/>
    <w:rsid w:val="00A26D22"/>
    <w:rsid w:val="00A47394"/>
    <w:rsid w:val="00A6455A"/>
    <w:rsid w:val="00AD5C60"/>
    <w:rsid w:val="00AF6774"/>
    <w:rsid w:val="00B0183C"/>
    <w:rsid w:val="00B41427"/>
    <w:rsid w:val="00B62443"/>
    <w:rsid w:val="00BB5340"/>
    <w:rsid w:val="00BB7AE7"/>
    <w:rsid w:val="00C21127"/>
    <w:rsid w:val="00C7027C"/>
    <w:rsid w:val="00C76E0D"/>
    <w:rsid w:val="00C82044"/>
    <w:rsid w:val="00CA085F"/>
    <w:rsid w:val="00CC05AB"/>
    <w:rsid w:val="00D84775"/>
    <w:rsid w:val="00D94D4D"/>
    <w:rsid w:val="00DA2371"/>
    <w:rsid w:val="00DB67C7"/>
    <w:rsid w:val="00DE11A8"/>
    <w:rsid w:val="00DE787A"/>
    <w:rsid w:val="00E161C1"/>
    <w:rsid w:val="00E52E6E"/>
    <w:rsid w:val="00E72F0E"/>
    <w:rsid w:val="00E75EE8"/>
    <w:rsid w:val="00EA7890"/>
    <w:rsid w:val="00ED0F71"/>
    <w:rsid w:val="00EE12D4"/>
    <w:rsid w:val="00EE4DF9"/>
    <w:rsid w:val="00F13B57"/>
    <w:rsid w:val="00F37C23"/>
    <w:rsid w:val="00F447A7"/>
    <w:rsid w:val="00F83108"/>
    <w:rsid w:val="00F9086D"/>
    <w:rsid w:val="00FD5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F56D64-AB7D-430D-8676-DADFA44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462A8D"/>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104CF8"/>
    <w:pPr>
      <w:spacing w:before="0" w:after="440"/>
      <w:ind w:left="-1134" w:right="-1134"/>
    </w:pPr>
    <w:rPr>
      <w:sz w:val="2"/>
    </w:rPr>
  </w:style>
  <w:style w:type="character" w:customStyle="1" w:styleId="TechnicalBlockChar">
    <w:name w:val="Technical Block Char"/>
    <w:basedOn w:val="DefaultParagraphFont"/>
    <w:link w:val="TechnicalBlock"/>
    <w:rsid w:val="00104CF8"/>
    <w:rPr>
      <w:rFonts w:ascii="Times New Roman" w:hAnsi="Times New Roman" w:cs="Times New Roman"/>
      <w:sz w:val="24"/>
    </w:rPr>
  </w:style>
  <w:style w:type="character" w:customStyle="1" w:styleId="HeaderCouncilLargeChar">
    <w:name w:val="Header Council Large Char"/>
    <w:basedOn w:val="TechnicalBlockChar"/>
    <w:link w:val="HeaderCouncilLarge"/>
    <w:rsid w:val="00104CF8"/>
    <w:rPr>
      <w:rFonts w:ascii="Times New Roman" w:hAnsi="Times New Roman" w:cs="Times New Roman"/>
      <w:sz w:val="2"/>
    </w:rPr>
  </w:style>
  <w:style w:type="paragraph" w:customStyle="1" w:styleId="FooterText">
    <w:name w:val="Footer Text"/>
    <w:basedOn w:val="Normal"/>
    <w:rsid w:val="00104CF8"/>
    <w:pPr>
      <w:spacing w:before="0" w:after="0" w:line="240" w:lineRule="auto"/>
    </w:pPr>
    <w:rPr>
      <w:rFonts w:eastAsia="Times New Roman"/>
      <w:szCs w:val="24"/>
    </w:rPr>
  </w:style>
  <w:style w:type="character" w:styleId="PlaceholderText">
    <w:name w:val="Placeholder Text"/>
    <w:basedOn w:val="DefaultParagraphFont"/>
    <w:uiPriority w:val="99"/>
    <w:semiHidden/>
    <w:rsid w:val="00104CF8"/>
    <w:rPr>
      <w:color w:val="808080"/>
    </w:rPr>
  </w:style>
  <w:style w:type="paragraph" w:customStyle="1" w:styleId="FooterAddressText">
    <w:name w:val="Footer Address Text"/>
    <w:basedOn w:val="FooterText"/>
    <w:qFormat/>
    <w:rsid w:val="00104CF8"/>
    <w:pPr>
      <w:jc w:val="center"/>
    </w:pPr>
    <w:rPr>
      <w:spacing w:val="10"/>
      <w:sz w:val="16"/>
      <w:szCs w:val="16"/>
    </w:rPr>
  </w:style>
  <w:style w:type="character" w:styleId="Hyperlink">
    <w:name w:val="Hyperlink"/>
    <w:basedOn w:val="DefaultParagraphFont"/>
    <w:uiPriority w:val="99"/>
    <w:unhideWhenUsed/>
    <w:qFormat/>
    <w:rsid w:val="00104CF8"/>
    <w:rPr>
      <w:color w:val="0000FF" w:themeColor="hyperlink"/>
      <w:u w:val="single"/>
    </w:rPr>
  </w:style>
  <w:style w:type="paragraph" w:customStyle="1" w:styleId="HeaderText">
    <w:name w:val="Header Text"/>
    <w:basedOn w:val="Normal"/>
    <w:rsid w:val="00104CF8"/>
    <w:pPr>
      <w:spacing w:before="0" w:after="0" w:line="240" w:lineRule="auto"/>
    </w:pPr>
    <w:rPr>
      <w:rFonts w:eastAsia="Times New Roman"/>
      <w:szCs w:val="24"/>
    </w:rPr>
  </w:style>
  <w:style w:type="paragraph" w:styleId="ListParagraph">
    <w:name w:val="List Paragraph"/>
    <w:basedOn w:val="Normal"/>
    <w:uiPriority w:val="34"/>
    <w:qFormat/>
    <w:rsid w:val="00621201"/>
    <w:pPr>
      <w:spacing w:before="0" w:after="0" w:line="360" w:lineRule="auto"/>
      <w:ind w:left="720"/>
      <w:contextualSpacing/>
    </w:pPr>
    <w:rPr>
      <w:rFonts w:eastAsia="Calibri" w:cs="Arial"/>
    </w:rPr>
  </w:style>
  <w:style w:type="paragraph" w:customStyle="1" w:styleId="PointManual">
    <w:name w:val="Point Manual"/>
    <w:basedOn w:val="Normal"/>
    <w:link w:val="PointManualChar"/>
    <w:rsid w:val="00621201"/>
    <w:pPr>
      <w:spacing w:before="200" w:after="0" w:line="240" w:lineRule="auto"/>
      <w:ind w:left="567" w:hanging="567"/>
    </w:pPr>
    <w:rPr>
      <w:rFonts w:eastAsia="Calibri"/>
      <w:szCs w:val="24"/>
    </w:rPr>
  </w:style>
  <w:style w:type="character" w:customStyle="1" w:styleId="PointManualChar">
    <w:name w:val="Point Manual Char"/>
    <w:basedOn w:val="DefaultParagraphFont"/>
    <w:link w:val="PointManual"/>
    <w:locked/>
    <w:rsid w:val="00621201"/>
    <w:rPr>
      <w:rFonts w:ascii="Times New Roman" w:eastAsia="Calibri" w:hAnsi="Times New Roman" w:cs="Times New Roman"/>
      <w:sz w:val="24"/>
      <w:szCs w:val="24"/>
      <w:lang w:val="fr-FR"/>
    </w:rPr>
  </w:style>
  <w:style w:type="character" w:styleId="Strong">
    <w:name w:val="Strong"/>
    <w:basedOn w:val="DefaultParagraphFont"/>
    <w:uiPriority w:val="22"/>
    <w:qFormat/>
    <w:rsid w:val="00CA085F"/>
    <w:rPr>
      <w:b/>
      <w:bCs/>
    </w:rPr>
  </w:style>
  <w:style w:type="character" w:styleId="CommentReference">
    <w:name w:val="annotation reference"/>
    <w:basedOn w:val="DefaultParagraphFont"/>
    <w:uiPriority w:val="99"/>
    <w:semiHidden/>
    <w:unhideWhenUsed/>
    <w:rsid w:val="00AD5C60"/>
    <w:rPr>
      <w:sz w:val="16"/>
      <w:szCs w:val="16"/>
    </w:rPr>
  </w:style>
  <w:style w:type="paragraph" w:styleId="CommentText">
    <w:name w:val="annotation text"/>
    <w:basedOn w:val="Normal"/>
    <w:link w:val="CommentTextChar"/>
    <w:uiPriority w:val="99"/>
    <w:semiHidden/>
    <w:unhideWhenUsed/>
    <w:rsid w:val="00AD5C60"/>
    <w:pPr>
      <w:spacing w:line="240" w:lineRule="auto"/>
    </w:pPr>
    <w:rPr>
      <w:sz w:val="20"/>
      <w:szCs w:val="20"/>
    </w:rPr>
  </w:style>
  <w:style w:type="character" w:customStyle="1" w:styleId="CommentTextChar">
    <w:name w:val="Comment Text Char"/>
    <w:basedOn w:val="DefaultParagraphFont"/>
    <w:link w:val="CommentText"/>
    <w:uiPriority w:val="99"/>
    <w:semiHidden/>
    <w:rsid w:val="00AD5C60"/>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D5C60"/>
    <w:rPr>
      <w:b/>
      <w:bCs/>
    </w:rPr>
  </w:style>
  <w:style w:type="character" w:customStyle="1" w:styleId="CommentSubjectChar">
    <w:name w:val="Comment Subject Char"/>
    <w:basedOn w:val="CommentTextChar"/>
    <w:link w:val="CommentSubject"/>
    <w:uiPriority w:val="99"/>
    <w:semiHidden/>
    <w:rsid w:val="00AD5C60"/>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AD5C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60"/>
    <w:rPr>
      <w:rFonts w:ascii="Segoe UI" w:hAnsi="Segoe UI" w:cs="Segoe UI"/>
      <w:sz w:val="18"/>
      <w:szCs w:val="18"/>
      <w:lang w:val="fr-FR"/>
    </w:rPr>
  </w:style>
  <w:style w:type="character" w:styleId="FollowedHyperlink">
    <w:name w:val="FollowedHyperlink"/>
    <w:basedOn w:val="DefaultParagraphFont"/>
    <w:uiPriority w:val="99"/>
    <w:semiHidden/>
    <w:unhideWhenUsed/>
    <w:rsid w:val="00F8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0041">
      <w:bodyDiv w:val="1"/>
      <w:marLeft w:val="0"/>
      <w:marRight w:val="0"/>
      <w:marTop w:val="0"/>
      <w:marBottom w:val="0"/>
      <w:divBdr>
        <w:top w:val="none" w:sz="0" w:space="0" w:color="auto"/>
        <w:left w:val="none" w:sz="0" w:space="0" w:color="auto"/>
        <w:bottom w:val="none" w:sz="0" w:space="0" w:color="auto"/>
        <w:right w:val="none" w:sz="0" w:space="0" w:color="auto"/>
      </w:divBdr>
    </w:div>
    <w:div w:id="7347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9895-2018-INIT/fr/pdf" TargetMode="External"/><Relationship Id="rId26" Type="http://schemas.openxmlformats.org/officeDocument/2006/relationships/hyperlink" Target="http://data.consilium.europa.eu/doc/document/PE-27-2018-INIT/fr/pdf" TargetMode="External"/><Relationship Id="rId39" Type="http://schemas.openxmlformats.org/officeDocument/2006/relationships/hyperlink" Target="http://data.consilium.europa.eu/doc/document/ST-9702-2018-INIT/fr/pdf" TargetMode="External"/><Relationship Id="rId3" Type="http://schemas.openxmlformats.org/officeDocument/2006/relationships/settings" Target="settings.xml"/><Relationship Id="rId21" Type="http://schemas.openxmlformats.org/officeDocument/2006/relationships/hyperlink" Target="http://data.consilium.europa.eu/doc/document/ST-7-2018-REV-1/fr/pdf" TargetMode="External"/><Relationship Id="rId34" Type="http://schemas.openxmlformats.org/officeDocument/2006/relationships/hyperlink" Target="https://www.eca.europa.eu/Lists/ECADocuments/SR18_10/SR_BPS_EN.pdf" TargetMode="External"/><Relationship Id="rId42" Type="http://schemas.openxmlformats.org/officeDocument/2006/relationships/hyperlink" Target="http://data.consilium.europa.eu/doc/document/ST-9586-2018-INIT/fr/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www.consilium.europa.eu/media/35863/st10555-en18.pdf" TargetMode="External"/><Relationship Id="rId25" Type="http://schemas.openxmlformats.org/officeDocument/2006/relationships/hyperlink" Target="http://data.consilium.europa.eu/doc/document/ST-10071-2018-REV-2/fr/pdf" TargetMode="External"/><Relationship Id="rId33" Type="http://schemas.openxmlformats.org/officeDocument/2006/relationships/hyperlink" Target="http://www.consilium.europa.eu/en/press/press-releases/2018/06/26/council-authorises-opening-of-negotiations-with-wto-members-on-brexit-related-adjustments/" TargetMode="External"/><Relationship Id="rId38" Type="http://schemas.openxmlformats.org/officeDocument/2006/relationships/hyperlink" Target="http://data.consilium.europa.eu/doc/document/ST-9698-2018-INIT/fr/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en/press/press-releases/2018/06/26/encouraging-participation-council-ready-to-launch-talks-on-a-revised-european-citizens-initiative/" TargetMode="External"/><Relationship Id="rId29" Type="http://schemas.openxmlformats.org/officeDocument/2006/relationships/hyperlink" Target="http://data.consilium.europa.eu/doc/document/ST-10129-2018-INIT/fr/pdf" TargetMode="External"/><Relationship Id="rId41" Type="http://schemas.openxmlformats.org/officeDocument/2006/relationships/hyperlink" Target="http://data.consilium.europa.eu/doc/document/ST-9685-2018-INIT/f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302-2018-INIT/fr/pdf" TargetMode="External"/><Relationship Id="rId32" Type="http://schemas.openxmlformats.org/officeDocument/2006/relationships/hyperlink" Target="http://data.consilium.europa.eu/doc/document/ST-9273-2018-INIT/fr/pdf" TargetMode="External"/><Relationship Id="rId37" Type="http://schemas.openxmlformats.org/officeDocument/2006/relationships/hyperlink" Target="http://www.consilium.europa.eu/fr/press/press-releases/2018/06/26/ensuring-aviation-safety-and-safe-use-of-drones-council-signs-off-on-easa-reform/" TargetMode="External"/><Relationship Id="rId40" Type="http://schemas.openxmlformats.org/officeDocument/2006/relationships/hyperlink" Target="http://data.consilium.europa.eu/doc/document/ST-9682-2018-INIT/fr/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eeas.europa.eu/delegations/japan_en" TargetMode="External"/><Relationship Id="rId28" Type="http://schemas.openxmlformats.org/officeDocument/2006/relationships/hyperlink" Target="http://data.consilium.europa.eu/doc/document/ST-10072-2018-INIT/fr/pdf" TargetMode="External"/><Relationship Id="rId36" Type="http://schemas.openxmlformats.org/officeDocument/2006/relationships/hyperlink" Target="http://data.consilium.europa.eu/doc/document/ST-10063-2018-ADD-1-REV-1/fr/pdf" TargetMode="External"/><Relationship Id="rId10" Type="http://schemas.openxmlformats.org/officeDocument/2006/relationships/footer" Target="footer1.xml"/><Relationship Id="rId19" Type="http://schemas.openxmlformats.org/officeDocument/2006/relationships/hyperlink" Target="https://ec.europa.eu/commission/sites/beta-political/files/joint-declaration-eu-legislative-priorities-2018-19_en.pdf" TargetMode="External"/><Relationship Id="rId31" Type="http://schemas.openxmlformats.org/officeDocument/2006/relationships/hyperlink" Target="http://data.consilium.europa.eu/doc/document/ST-9270-2018-INIT/fr/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10494-2018-INIT/fr/pdf" TargetMode="External"/><Relationship Id="rId27" Type="http://schemas.openxmlformats.org/officeDocument/2006/relationships/hyperlink" Target="http://data.consilium.europa.eu/doc/document/ST-10070-2018-ADD-1/fr/pdf" TargetMode="External"/><Relationship Id="rId30" Type="http://schemas.openxmlformats.org/officeDocument/2006/relationships/hyperlink" Target="http://data.consilium.europa.eu/doc/document/ST-9267-2018-INIT/fr/pdf" TargetMode="External"/><Relationship Id="rId35" Type="http://schemas.openxmlformats.org/officeDocument/2006/relationships/hyperlink" Target="http://data.consilium.europa.eu/doc/document/PE-2-2018-INIT/fr/pdf"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27</TotalTime>
  <Pages>10</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BOUCHER Jean-Marc</cp:lastModifiedBy>
  <cp:revision>7</cp:revision>
  <cp:lastPrinted>2018-06-29T08:29:00Z</cp:lastPrinted>
  <dcterms:created xsi:type="dcterms:W3CDTF">2018-10-09T06:39:00Z</dcterms:created>
  <dcterms:modified xsi:type="dcterms:W3CDTF">2018-10-09T07:06:00Z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4.2.2, Build 20181002</vt:lpwstr>
  </property>
  <property fmtid="{D5CDD505-2E9C-101B-9397-08002B2CF9AE}" pid="5" name="SkipControlLengthPage">
    <vt:lpwstr> p.8</vt:lpwstr>
  </property>
</Properties>
</file>