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779B810-979B-4CAB-BF23-6DE804306B2B" style="width:450.75pt;height:461.25pt">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u w:val="single"/>
        </w:rPr>
      </w:pPr>
      <w:bookmarkStart w:id="1" w:name="_GoBack"/>
      <w:bookmarkEnd w:id="1"/>
      <w:r>
        <w:rPr>
          <w:rFonts w:ascii="Times New Roman" w:hAnsi="Times New Roman" w:cs="Times New Roman"/>
          <w:b/>
          <w:noProof/>
          <w:u w:val="single"/>
        </w:rPr>
        <w:lastRenderedPageBreak/>
        <w:t>ANNEX</w:t>
      </w:r>
    </w:p>
    <w:p>
      <w:pPr>
        <w:pStyle w:val="Pa35"/>
        <w:rPr>
          <w:rFonts w:ascii="Times New Roman" w:hAnsi="Times New Roman" w:cs="Times New Roman"/>
          <w:noProof/>
          <w:color w:val="000000"/>
          <w:sz w:val="23"/>
          <w:szCs w:val="23"/>
        </w:rPr>
      </w:pPr>
      <w:r>
        <w:rPr>
          <w:rStyle w:val="A13"/>
          <w:rFonts w:ascii="Times New Roman" w:hAnsi="Times New Roman" w:cs="Times New Roman"/>
          <w:noProof/>
          <w:sz w:val="23"/>
          <w:szCs w:val="23"/>
        </w:rPr>
        <w:t>DELIVERING ON LEGISLATIVE PRIORITIES</w:t>
      </w:r>
      <w:r>
        <w:rPr>
          <w:rStyle w:val="A13"/>
          <w:rFonts w:ascii="Times New Roman" w:hAnsi="Times New Roman" w:cs="Times New Roman"/>
          <w:noProof/>
          <w:sz w:val="23"/>
          <w:szCs w:val="23"/>
        </w:rPr>
        <w:br/>
      </w:r>
    </w:p>
    <w:tbl>
      <w:tblPr>
        <w:tblStyle w:val="TableGrid"/>
        <w:tblW w:w="11326" w:type="dxa"/>
        <w:tblInd w:w="250" w:type="dxa"/>
        <w:tblLook w:val="04A0" w:firstRow="1" w:lastRow="0" w:firstColumn="1" w:lastColumn="0" w:noHBand="0" w:noVBand="1"/>
      </w:tblPr>
      <w:tblGrid>
        <w:gridCol w:w="392"/>
        <w:gridCol w:w="10934"/>
      </w:tblGrid>
      <w:tr>
        <w:tc>
          <w:tcPr>
            <w:tcW w:w="392" w:type="dxa"/>
            <w:tcBorders>
              <w:right w:val="single" w:sz="4" w:space="0" w:color="auto"/>
            </w:tcBorders>
            <w:shd w:val="clear" w:color="auto" w:fill="00B05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cs="Times New Roman"/>
                <w:noProof/>
                <w:color w:val="000000"/>
                <w:szCs w:val="20"/>
              </w:rPr>
              <w:t>Presented and agreed</w:t>
            </w:r>
          </w:p>
        </w:tc>
      </w:tr>
      <w:tr>
        <w:tc>
          <w:tcPr>
            <w:tcW w:w="392" w:type="dxa"/>
            <w:tcBorders>
              <w:right w:val="single" w:sz="4" w:space="0" w:color="auto"/>
            </w:tcBorders>
            <w:shd w:val="clear" w:color="auto" w:fill="FFFF0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cs="Times New Roman"/>
                <w:noProof/>
                <w:color w:val="000000"/>
                <w:szCs w:val="20"/>
              </w:rPr>
              <w:t>Swift agreement possible by following normal procedures</w:t>
            </w:r>
          </w:p>
        </w:tc>
      </w:tr>
      <w:tr>
        <w:tc>
          <w:tcPr>
            <w:tcW w:w="392" w:type="dxa"/>
            <w:tcBorders>
              <w:right w:val="single" w:sz="4" w:space="0" w:color="auto"/>
            </w:tcBorders>
            <w:shd w:val="clear" w:color="auto" w:fill="F79646" w:themeFill="accent6"/>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cs="Times New Roman"/>
                <w:noProof/>
                <w:color w:val="000000"/>
                <w:szCs w:val="20"/>
              </w:rPr>
              <w:t>Agreement possible if strong political commitment from all EU institutions</w:t>
            </w:r>
          </w:p>
        </w:tc>
      </w:tr>
    </w:tbl>
    <w:p>
      <w:pPr>
        <w:pStyle w:val="Pa35"/>
        <w:rPr>
          <w:rStyle w:val="A13"/>
          <w:rFonts w:ascii="Times New Roman" w:hAnsi="Times New Roman" w:cs="Times New Roman"/>
          <w:noProof/>
          <w:sz w:val="23"/>
          <w:szCs w:val="23"/>
        </w:rPr>
      </w:pPr>
    </w:p>
    <w:p>
      <w:pPr>
        <w:pStyle w:val="Pa35"/>
        <w:rPr>
          <w:rStyle w:val="A13"/>
          <w:rFonts w:ascii="Times New Roman" w:hAnsi="Times New Roman" w:cs="Times New Roman"/>
          <w:noProof/>
          <w:sz w:val="23"/>
          <w:szCs w:val="23"/>
        </w:rPr>
      </w:pPr>
      <w:r>
        <w:rPr>
          <w:rStyle w:val="A13"/>
          <w:rFonts w:ascii="Times New Roman" w:hAnsi="Times New Roman" w:cs="Times New Roman"/>
          <w:noProof/>
          <w:sz w:val="23"/>
          <w:szCs w:val="23"/>
        </w:rPr>
        <w:t>I) 2018 State of the Union initiatives</w:t>
      </w:r>
      <w:r>
        <w:rPr>
          <w:rStyle w:val="FootnoteReference"/>
          <w:rFonts w:ascii="Times New Roman" w:hAnsi="Times New Roman" w:cs="Times New Roman"/>
          <w:b/>
          <w:bCs/>
          <w:noProof/>
          <w:color w:val="000000"/>
          <w:sz w:val="23"/>
          <w:szCs w:val="23"/>
        </w:rPr>
        <w:footnoteReference w:id="1"/>
      </w:r>
    </w:p>
    <w:p>
      <w:pPr>
        <w:rPr>
          <w:rFonts w:ascii="Times New Roman" w:hAnsi="Times New Roman" w:cs="Times New Roman"/>
          <w:noProof/>
        </w:rPr>
      </w:pPr>
    </w:p>
    <w:tbl>
      <w:tblPr>
        <w:tblStyle w:val="TableGrid"/>
        <w:tblW w:w="0" w:type="auto"/>
        <w:jc w:val="center"/>
        <w:tblLook w:val="04A0" w:firstRow="1" w:lastRow="0" w:firstColumn="1" w:lastColumn="0" w:noHBand="0" w:noVBand="1"/>
      </w:tblPr>
      <w:tblGrid>
        <w:gridCol w:w="3085"/>
        <w:gridCol w:w="2521"/>
        <w:gridCol w:w="1378"/>
        <w:gridCol w:w="1276"/>
        <w:gridCol w:w="114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pPr>
              <w:jc w:val="center"/>
              <w:rPr>
                <w:rFonts w:ascii="Times New Roman" w:hAnsi="Times New Roman" w:cs="Times New Roman"/>
                <w:b/>
                <w:noProof/>
              </w:rPr>
            </w:pPr>
            <w:r>
              <w:rPr>
                <w:rFonts w:ascii="Times New Roman" w:hAnsi="Times New Roman" w:cs="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pPr>
              <w:jc w:val="center"/>
              <w:rPr>
                <w:rFonts w:ascii="Times New Roman" w:hAnsi="Times New Roman" w:cs="Times New Roman"/>
                <w:b/>
                <w:noProof/>
              </w:rPr>
            </w:pPr>
            <w:r>
              <w:rPr>
                <w:rFonts w:ascii="Times New Roman" w:hAnsi="Times New Roman" w:cs="Times New Roman"/>
                <w:b/>
                <w:noProof/>
              </w:rPr>
              <w:t>European Parliament</w:t>
            </w:r>
          </w:p>
        </w:tc>
        <w:tc>
          <w:tcPr>
            <w:tcW w:w="1100" w:type="dxa"/>
            <w:vAlign w:val="center"/>
          </w:tcPr>
          <w:p>
            <w:pPr>
              <w:jc w:val="center"/>
              <w:rPr>
                <w:rFonts w:ascii="Times New Roman" w:hAnsi="Times New Roman" w:cs="Times New Roman"/>
                <w:b/>
                <w:noProof/>
              </w:rPr>
            </w:pPr>
            <w:r>
              <w:rPr>
                <w:rFonts w:ascii="Times New Roman" w:hAnsi="Times New Roman" w:cs="Times New Roman"/>
                <w:b/>
                <w:noProof/>
              </w:rPr>
              <w:t>Council of the European Union</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Prevention of the dissemination of terrorist content online</w:t>
            </w:r>
            <w:r>
              <w:rPr>
                <w:rStyle w:val="FootnoteReference"/>
                <w:rFonts w:ascii="Times New Roman" w:hAnsi="Times New Roman" w:cs="Times New Roman"/>
                <w:noProof/>
                <w:sz w:val="20"/>
                <w:szCs w:val="20"/>
              </w:rPr>
              <w:footnoteReference w:id="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Extension of the mandate of the European Public Prosecutor's Office to cross-border terrorism</w:t>
            </w:r>
            <w:r>
              <w:rPr>
                <w:rStyle w:val="FootnoteReference"/>
                <w:rFonts w:ascii="Times New Roman" w:hAnsi="Times New Roman" w:cs="Times New Roman"/>
                <w:noProof/>
                <w:sz w:val="20"/>
                <w:szCs w:val="20"/>
              </w:rPr>
              <w:footnoteReference w:id="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Targeted change of the Regulation on party funding as regards a verification procedure related to infringements of personal data in the context of the European Parliament elections</w:t>
            </w:r>
            <w:r>
              <w:rPr>
                <w:rStyle w:val="FootnoteReference"/>
                <w:rFonts w:ascii="Times New Roman" w:hAnsi="Times New Roman" w:cs="Times New Roman"/>
                <w:noProof/>
                <w:sz w:val="20"/>
                <w:szCs w:val="20"/>
              </w:rPr>
              <w:footnoteReference w:id="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capacities of the European Border and Coast Guard Agency</w:t>
            </w:r>
            <w:r>
              <w:rPr>
                <w:rStyle w:val="FootnoteReference"/>
                <w:rFonts w:ascii="Times New Roman" w:hAnsi="Times New Roman" w:cs="Times New Roman"/>
                <w:noProof/>
                <w:sz w:val="20"/>
                <w:szCs w:val="20"/>
              </w:rPr>
              <w:footnoteReference w:id="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Industrial, Technology and Research Cybersecurity Competence Centre</w:t>
            </w:r>
            <w:r>
              <w:rPr>
                <w:rStyle w:val="FootnoteReference"/>
                <w:rFonts w:ascii="Times New Roman" w:hAnsi="Times New Roman" w:cs="Times New Roman"/>
                <w:noProof/>
                <w:sz w:val="20"/>
                <w:szCs w:val="20"/>
              </w:rPr>
              <w:footnoteReference w:id="6"/>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Reinforcing the role of the European Banking Authority in anti-money laundering supervision</w:t>
            </w:r>
            <w:r>
              <w:rPr>
                <w:rStyle w:val="FootnoteReference"/>
                <w:rFonts w:ascii="Times New Roman" w:hAnsi="Times New Roman" w:cs="Times New Roman"/>
                <w:noProof/>
                <w:sz w:val="20"/>
                <w:szCs w:val="20"/>
              </w:rPr>
              <w:footnoteReference w:id="7"/>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bl>
    <w:p>
      <w:pPr>
        <w:rPr>
          <w:rStyle w:val="A13"/>
          <w:rFonts w:ascii="Times New Roman" w:hAnsi="Times New Roman" w:cs="Times New Roman"/>
          <w:noProof/>
          <w:color w:val="auto"/>
          <w:sz w:val="23"/>
          <w:szCs w:val="23"/>
        </w:rPr>
      </w:pPr>
      <w:r>
        <w:rPr>
          <w:rStyle w:val="A13"/>
          <w:rFonts w:ascii="Times New Roman" w:hAnsi="Times New Roman" w:cs="Times New Roman"/>
          <w:noProof/>
          <w:color w:val="auto"/>
          <w:sz w:val="23"/>
          <w:szCs w:val="23"/>
        </w:rPr>
        <w:br w:type="page"/>
      </w:r>
    </w:p>
    <w:p>
      <w:pPr>
        <w:pStyle w:val="Pa35"/>
        <w:rPr>
          <w:rStyle w:val="A13"/>
          <w:rFonts w:ascii="Times New Roman" w:hAnsi="Times New Roman" w:cs="Times New Roman"/>
          <w:noProof/>
          <w:color w:val="auto"/>
          <w:sz w:val="23"/>
          <w:szCs w:val="23"/>
        </w:rPr>
      </w:pPr>
    </w:p>
    <w:p>
      <w:pPr>
        <w:pStyle w:val="Pa35"/>
        <w:rPr>
          <w:rFonts w:ascii="Times New Roman" w:hAnsi="Times New Roman" w:cs="Times New Roman"/>
          <w:noProof/>
        </w:rPr>
      </w:pPr>
      <w:r>
        <w:rPr>
          <w:rStyle w:val="A13"/>
          <w:rFonts w:ascii="Times New Roman" w:hAnsi="Times New Roman" w:cs="Times New Roman"/>
          <w:noProof/>
          <w:color w:val="auto"/>
          <w:sz w:val="23"/>
          <w:szCs w:val="23"/>
        </w:rPr>
        <w:t>II) Priorities agreed in the Joint Declaration</w:t>
      </w:r>
      <w:r>
        <w:rPr>
          <w:rStyle w:val="FootnoteReference"/>
          <w:rFonts w:ascii="Times New Roman" w:hAnsi="Times New Roman" w:cs="Times New Roman"/>
          <w:b/>
          <w:bCs/>
          <w:noProof/>
          <w:sz w:val="23"/>
          <w:szCs w:val="23"/>
        </w:rPr>
        <w:footnoteReference w:id="8"/>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146"/>
      </w:tblGrid>
      <w:tr>
        <w:trPr>
          <w:tblHeader/>
          <w:jc w:val="center"/>
        </w:trPr>
        <w:tc>
          <w:tcPr>
            <w:tcW w:w="3085" w:type="dxa"/>
            <w:vAlign w:val="center"/>
          </w:tcPr>
          <w:p>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pPr>
              <w:jc w:val="center"/>
              <w:rPr>
                <w:rFonts w:ascii="Times New Roman" w:hAnsi="Times New Roman" w:cs="Times New Roman"/>
                <w:b/>
                <w:noProof/>
              </w:rPr>
            </w:pPr>
            <w:r>
              <w:rPr>
                <w:rFonts w:ascii="Times New Roman" w:hAnsi="Times New Roman" w:cs="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pPr>
              <w:jc w:val="center"/>
              <w:rPr>
                <w:rFonts w:ascii="Times New Roman" w:hAnsi="Times New Roman" w:cs="Times New Roman"/>
                <w:b/>
                <w:noProof/>
              </w:rPr>
            </w:pPr>
            <w:r>
              <w:rPr>
                <w:rFonts w:ascii="Times New Roman" w:hAnsi="Times New Roman" w:cs="Times New Roman"/>
                <w:b/>
                <w:noProof/>
              </w:rPr>
              <w:t>European Parliament</w:t>
            </w:r>
          </w:p>
        </w:tc>
        <w:tc>
          <w:tcPr>
            <w:tcW w:w="1100" w:type="dxa"/>
            <w:vAlign w:val="center"/>
          </w:tcPr>
          <w:p>
            <w:pPr>
              <w:jc w:val="center"/>
              <w:rPr>
                <w:rFonts w:ascii="Times New Roman" w:hAnsi="Times New Roman" w:cs="Times New Roman"/>
                <w:b/>
                <w:noProof/>
              </w:rPr>
            </w:pPr>
            <w:r>
              <w:rPr>
                <w:rFonts w:ascii="Times New Roman" w:hAnsi="Times New Roman" w:cs="Times New Roman"/>
                <w:b/>
                <w:noProof/>
              </w:rPr>
              <w:t>Council of the European Union</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Travel Information and Authorisation System</w:t>
            </w:r>
            <w:r>
              <w:rPr>
                <w:rStyle w:val="FootnoteReference"/>
                <w:rFonts w:ascii="Times New Roman" w:hAnsi="Times New Roman" w:cs="Times New Roman"/>
                <w:noProof/>
                <w:sz w:val="20"/>
                <w:szCs w:val="20"/>
              </w:rPr>
              <w:footnoteReference w:id="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November 2016; agreed between co-legislators; formal adoption in Autumn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Agency for the operational management of large-scale IT systems in the area of freedom, security and justice</w:t>
            </w:r>
            <w:r>
              <w:rPr>
                <w:rStyle w:val="FootnoteReference"/>
                <w:rFonts w:ascii="Times New Roman" w:hAnsi="Times New Roman" w:cs="Times New Roman"/>
                <w:noProof/>
                <w:sz w:val="20"/>
                <w:szCs w:val="20"/>
              </w:rPr>
              <w:footnoteReference w:id="1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June 2017; agreed between co-legislators; formal adoption in Autumn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Schengen Information System</w:t>
            </w:r>
            <w:r>
              <w:rPr>
                <w:rStyle w:val="FootnoteReference"/>
                <w:rFonts w:ascii="Times New Roman" w:hAnsi="Times New Roman" w:cs="Times New Roman"/>
                <w:noProof/>
                <w:sz w:val="20"/>
                <w:szCs w:val="20"/>
              </w:rPr>
              <w:footnoteReference w:id="1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December 2016; agreed between co-legislators; formal adoption in Autumn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Money laundering and terrorist financing</w:t>
            </w:r>
            <w:r>
              <w:rPr>
                <w:rStyle w:val="FootnoteReference"/>
                <w:rFonts w:ascii="Times New Roman" w:hAnsi="Times New Roman" w:cs="Times New Roman"/>
                <w:noProof/>
                <w:sz w:val="20"/>
                <w:szCs w:val="20"/>
              </w:rPr>
              <w:footnoteReference w:id="1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July 2016; formal adoption in May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Entry/Exit System</w:t>
            </w:r>
            <w:r>
              <w:rPr>
                <w:rStyle w:val="FootnoteReference"/>
                <w:rFonts w:ascii="Times New Roman" w:hAnsi="Times New Roman" w:cs="Times New Roman"/>
                <w:noProof/>
                <w:sz w:val="20"/>
                <w:szCs w:val="20"/>
              </w:rPr>
              <w:footnoteReference w:id="1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April 2016; formal adoption in November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Control of the acquisition and possession of weapons</w:t>
            </w:r>
            <w:r>
              <w:rPr>
                <w:rStyle w:val="FootnoteReference"/>
                <w:rFonts w:ascii="Times New Roman" w:hAnsi="Times New Roman" w:cs="Times New Roman"/>
                <w:noProof/>
                <w:sz w:val="20"/>
                <w:szCs w:val="20"/>
              </w:rPr>
              <w:footnoteReference w:id="1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November 2015; formal adoption in May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Terrorism Directive</w:t>
            </w:r>
            <w:r>
              <w:rPr>
                <w:rStyle w:val="FootnoteReference"/>
                <w:rFonts w:ascii="Times New Roman" w:hAnsi="Times New Roman" w:cs="Times New Roman"/>
                <w:noProof/>
                <w:sz w:val="20"/>
                <w:szCs w:val="20"/>
              </w:rPr>
              <w:footnoteReference w:id="1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December 2015; formal adoption in March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bottom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Criminal Records Information System</w:t>
            </w:r>
            <w:r>
              <w:rPr>
                <w:rStyle w:val="FootnoteReference"/>
                <w:rFonts w:ascii="Times New Roman" w:hAnsi="Times New Roman" w:cs="Times New Roman"/>
                <w:noProof/>
                <w:sz w:val="20"/>
                <w:szCs w:val="20"/>
              </w:rPr>
              <w:footnoteReference w:id="16"/>
            </w:r>
          </w:p>
        </w:tc>
        <w:tc>
          <w:tcPr>
            <w:tcW w:w="2521" w:type="dxa"/>
            <w:tcBorders>
              <w:bottom w:val="single" w:sz="4" w:space="0" w:color="auto"/>
            </w:tcBorders>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January 2016 and supplemented in June 2017; final phase of trilogue discussions.</w:t>
            </w:r>
          </w:p>
        </w:tc>
        <w:tc>
          <w:tcPr>
            <w:tcW w:w="1306" w:type="dxa"/>
            <w:tcBorders>
              <w:bottom w:val="single" w:sz="4" w:space="0" w:color="auto"/>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c>
          <w:tcPr>
            <w:tcW w:w="1100"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r>
      <w:tr>
        <w:trPr>
          <w:cantSplit/>
          <w:jc w:val="center"/>
        </w:trPr>
        <w:tc>
          <w:tcPr>
            <w:tcW w:w="3085" w:type="dxa"/>
            <w:tcBorders>
              <w:top w:val="single" w:sz="4" w:space="0" w:color="auto"/>
              <w:left w:val="nil"/>
              <w:bottom w:val="nil"/>
              <w:right w:val="nil"/>
            </w:tcBorders>
            <w:shd w:val="clear" w:color="auto" w:fill="FFFFFF" w:themeFill="background1"/>
            <w:vAlign w:val="center"/>
          </w:tcPr>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2521" w:type="dxa"/>
            <w:tcBorders>
              <w:top w:val="single" w:sz="4" w:space="0" w:color="auto"/>
              <w:left w:val="nil"/>
              <w:bottom w:val="nil"/>
              <w:right w:val="nil"/>
            </w:tcBorders>
            <w:shd w:val="clear" w:color="auto" w:fill="FFFFFF" w:themeFill="background1"/>
            <w:vAlign w:val="center"/>
          </w:tcPr>
          <w:p>
            <w:pPr>
              <w:rPr>
                <w:rFonts w:ascii="Times New Roman" w:hAnsi="Times New Roman" w:cs="Times New Roman"/>
                <w:noProof/>
                <w:sz w:val="20"/>
                <w:szCs w:val="20"/>
              </w:rPr>
            </w:pPr>
          </w:p>
        </w:tc>
        <w:tc>
          <w:tcPr>
            <w:tcW w:w="1306"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c>
          <w:tcPr>
            <w:tcW w:w="1276"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c>
          <w:tcPr>
            <w:tcW w:w="1100"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r>
      <w:tr>
        <w:trPr>
          <w:jc w:val="center"/>
        </w:trPr>
        <w:tc>
          <w:tcPr>
            <w:tcW w:w="3085" w:type="dxa"/>
            <w:tcBorders>
              <w:top w:val="nil"/>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Interoperability between EU information systems for security, border and migration management</w:t>
            </w:r>
            <w:r>
              <w:rPr>
                <w:rStyle w:val="FootnoteReference"/>
                <w:rFonts w:ascii="Times New Roman" w:hAnsi="Times New Roman" w:cs="Times New Roman"/>
                <w:noProof/>
                <w:sz w:val="20"/>
                <w:szCs w:val="20"/>
              </w:rPr>
              <w:footnoteReference w:id="17"/>
            </w:r>
          </w:p>
        </w:tc>
        <w:tc>
          <w:tcPr>
            <w:tcW w:w="2521" w:type="dxa"/>
            <w:tcBorders>
              <w:top w:val="nil"/>
            </w:tcBorders>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December 2017 and amended in June 2018; Council has adopted its negotiating mandate; European Parliament needs to adopt its negotiating mandate for trilogue discussions to start.</w:t>
            </w:r>
          </w:p>
        </w:tc>
        <w:tc>
          <w:tcPr>
            <w:tcW w:w="1306" w:type="dxa"/>
            <w:tcBorders>
              <w:top w:val="nil"/>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top w:val="nil"/>
            </w:tcBorders>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tcBorders>
              <w:top w:val="nil"/>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Cross-border access of law enforcement authorities to electronic evidence</w:t>
            </w:r>
            <w:r>
              <w:rPr>
                <w:rStyle w:val="FootnoteReference"/>
                <w:rFonts w:ascii="Times New Roman" w:hAnsi="Times New Roman" w:cs="Times New Roman"/>
                <w:noProof/>
                <w:sz w:val="20"/>
                <w:szCs w:val="20"/>
              </w:rPr>
              <w:footnoteReference w:id="18"/>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European Parliament and Council need to adopt their negotiating mandates and enter into trilogue discussions.</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Cross-border access to and use of financial data by law enforcement authorities</w:t>
            </w:r>
            <w:r>
              <w:rPr>
                <w:rStyle w:val="FootnoteReference"/>
                <w:rFonts w:ascii="Times New Roman" w:hAnsi="Times New Roman" w:cs="Times New Roman"/>
                <w:noProof/>
                <w:sz w:val="20"/>
                <w:szCs w:val="20"/>
              </w:rPr>
              <w:footnoteReference w:id="1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European Parliament and Council need to adopt their negotiating mandates and enter into trilogue discussions.</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Eurodac</w:t>
            </w:r>
            <w:r>
              <w:rPr>
                <w:rStyle w:val="FootnoteReference"/>
                <w:rFonts w:ascii="Times New Roman" w:hAnsi="Times New Roman" w:cs="Times New Roman"/>
                <w:noProof/>
                <w:sz w:val="20"/>
                <w:szCs w:val="20"/>
              </w:rPr>
              <w:footnoteReference w:id="2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May 2016; European Parliament and Council need to finalise the trilogue discussions.</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Cybersecurity Act</w:t>
            </w:r>
            <w:r>
              <w:rPr>
                <w:rStyle w:val="FootnoteReference"/>
                <w:rFonts w:ascii="Times New Roman" w:hAnsi="Times New Roman" w:cs="Times New Roman"/>
                <w:noProof/>
                <w:sz w:val="20"/>
                <w:szCs w:val="20"/>
              </w:rPr>
              <w:footnoteReference w:id="2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2017; trilogue discussions are on-going.</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FFF00"/>
            <w:vAlign w:val="center"/>
          </w:tcPr>
          <w:p>
            <w:pPr>
              <w:spacing w:before="180" w:after="180"/>
              <w:jc w:val="center"/>
              <w:rPr>
                <w:rFonts w:ascii="Times New Roman" w:hAnsi="Times New Roman" w:cs="Times New Roman"/>
                <w:noProof/>
                <w:sz w:val="20"/>
                <w:szCs w:val="20"/>
              </w:rPr>
            </w:pPr>
          </w:p>
        </w:tc>
        <w:tc>
          <w:tcPr>
            <w:tcW w:w="1100" w:type="dxa"/>
            <w:shd w:val="clear" w:color="auto" w:fill="FFFF00"/>
            <w:vAlign w:val="center"/>
          </w:tcPr>
          <w:p>
            <w:pPr>
              <w:spacing w:before="180" w:after="180"/>
              <w:jc w:val="center"/>
              <w:rPr>
                <w:rFonts w:ascii="Times New Roman" w:hAnsi="Times New Roman" w:cs="Times New Roman"/>
                <w:noProof/>
                <w:sz w:val="20"/>
                <w:szCs w:val="20"/>
              </w:rPr>
            </w:pPr>
          </w:p>
        </w:tc>
      </w:tr>
    </w:tbl>
    <w:p>
      <w:pPr>
        <w:rPr>
          <w:rFonts w:ascii="Times New Roman" w:hAnsi="Times New Roman" w:cs="Times New Roman"/>
          <w:noProof/>
        </w:rPr>
      </w:pPr>
    </w:p>
    <w:p>
      <w:pPr>
        <w:rPr>
          <w:rStyle w:val="A13"/>
          <w:rFonts w:ascii="Times New Roman" w:hAnsi="Times New Roman" w:cs="Times New Roman"/>
          <w:noProof/>
          <w:sz w:val="23"/>
          <w:szCs w:val="23"/>
        </w:rPr>
      </w:pPr>
      <w:r>
        <w:rPr>
          <w:rStyle w:val="A13"/>
          <w:rFonts w:ascii="Times New Roman" w:hAnsi="Times New Roman" w:cs="Times New Roman"/>
          <w:noProof/>
          <w:sz w:val="23"/>
          <w:szCs w:val="23"/>
        </w:rPr>
        <w:br w:type="page"/>
      </w:r>
    </w:p>
    <w:p>
      <w:pPr>
        <w:pStyle w:val="Pa35"/>
        <w:rPr>
          <w:rFonts w:ascii="Times New Roman" w:hAnsi="Times New Roman" w:cs="Times New Roman"/>
          <w:noProof/>
        </w:rPr>
      </w:pPr>
      <w:r>
        <w:rPr>
          <w:rStyle w:val="A13"/>
          <w:rFonts w:ascii="Times New Roman" w:hAnsi="Times New Roman" w:cs="Times New Roman"/>
          <w:noProof/>
          <w:sz w:val="23"/>
          <w:szCs w:val="23"/>
        </w:rPr>
        <w:t xml:space="preserve">III) </w:t>
      </w:r>
      <w:r>
        <w:rPr>
          <w:rStyle w:val="A13"/>
          <w:rFonts w:ascii="Times New Roman" w:hAnsi="Times New Roman" w:cs="Times New Roman"/>
          <w:noProof/>
          <w:color w:val="auto"/>
          <w:sz w:val="23"/>
          <w:szCs w:val="23"/>
        </w:rPr>
        <w:t>Other legislative initiatives under discussion in the Security Union</w:t>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14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pPr>
              <w:jc w:val="center"/>
              <w:rPr>
                <w:rFonts w:ascii="Times New Roman" w:hAnsi="Times New Roman" w:cs="Times New Roman"/>
                <w:b/>
                <w:noProof/>
              </w:rPr>
            </w:pPr>
            <w:r>
              <w:rPr>
                <w:rFonts w:ascii="Times New Roman" w:hAnsi="Times New Roman" w:cs="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pPr>
              <w:jc w:val="center"/>
              <w:rPr>
                <w:rFonts w:ascii="Times New Roman" w:hAnsi="Times New Roman" w:cs="Times New Roman"/>
                <w:b/>
                <w:noProof/>
              </w:rPr>
            </w:pPr>
            <w:r>
              <w:rPr>
                <w:rFonts w:ascii="Times New Roman" w:hAnsi="Times New Roman" w:cs="Times New Roman"/>
                <w:b/>
                <w:noProof/>
              </w:rPr>
              <w:t>European Parliament</w:t>
            </w:r>
          </w:p>
        </w:tc>
        <w:tc>
          <w:tcPr>
            <w:tcW w:w="1100" w:type="dxa"/>
            <w:vAlign w:val="center"/>
          </w:tcPr>
          <w:p>
            <w:pPr>
              <w:jc w:val="center"/>
              <w:rPr>
                <w:rFonts w:ascii="Times New Roman" w:hAnsi="Times New Roman" w:cs="Times New Roman"/>
                <w:b/>
                <w:noProof/>
              </w:rPr>
            </w:pPr>
            <w:r>
              <w:rPr>
                <w:rFonts w:ascii="Times New Roman" w:hAnsi="Times New Roman" w:cs="Times New Roman"/>
                <w:b/>
                <w:noProof/>
              </w:rPr>
              <w:t>Council of the European Union</w:t>
            </w: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Combating fraud and counterfeiting of on-cash means of payment</w:t>
            </w:r>
            <w:r>
              <w:rPr>
                <w:rStyle w:val="FootnoteReference"/>
                <w:rFonts w:ascii="Times New Roman" w:hAnsi="Times New Roman" w:cs="Times New Roman"/>
                <w:noProof/>
                <w:sz w:val="20"/>
                <w:szCs w:val="20"/>
              </w:rPr>
              <w:footnoteReference w:id="22"/>
            </w:r>
          </w:p>
        </w:tc>
        <w:tc>
          <w:tcPr>
            <w:tcW w:w="2521" w:type="dxa"/>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2017; trilogue discussions are ongoing.</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Restricting the marketing and use of explosives precursors</w:t>
            </w:r>
            <w:r>
              <w:rPr>
                <w:rStyle w:val="FootnoteReference"/>
                <w:rFonts w:ascii="Times New Roman" w:hAnsi="Times New Roman" w:cs="Times New Roman"/>
                <w:noProof/>
                <w:sz w:val="20"/>
                <w:szCs w:val="20"/>
              </w:rPr>
              <w:footnoteReference w:id="23"/>
            </w:r>
          </w:p>
        </w:tc>
        <w:tc>
          <w:tcPr>
            <w:tcW w:w="2521" w:type="dxa"/>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European Parliament and Council need to adopt their negotiating mandates and enter into trilogue discussions.</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Enhancing the security features of national identity cards and residence documents</w:t>
            </w:r>
            <w:r>
              <w:rPr>
                <w:rStyle w:val="FootnoteReference"/>
                <w:rFonts w:ascii="Times New Roman" w:hAnsi="Times New Roman" w:cs="Times New Roman"/>
                <w:noProof/>
                <w:sz w:val="20"/>
                <w:szCs w:val="20"/>
              </w:rPr>
              <w:footnoteReference w:id="24"/>
            </w:r>
          </w:p>
        </w:tc>
        <w:tc>
          <w:tcPr>
            <w:tcW w:w="2521" w:type="dxa"/>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European Parliament and Council need to adopt their negotiating mandates and enter into trilogue discussions.</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Visa Information System</w:t>
            </w:r>
            <w:r>
              <w:rPr>
                <w:rStyle w:val="FootnoteReference"/>
                <w:rFonts w:ascii="Times New Roman" w:hAnsi="Times New Roman" w:cs="Times New Roman"/>
                <w:noProof/>
                <w:sz w:val="20"/>
                <w:szCs w:val="20"/>
              </w:rPr>
              <w:footnoteReference w:id="25"/>
            </w:r>
          </w:p>
        </w:tc>
        <w:tc>
          <w:tcPr>
            <w:tcW w:w="2521" w:type="dxa"/>
          </w:tcPr>
          <w:p>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May 2018; European Parliament and Council need to adopt their negotiating mandates and enter into trilogue discussions.</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bl>
    <w:p>
      <w:pPr>
        <w:tabs>
          <w:tab w:val="left" w:pos="6345"/>
        </w:tabs>
        <w:rPr>
          <w:rFonts w:ascii="Times New Roman" w:hAnsi="Times New Roman" w:cs="Times New Roman"/>
          <w:noProof/>
          <w:sz w:val="2"/>
          <w:szCs w:val="2"/>
        </w:rPr>
      </w:pPr>
    </w:p>
    <w:sectPr>
      <w:headerReference w:type="even" r:id="rId15"/>
      <w:headerReference w:type="default" r:id="rId16"/>
      <w:footerReference w:type="even" r:id="rId17"/>
      <w:footerReference w:type="default" r:id="rId18"/>
      <w:headerReference w:type="first" r:id="rId19"/>
      <w:footerReference w:type="first" r:id="rId20"/>
      <w:pgSz w:w="11910" w:h="16840"/>
      <w:pgMar w:top="1020" w:right="400" w:bottom="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C Square Sans Pro">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17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https://ec.europa.eu/commission/sites/beta-political/files/soteu2018-speech_en_0.pdf</w:t>
        </w:r>
      </w:hyperlink>
      <w:r>
        <w:rPr>
          <w:rFonts w:ascii="Times New Roman" w:hAnsi="Times New Roman" w:cs="Times New Roman"/>
        </w:rPr>
        <w:t xml:space="preserve">. See also President Juncker's Letter of Intent: </w:t>
      </w:r>
      <w:hyperlink r:id="rId2" w:history="1">
        <w:r>
          <w:rPr>
            <w:rStyle w:val="Hyperlink"/>
            <w:rFonts w:ascii="Times New Roman" w:hAnsi="Times New Roman" w:cs="Times New Roman"/>
          </w:rPr>
          <w:t>https://ec.europa.eu/commission/sites/beta-political/files/soteu2018-letter-of-intent_en.pdf</w:t>
        </w:r>
      </w:hyperlink>
      <w:r>
        <w:rPr>
          <w:rFonts w:ascii="Times New Roman" w:hAnsi="Times New Roman" w:cs="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640 final (12.9.2018).</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641 final (12.9.2018).</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636 final (12.9.2018).</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631 final (12.9.2018).</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630 final (12.9.2018).</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645 final (12.9.2018).</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https://ec.europa.eu/commission/sites/beta-political/files/joint-declaration-eu-legislative-priorities-2018-19_en.pdf</w:t>
        </w:r>
      </w:hyperlink>
      <w:r>
        <w:rPr>
          <w:rFonts w:ascii="Times New Roman" w:hAnsi="Times New Roman" w:cs="Times New Roman"/>
          <w:lang w:val="pt-PT"/>
        </w:rPr>
        <w:t>.</w:t>
      </w:r>
    </w:p>
  </w:footnote>
  <w:footnote w:id="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731 final (16.11.2016).</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352 final (29.6.2017).</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881 final (21.12.2016), COM(2016) 882 final (21.12.2016) and COM(2016) 883 final (21.12.2016).</w:t>
      </w:r>
    </w:p>
  </w:footnote>
  <w:footnote w:id="1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2018/841 (30.5.2018).</w:t>
      </w:r>
    </w:p>
  </w:footnote>
  <w:footnote w:id="1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(EU) 2017/2226 (30.11.2017).</w:t>
      </w:r>
    </w:p>
  </w:footnote>
  <w:footnote w:id="1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2017/853 (17.5.2017).</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2017/541 (15.3.2017).</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 final (19.1.2016) and COM(2017) 344 final (29.6.2017).</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793 final (12.12.2017), COM(2017) 794 final (12.12.2017), COM(2018) 478 final (13.6.2018) and COM(2018) 480 final (13.6.2018).</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225 final (17.4.2018) and COM(2018) 226 final (17.4.2018).</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213 final (17.4.2018).</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272 final (4.5.2016).</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489 final (13.9.2017).</w:t>
      </w:r>
    </w:p>
  </w:footnote>
  <w:footnote w:id="2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489 final (13.9.2017).</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209 final (17.4.2018).</w:t>
      </w:r>
    </w:p>
  </w:footnote>
  <w:footnote w:id="2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212 final (17.4.2018).</w:t>
      </w:r>
    </w:p>
  </w:footnote>
  <w:footnote w:id="25">
    <w:p>
      <w:pPr>
        <w:pStyle w:val="FootnoteText"/>
        <w:ind w:left="567" w:hanging="567"/>
        <w:jc w:val="both"/>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302 final (16.5.2018).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D779B810-979B-4CAB-BF23-6DE804306B2B"/>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ixteenth Progress Report towards an effective and genuine Security Union_x000b__x000b_List of legislative initiatives _x000b__x000b_"/>
    <w:docVar w:name="LW_PART_NBR" w:val="1"/>
    <w:docVar w:name="LW_PART_NBR_TOTAL" w:val="1"/>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AND THE COUNCI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lang w:eastAsia="en-GB" w:bidi="en-GB"/>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en-GB" w:bidi="en-GB"/>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lang w:eastAsia="en-GB" w:bidi="en-GB"/>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en-GB" w:bidi="en-GB"/>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en.pdf" TargetMode="External"/><Relationship Id="rId1" Type="http://schemas.openxmlformats.org/officeDocument/2006/relationships/hyperlink" Target="https://ec.europa.eu/commission/sites/beta-political/files/soteu2018-speech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60C4D2C-0EA2-4F75-A195-77963508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557</Words>
  <Characters>3544</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DIGIT/A3</cp:lastModifiedBy>
  <cp:revision>7</cp:revision>
  <cp:lastPrinted>2018-10-03T13:10:00Z</cp:lastPrinted>
  <dcterms:created xsi:type="dcterms:W3CDTF">2018-10-09T12:01:00Z</dcterms:created>
  <dcterms:modified xsi:type="dcterms:W3CDTF">2018-10-10T08:20:00Z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