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D41F972-CC57-4BD9-918C-01B3646E7143" style="width:450.5pt;height:30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lang w:val="fr-FR"/>
        </w:rPr>
      </w:pPr>
      <w:bookmarkStart w:id="1" w:name="_Toc531662363"/>
      <w:bookmarkStart w:id="2" w:name="_Toc530990686"/>
      <w:bookmarkStart w:id="3" w:name="_Toc527972231"/>
      <w:bookmarkStart w:id="4" w:name="_Toc525033196"/>
      <w:bookmarkStart w:id="5" w:name="_Toc525019710"/>
      <w:bookmarkStart w:id="6" w:name="_GoBack"/>
      <w:bookmarkEnd w:id="6"/>
      <w:r>
        <w:rPr>
          <w:noProof/>
          <w:lang w:val="fr-FR"/>
        </w:rPr>
        <w:lastRenderedPageBreak/>
        <w:t>RAPPORT DE LA COMMISSION</w:t>
      </w:r>
    </w:p>
    <w:p>
      <w:pPr>
        <w:pStyle w:val="Titreobjet"/>
        <w:rPr>
          <w:noProof/>
          <w:lang w:val="fr-FR"/>
        </w:rPr>
      </w:pPr>
      <w:r>
        <w:rPr>
          <w:noProof/>
          <w:lang w:val="fr-FR"/>
        </w:rPr>
        <w:t>SUR LES TRAVAUX DES COMITÉS EN 2017</w:t>
      </w:r>
    </w:p>
    <w:p>
      <w:pPr>
        <w:spacing w:line="240" w:lineRule="auto"/>
        <w:jc w:val="both"/>
        <w:rPr>
          <w:rFonts w:ascii="Times New Roman" w:hAnsi="Times New Roman"/>
          <w:noProof/>
          <w:sz w:val="24"/>
          <w:szCs w:val="24"/>
          <w:lang w:val="fr-FR"/>
        </w:rPr>
      </w:pPr>
      <w:r>
        <w:rPr>
          <w:rFonts w:ascii="Times New Roman" w:hAnsi="Times New Roman"/>
          <w:noProof/>
          <w:sz w:val="24"/>
          <w:lang w:val="fr-FR"/>
        </w:rPr>
        <w:t>Conformément à l’article 10, paragraphe 2, du règlement (UE) nº 182/2011 établissant les règles et principes généraux relatifs aux modalités de contrôle par les États membres de l’exercice des compétences d’exécution par la Commission</w:t>
      </w:r>
      <w:r>
        <w:rPr>
          <w:rFonts w:ascii="Times New Roman" w:hAnsi="Times New Roman"/>
          <w:noProof/>
          <w:sz w:val="24"/>
          <w:vertAlign w:val="superscript"/>
        </w:rPr>
        <w:footnoteReference w:id="1"/>
      </w:r>
      <w:r>
        <w:rPr>
          <w:rFonts w:ascii="Times New Roman" w:hAnsi="Times New Roman"/>
          <w:noProof/>
          <w:sz w:val="24"/>
          <w:lang w:val="fr-FR"/>
        </w:rPr>
        <w:t xml:space="preserve"> (ci-après le «règlement de comitologie»), la Commission présente ci-après le rapport annuel sur les travaux des comités en 2017.</w:t>
      </w:r>
    </w:p>
    <w:p>
      <w:pPr>
        <w:spacing w:line="240" w:lineRule="auto"/>
        <w:jc w:val="both"/>
        <w:rPr>
          <w:rFonts w:ascii="Times New Roman" w:hAnsi="Times New Roman"/>
          <w:noProof/>
          <w:sz w:val="24"/>
          <w:szCs w:val="24"/>
          <w:lang w:val="fr-FR"/>
        </w:rPr>
      </w:pPr>
      <w:r>
        <w:rPr>
          <w:rFonts w:ascii="Times New Roman" w:hAnsi="Times New Roman"/>
          <w:noProof/>
          <w:sz w:val="24"/>
          <w:lang w:val="fr-FR"/>
        </w:rPr>
        <w:t>Le présent rapport fait un tour d’horizon de l’évolution du système de comitologie en 2017 et présente une synthèse des activités des comités. Il est accompagné d’un document de travail des services de la Commission contenant des statistiques détaillées sur les travaux des différents comités.</w:t>
      </w:r>
    </w:p>
    <w:p>
      <w:pPr>
        <w:pStyle w:val="ManualHeading1"/>
        <w:rPr>
          <w:noProof/>
          <w:lang w:val="fr-FR"/>
        </w:rPr>
      </w:pPr>
      <w:r>
        <w:t>1.</w:t>
      </w:r>
      <w:r>
        <w:tab/>
      </w:r>
      <w:r>
        <w:rPr>
          <w:noProof/>
          <w:lang w:val="fr-FR"/>
        </w:rPr>
        <w:t>Tour d’horizon de l’évolution du système de comitologie en 2017</w:t>
      </w:r>
    </w:p>
    <w:p>
      <w:pPr>
        <w:pStyle w:val="ManualHeading2"/>
        <w:rPr>
          <w:noProof/>
        </w:rPr>
      </w:pPr>
      <w:r>
        <w:t>1.1.</w:t>
      </w:r>
      <w:r>
        <w:tab/>
      </w:r>
      <w:r>
        <w:rPr>
          <w:noProof/>
        </w:rPr>
        <w:t>Évolution générale</w:t>
      </w:r>
    </w:p>
    <w:p>
      <w:pPr>
        <w:spacing w:line="240" w:lineRule="auto"/>
        <w:jc w:val="both"/>
        <w:rPr>
          <w:rFonts w:ascii="Times New Roman" w:hAnsi="Times New Roman"/>
          <w:b/>
          <w:noProof/>
          <w:sz w:val="24"/>
          <w:szCs w:val="24"/>
          <w:lang w:val="fr-FR"/>
        </w:rPr>
      </w:pPr>
      <w:r>
        <w:rPr>
          <w:rFonts w:ascii="Times New Roman" w:hAnsi="Times New Roman"/>
          <w:noProof/>
          <w:sz w:val="24"/>
          <w:lang w:val="fr-FR"/>
        </w:rPr>
        <w:t>Comme décrit dans le rapport annuel de 2013</w:t>
      </w:r>
      <w:r>
        <w:rPr>
          <w:rFonts w:ascii="Times New Roman" w:hAnsi="Times New Roman"/>
          <w:noProof/>
          <w:sz w:val="24"/>
          <w:vertAlign w:val="superscript"/>
        </w:rPr>
        <w:footnoteReference w:id="2"/>
      </w:r>
      <w:r>
        <w:rPr>
          <w:rFonts w:ascii="Times New Roman" w:hAnsi="Times New Roman"/>
          <w:noProof/>
          <w:sz w:val="24"/>
          <w:lang w:val="fr-FR"/>
        </w:rPr>
        <w:t>, à l’exception de la procédure de réglementation avec contrôle, toutes les procédures de comitologie prévues par l’«ancienne» décision de comitologie</w:t>
      </w:r>
      <w:r>
        <w:rPr>
          <w:rFonts w:ascii="Times New Roman" w:hAnsi="Times New Roman"/>
          <w:noProof/>
          <w:sz w:val="24"/>
          <w:vertAlign w:val="superscript"/>
        </w:rPr>
        <w:footnoteReference w:id="3"/>
      </w:r>
      <w:r>
        <w:rPr>
          <w:rFonts w:ascii="Times New Roman" w:hAnsi="Times New Roman"/>
          <w:noProof/>
          <w:sz w:val="24"/>
          <w:lang w:val="fr-FR"/>
        </w:rPr>
        <w:t xml:space="preserve"> ont été automatiquement adaptées de façon à les aligner sur les nouvelles procédures de comitologie prévues par le règlement de comitologie [règlement (UE) nº 182/2011].</w:t>
      </w:r>
    </w:p>
    <w:p>
      <w:pPr>
        <w:spacing w:line="240" w:lineRule="auto"/>
        <w:jc w:val="both"/>
        <w:rPr>
          <w:rFonts w:ascii="Times New Roman" w:hAnsi="Times New Roman"/>
          <w:noProof/>
          <w:sz w:val="24"/>
          <w:szCs w:val="24"/>
          <w:lang w:val="fr-FR"/>
        </w:rPr>
      </w:pPr>
      <w:r>
        <w:rPr>
          <w:rFonts w:ascii="Times New Roman" w:hAnsi="Times New Roman"/>
          <w:noProof/>
          <w:sz w:val="24"/>
          <w:lang w:val="fr-FR"/>
        </w:rPr>
        <w:t>Par conséquent, en 2017, les comités de comitologie ont travaillé selon les procédures définies dans le règlement de comitologie, c’est-à-dire selon la procédure consultative (article 4) et la procédure d’examen (article 5), ainsi que la procédure de réglementation avec contrôle définie à l’article 5 </w:t>
      </w:r>
      <w:r>
        <w:rPr>
          <w:rFonts w:ascii="Times New Roman" w:hAnsi="Times New Roman"/>
          <w:i/>
          <w:noProof/>
          <w:sz w:val="24"/>
          <w:lang w:val="fr-FR"/>
        </w:rPr>
        <w:t>bis</w:t>
      </w:r>
      <w:r>
        <w:rPr>
          <w:rFonts w:ascii="Times New Roman" w:hAnsi="Times New Roman"/>
          <w:noProof/>
          <w:sz w:val="24"/>
          <w:lang w:val="fr-FR"/>
        </w:rPr>
        <w:t xml:space="preserve"> de la décision de comitologie.</w:t>
      </w:r>
    </w:p>
    <w:p>
      <w:pPr>
        <w:spacing w:line="240" w:lineRule="auto"/>
        <w:jc w:val="both"/>
        <w:rPr>
          <w:rFonts w:ascii="Times New Roman" w:hAnsi="Times New Roman"/>
          <w:noProof/>
          <w:sz w:val="24"/>
          <w:szCs w:val="24"/>
          <w:lang w:val="fr-FR"/>
        </w:rPr>
      </w:pPr>
      <w:r>
        <w:rPr>
          <w:rFonts w:ascii="Times New Roman" w:hAnsi="Times New Roman"/>
          <w:noProof/>
          <w:sz w:val="24"/>
          <w:lang w:val="fr-FR"/>
        </w:rPr>
        <w:t>L’accord interinstitutionnel «Mieux légiférer» du 13 avril 2016</w:t>
      </w:r>
      <w:r>
        <w:rPr>
          <w:rStyle w:val="FootnoteReference"/>
          <w:rFonts w:ascii="Times New Roman" w:hAnsi="Times New Roman"/>
          <w:noProof/>
          <w:sz w:val="24"/>
        </w:rPr>
        <w:footnoteReference w:id="4"/>
      </w:r>
      <w:r>
        <w:rPr>
          <w:rFonts w:ascii="Times New Roman" w:hAnsi="Times New Roman"/>
          <w:noProof/>
          <w:sz w:val="24"/>
          <w:lang w:val="fr-FR"/>
        </w:rPr>
        <w:t xml:space="preserve"> rappelle la nécessité d’aligner la procédure de réglementation avec contrôle:</w:t>
      </w:r>
    </w:p>
    <w:p>
      <w:pPr>
        <w:spacing w:line="240" w:lineRule="auto"/>
        <w:jc w:val="both"/>
        <w:rPr>
          <w:rFonts w:ascii="Times New Roman" w:hAnsi="Times New Roman"/>
          <w:noProof/>
          <w:sz w:val="24"/>
          <w:szCs w:val="24"/>
          <w:lang w:val="fr-FR"/>
        </w:rPr>
      </w:pPr>
      <w:r>
        <w:rPr>
          <w:rFonts w:ascii="Times New Roman" w:hAnsi="Times New Roman"/>
          <w:noProof/>
          <w:sz w:val="24"/>
          <w:lang w:val="fr-FR"/>
        </w:rPr>
        <w:t>«Les trois institutions reconnaissent qu’il est nécessaire d’aligner toute la législation existante sur le cadre juridique introduit par le traité de Lisbonne, et en particulier d’accorder un niveau de priorité élevé à l’alignement rapide de tous les actes de base qui se réfèrent encore à la procédure de réglementation avec contrôle. La Commission proposera de procéder à ce dernier alignement avant la fin 2016.»</w:t>
      </w:r>
    </w:p>
    <w:p>
      <w:pPr>
        <w:spacing w:line="240" w:lineRule="auto"/>
        <w:jc w:val="both"/>
        <w:rPr>
          <w:rFonts w:ascii="Times New Roman" w:hAnsi="Times New Roman"/>
          <w:noProof/>
          <w:sz w:val="24"/>
          <w:szCs w:val="24"/>
          <w:lang w:val="fr-FR"/>
        </w:rPr>
      </w:pPr>
      <w:r>
        <w:rPr>
          <w:rFonts w:ascii="Times New Roman" w:hAnsi="Times New Roman"/>
          <w:noProof/>
          <w:sz w:val="24"/>
          <w:lang w:val="fr-FR"/>
        </w:rPr>
        <w:t>Conformément à cet engagement, la Commission a adopté une nouvelle proposition visant à adapter les actes de base prévoyant le recours à la procédure de réglementation avec contrôle aux actes délégués et aux actes d’exécution</w:t>
      </w:r>
      <w:r>
        <w:rPr>
          <w:rStyle w:val="FootnoteReference"/>
          <w:rFonts w:ascii="Times New Roman" w:hAnsi="Times New Roman"/>
          <w:noProof/>
          <w:sz w:val="24"/>
        </w:rPr>
        <w:footnoteReference w:id="5"/>
      </w:r>
      <w:r>
        <w:rPr>
          <w:rFonts w:ascii="Times New Roman" w:hAnsi="Times New Roman"/>
          <w:noProof/>
          <w:sz w:val="24"/>
          <w:lang w:val="fr-FR"/>
        </w:rPr>
        <w:t xml:space="preserve">. Elle a également adopté une seconde proposition </w:t>
      </w:r>
      <w:r>
        <w:rPr>
          <w:rFonts w:ascii="Times New Roman" w:hAnsi="Times New Roman"/>
          <w:noProof/>
          <w:sz w:val="24"/>
          <w:lang w:val="fr-FR"/>
        </w:rPr>
        <w:lastRenderedPageBreak/>
        <w:t>portant spécifiquement sur l’alignement des actes de base dans le domaine de la justice</w:t>
      </w:r>
      <w:r>
        <w:rPr>
          <w:rStyle w:val="FootnoteReference"/>
          <w:rFonts w:ascii="Times New Roman" w:hAnsi="Times New Roman"/>
          <w:noProof/>
          <w:sz w:val="24"/>
        </w:rPr>
        <w:footnoteReference w:id="6"/>
      </w:r>
      <w:r>
        <w:rPr>
          <w:rFonts w:ascii="Times New Roman" w:hAnsi="Times New Roman"/>
          <w:noProof/>
          <w:sz w:val="24"/>
          <w:lang w:val="fr-FR"/>
        </w:rPr>
        <w:t>. Les négociations interinstitutionnelles sur ces deux dossiers sont en cours. La Commission des affaires juridiques a adopté son rapport sur la proposition et a obtenu un mandat pour entamer les négociations</w:t>
      </w:r>
      <w:r>
        <w:rPr>
          <w:rStyle w:val="FootnoteReference"/>
          <w:rFonts w:ascii="Times New Roman" w:hAnsi="Times New Roman"/>
          <w:noProof/>
          <w:sz w:val="24"/>
        </w:rPr>
        <w:footnoteReference w:id="7"/>
      </w:r>
      <w:r>
        <w:rPr>
          <w:rFonts w:ascii="Times New Roman" w:hAnsi="Times New Roman"/>
          <w:noProof/>
          <w:sz w:val="24"/>
          <w:lang w:val="fr-FR"/>
        </w:rPr>
        <w:t>. Le Conseil a adopté une orientation générale le 20 mars 2018</w:t>
      </w:r>
      <w:r>
        <w:rPr>
          <w:rStyle w:val="FootnoteReference"/>
          <w:rFonts w:ascii="Times New Roman" w:hAnsi="Times New Roman"/>
          <w:noProof/>
          <w:sz w:val="24"/>
        </w:rPr>
        <w:footnoteReference w:id="8"/>
      </w:r>
      <w:r>
        <w:rPr>
          <w:rFonts w:ascii="Times New Roman" w:hAnsi="Times New Roman"/>
          <w:noProof/>
          <w:sz w:val="24"/>
          <w:lang w:val="fr-FR"/>
        </w:rPr>
        <w:t xml:space="preserve">.  </w:t>
      </w:r>
    </w:p>
    <w:p>
      <w:pPr>
        <w:spacing w:line="240" w:lineRule="auto"/>
        <w:jc w:val="both"/>
        <w:rPr>
          <w:rFonts w:ascii="Times New Roman" w:hAnsi="Times New Roman"/>
          <w:noProof/>
          <w:sz w:val="24"/>
          <w:szCs w:val="24"/>
          <w:lang w:val="fr-FR"/>
        </w:rPr>
      </w:pPr>
      <w:r>
        <w:rPr>
          <w:rFonts w:ascii="Times New Roman" w:hAnsi="Times New Roman"/>
          <w:noProof/>
          <w:sz w:val="24"/>
          <w:lang w:val="fr-FR"/>
        </w:rPr>
        <w:t>Le 26 février 2016, la Commission a adopté un rapport sur la mise en œuvre du règlement (UE) nº 182/2011</w:t>
      </w:r>
      <w:r>
        <w:rPr>
          <w:rStyle w:val="FootnoteReference"/>
          <w:rFonts w:ascii="Times New Roman" w:hAnsi="Times New Roman"/>
          <w:noProof/>
          <w:sz w:val="24"/>
        </w:rPr>
        <w:footnoteReference w:id="9"/>
      </w:r>
      <w:r>
        <w:rPr>
          <w:rFonts w:ascii="Times New Roman" w:hAnsi="Times New Roman"/>
          <w:noProof/>
          <w:sz w:val="24"/>
          <w:lang w:val="fr-FR"/>
        </w:rPr>
        <w:t>. Dans ce rapport, la Commission a conclu que le cadre juridique général pour la comitologie fonctionnait bien. Néanmoins, elle a également souligné à ce moment-là le problème politique posé par les absences d’avis en particulier dans quelques domaines très sensibles, comme l’autorisation des organismes génétiquement modifiés. Dès lors, et principalement à la lumière des expériences en matière de procédure d’autorisation du glyphosate, le président Juncker a annoncé, dans son discours sur l’état de l’Union en septembre 2016, une initiative de la Commission pour régler ce problème et accroître la responsabilité, la responsabilisation et la transparence des États membres lorsqu’ils procèdent à un vote au sein d’un comité, et en particulier le comité d’appel. Suite à cela, la Commission a adopté, le 14 février 2017, une proposition de règlement du Parlement européen et du Conseil portant modification du règlement (UE) nº 182/2011 établissant les règles et principes généraux relatifs aux modalités de contrôle par les États membres de l’exercice des compétences d’exécution par la Commission</w:t>
      </w:r>
      <w:r>
        <w:rPr>
          <w:rFonts w:ascii="Times New Roman" w:hAnsi="Times New Roman"/>
          <w:b/>
          <w:noProof/>
          <w:sz w:val="24"/>
          <w:lang w:val="fr-FR"/>
        </w:rPr>
        <w:t xml:space="preserve"> </w:t>
      </w:r>
      <w:r>
        <w:rPr>
          <w:rFonts w:ascii="Times New Roman" w:hAnsi="Times New Roman"/>
          <w:noProof/>
          <w:sz w:val="24"/>
          <w:lang w:val="fr-FR"/>
        </w:rPr>
        <w:t>[COM(2017) 85 final]. Cette proposition énonce un certain nombre de modifications ciblées relatives au fonctionnement du comité d’appel pour régler les situations d’absence d’avis dans des domaines sensibles. Les négociations interinstitutionnelles relatives à ce dossier sont en cours.</w:t>
      </w:r>
    </w:p>
    <w:p>
      <w:pPr>
        <w:spacing w:line="240" w:lineRule="auto"/>
        <w:jc w:val="both"/>
        <w:rPr>
          <w:rFonts w:ascii="Times New Roman" w:hAnsi="Times New Roman"/>
          <w:noProof/>
          <w:sz w:val="24"/>
          <w:szCs w:val="24"/>
          <w:lang w:val="fr-FR"/>
        </w:rPr>
      </w:pPr>
      <w:r>
        <w:rPr>
          <w:rFonts w:ascii="Times New Roman" w:hAnsi="Times New Roman"/>
          <w:noProof/>
          <w:sz w:val="24"/>
          <w:lang w:val="fr-FR"/>
        </w:rPr>
        <w:t xml:space="preserve">Des négociations entre les trois institutions sont également en cours concernant des critères non contraignants pour l’application des articles 290 et 291 du traité sur le fonctionnement de l’Union européenne, à savoir la délimitation entre actes délégués et actes d’exécution. </w:t>
      </w:r>
    </w:p>
    <w:p>
      <w:pPr>
        <w:spacing w:line="240" w:lineRule="auto"/>
        <w:jc w:val="both"/>
        <w:rPr>
          <w:rFonts w:ascii="Times New Roman" w:hAnsi="Times New Roman"/>
          <w:noProof/>
          <w:sz w:val="24"/>
          <w:szCs w:val="24"/>
          <w:lang w:val="fr-FR"/>
        </w:rPr>
      </w:pPr>
      <w:r>
        <w:rPr>
          <w:rFonts w:ascii="Times New Roman" w:hAnsi="Times New Roman"/>
          <w:noProof/>
          <w:sz w:val="24"/>
          <w:lang w:val="fr-FR"/>
        </w:rPr>
        <w:t>Dans sa communication «Améliorer la réglementation pour obtenir de meilleurs résultats» de mai 2015, la Commission s’est engagée à ce que les projets d’actes délégués et projets d’actes d’exécution importants soient accessibles au grand public pendant une période de consultation de quatre semaines, permettant aux parties prenantes de formuler des commentaires. En 2017, 165 projets de la sorte ont ainsi été publiés pour être soumis à l’avis du public, sur la page internet de la Commission «Donnez votre avis»</w:t>
      </w:r>
      <w:r>
        <w:rPr>
          <w:rStyle w:val="FootnoteReference"/>
          <w:rFonts w:ascii="Times New Roman" w:hAnsi="Times New Roman"/>
          <w:noProof/>
          <w:sz w:val="24"/>
        </w:rPr>
        <w:footnoteReference w:id="10"/>
      </w:r>
      <w:r>
        <w:rPr>
          <w:rFonts w:ascii="Times New Roman" w:hAnsi="Times New Roman"/>
          <w:noProof/>
          <w:sz w:val="24"/>
          <w:lang w:val="fr-FR"/>
        </w:rPr>
        <w:t xml:space="preserve">. </w:t>
      </w:r>
    </w:p>
    <w:p>
      <w:pPr>
        <w:pStyle w:val="ManualHeading2"/>
        <w:rPr>
          <w:noProof/>
        </w:rPr>
      </w:pPr>
      <w:r>
        <w:t>1.2.</w:t>
      </w:r>
      <w:r>
        <w:tab/>
      </w:r>
      <w:r>
        <w:rPr>
          <w:noProof/>
        </w:rPr>
        <w:t>Évolution de la jurisprudence</w:t>
      </w:r>
    </w:p>
    <w:p>
      <w:pPr>
        <w:spacing w:line="240" w:lineRule="auto"/>
        <w:jc w:val="both"/>
        <w:rPr>
          <w:rFonts w:ascii="Times New Roman" w:hAnsi="Times New Roman"/>
          <w:noProof/>
          <w:sz w:val="24"/>
          <w:szCs w:val="24"/>
          <w:lang w:val="fr-FR"/>
        </w:rPr>
      </w:pPr>
      <w:r>
        <w:rPr>
          <w:rFonts w:ascii="Times New Roman" w:hAnsi="Times New Roman"/>
          <w:noProof/>
          <w:sz w:val="24"/>
          <w:lang w:val="fr-FR"/>
        </w:rPr>
        <w:t>Dans son arrêt du 20 septembre 2017 dans l’affaire C-183/16</w:t>
      </w:r>
      <w:r>
        <w:rPr>
          <w:rStyle w:val="FootnoteReference"/>
          <w:rFonts w:ascii="Times New Roman" w:hAnsi="Times New Roman"/>
          <w:noProof/>
          <w:sz w:val="24"/>
        </w:rPr>
        <w:footnoteReference w:id="11"/>
      </w:r>
      <w:r>
        <w:rPr>
          <w:rFonts w:ascii="Times New Roman" w:hAnsi="Times New Roman"/>
          <w:noProof/>
          <w:sz w:val="24"/>
          <w:lang w:val="fr-FR"/>
        </w:rPr>
        <w:t xml:space="preserve"> (Tilly Sabco), la Cour de justice a souligné la nécessité de respecter les délais pour la soumission des projets d’actes d’exécution au comité avant le vote</w:t>
      </w:r>
      <w:r>
        <w:rPr>
          <w:noProof/>
          <w:lang w:val="fr-FR"/>
        </w:rPr>
        <w:t xml:space="preserve"> </w:t>
      </w:r>
      <w:r>
        <w:rPr>
          <w:rFonts w:ascii="Times New Roman" w:hAnsi="Times New Roman"/>
          <w:noProof/>
          <w:sz w:val="24"/>
          <w:lang w:val="fr-FR"/>
        </w:rPr>
        <w:t>et de ne déroger à cette pratique que dans des cas dûment justifiés</w:t>
      </w:r>
      <w:r>
        <w:rPr>
          <w:noProof/>
          <w:lang w:val="fr-FR"/>
        </w:rPr>
        <w:t>.</w:t>
      </w:r>
      <w:r>
        <w:rPr>
          <w:rFonts w:ascii="Times New Roman" w:hAnsi="Times New Roman"/>
          <w:noProof/>
          <w:sz w:val="24"/>
          <w:lang w:val="fr-FR"/>
        </w:rPr>
        <w:t xml:space="preserve"> Conformément à l’article 3, paragraphe 3, du règlement (UE) nº 182/2011, le président soumet au comité le projet d’ordre du jour et le projet d’acte d’exécution au moins quatorze jours avant la réunion. Le délai pour la soumission peut être réduit dans des cas exceptionnels. Des informations plus détaillées concernant cette possibilité figurent dans le règlement intérieur type pour les comités</w:t>
      </w:r>
      <w:r>
        <w:rPr>
          <w:rStyle w:val="FootnoteReference"/>
          <w:rFonts w:ascii="Times New Roman" w:hAnsi="Times New Roman"/>
          <w:noProof/>
          <w:sz w:val="24"/>
        </w:rPr>
        <w:footnoteReference w:id="12"/>
      </w:r>
      <w:r>
        <w:rPr>
          <w:rFonts w:ascii="Times New Roman" w:hAnsi="Times New Roman"/>
          <w:noProof/>
          <w:sz w:val="24"/>
          <w:lang w:val="fr-FR"/>
        </w:rPr>
        <w:t>, sur la base duquel les comités adoptent leur règlement intérieur. Le président peut également fixer un délai pour l’émission par le comité de son avis sur le projet. Les délais doivent être proportionnés et donner aux membres du comité de réelles possibilités, à un stade précoce, d’examiner le projet et d’exprimer leur opinion.</w:t>
      </w:r>
    </w:p>
    <w:p>
      <w:pPr>
        <w:pStyle w:val="ManualHeading1"/>
        <w:rPr>
          <w:noProof/>
        </w:rPr>
      </w:pPr>
      <w:r>
        <w:t>2.</w:t>
      </w:r>
      <w:r>
        <w:tab/>
      </w:r>
      <w:r>
        <w:rPr>
          <w:noProof/>
        </w:rPr>
        <w:t>Tour d’horizon des activités</w:t>
      </w:r>
    </w:p>
    <w:p>
      <w:pPr>
        <w:pStyle w:val="ManualHeading2"/>
        <w:rPr>
          <w:noProof/>
          <w:lang w:val="fr-FR"/>
        </w:rPr>
      </w:pPr>
      <w:r>
        <w:t>2.1.</w:t>
      </w:r>
      <w:r>
        <w:tab/>
      </w:r>
      <w:r>
        <w:rPr>
          <w:noProof/>
          <w:lang w:val="fr-FR"/>
        </w:rPr>
        <w:t>Nombre de comités et de réunions</w:t>
      </w:r>
    </w:p>
    <w:p>
      <w:pPr>
        <w:spacing w:line="240" w:lineRule="auto"/>
        <w:jc w:val="both"/>
        <w:rPr>
          <w:rFonts w:ascii="Times New Roman" w:hAnsi="Times New Roman"/>
          <w:noProof/>
          <w:sz w:val="24"/>
          <w:szCs w:val="24"/>
          <w:lang w:val="fr-FR"/>
        </w:rPr>
      </w:pPr>
      <w:r>
        <w:rPr>
          <w:rFonts w:ascii="Times New Roman" w:hAnsi="Times New Roman"/>
          <w:noProof/>
          <w:sz w:val="24"/>
          <w:lang w:val="fr-FR"/>
        </w:rPr>
        <w:t>Il importe de distinguer les comités de comitologie des autres entités, en particulier des «groupes d’experts» créés par la Commission elle-même. Ces derniers mettent leur expertise à la disposition de la Commission</w:t>
      </w:r>
      <w:r>
        <w:rPr>
          <w:rFonts w:ascii="Times New Roman" w:hAnsi="Times New Roman"/>
          <w:noProof/>
          <w:sz w:val="24"/>
          <w:vertAlign w:val="superscript"/>
        </w:rPr>
        <w:footnoteReference w:id="13"/>
      </w:r>
      <w:r>
        <w:rPr>
          <w:rFonts w:ascii="Times New Roman" w:hAnsi="Times New Roman"/>
          <w:noProof/>
          <w:sz w:val="24"/>
          <w:lang w:val="fr-FR"/>
        </w:rPr>
        <w:t xml:space="preserve"> pour l’élaboration et la mise en œuvre des politiques ainsi que des actes délégués, tandis que les comités de comitologie assistent la Commission dans l’exercice des compétences d’exécution qui lui ont été conférées par des actes législatifs de base. Le présent rapport porte exclusivement sur les comités de comitologie. Le tableau I ci-dessous présente le nombre de comités de comitologie actifs par secteur d’activité pour la période comprise entre le 1</w:t>
      </w:r>
      <w:r>
        <w:rPr>
          <w:rFonts w:ascii="Times New Roman" w:hAnsi="Times New Roman"/>
          <w:noProof/>
          <w:sz w:val="24"/>
          <w:vertAlign w:val="superscript"/>
          <w:lang w:val="fr-FR"/>
        </w:rPr>
        <w:t>er</w:t>
      </w:r>
      <w:r>
        <w:rPr>
          <w:rFonts w:ascii="Times New Roman" w:hAnsi="Times New Roman"/>
          <w:noProof/>
          <w:sz w:val="24"/>
          <w:lang w:val="fr-FR"/>
        </w:rPr>
        <w:t> janvier et le 31 décembre 2017. Les chiffres relatifs à l’année antérieure (au 31 décembre 2016) sont également indiqués à titre de comparaison. Les sections et configurations ne sont pas comptées à part, car elles font partie d’un comité principal.</w:t>
      </w:r>
    </w:p>
    <w:p>
      <w:pPr>
        <w:keepNext/>
        <w:spacing w:line="240" w:lineRule="auto"/>
        <w:rPr>
          <w:rFonts w:ascii="Times New Roman" w:hAnsi="Times New Roman"/>
          <w:b/>
          <w:noProof/>
          <w:sz w:val="24"/>
          <w:szCs w:val="24"/>
          <w:u w:val="single"/>
          <w:lang w:val="fr-FR"/>
        </w:rPr>
      </w:pPr>
      <w:r>
        <w:rPr>
          <w:rFonts w:ascii="Times New Roman" w:hAnsi="Times New Roman"/>
          <w:b/>
          <w:noProof/>
          <w:sz w:val="24"/>
          <w:u w:val="single"/>
          <w:lang w:val="fr-FR"/>
        </w:rPr>
        <w:t>TABLEAU I – Nombre total de comités</w:t>
      </w:r>
    </w:p>
    <w:tbl>
      <w:tblPr>
        <w:tblW w:w="5000" w:type="pct"/>
        <w:tblLook w:val="0000" w:firstRow="0" w:lastRow="0" w:firstColumn="0" w:lastColumn="0" w:noHBand="0" w:noVBand="0"/>
      </w:tblPr>
      <w:tblGrid>
        <w:gridCol w:w="6571"/>
        <w:gridCol w:w="1354"/>
        <w:gridCol w:w="1361"/>
      </w:tblGrid>
      <w:tr>
        <w:trPr>
          <w:trHeight w:val="510"/>
        </w:trPr>
        <w:tc>
          <w:tcPr>
            <w:tcW w:w="3242" w:type="pct"/>
            <w:tcBorders>
              <w:top w:val="single" w:sz="4" w:space="0" w:color="auto"/>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Domaine d’action</w:t>
            </w:r>
          </w:p>
        </w:tc>
        <w:tc>
          <w:tcPr>
            <w:tcW w:w="877"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2016</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2017</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val="fr-FR"/>
              </w:rPr>
            </w:pPr>
            <w:r>
              <w:rPr>
                <w:rFonts w:ascii="Times New Roman" w:hAnsi="Times New Roman"/>
                <w:b/>
                <w:noProof/>
                <w:color w:val="000000"/>
                <w:sz w:val="18"/>
                <w:lang w:val="fr-FR"/>
              </w:rPr>
              <w:t>AGRI (Agriculture et développement rural)</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 (Budget)</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val="fr-FR"/>
              </w:rPr>
            </w:pPr>
            <w:r>
              <w:rPr>
                <w:rFonts w:ascii="Times New Roman" w:hAnsi="Times New Roman"/>
                <w:b/>
                <w:noProof/>
                <w:color w:val="000000"/>
                <w:sz w:val="18"/>
                <w:lang w:val="fr-FR"/>
              </w:rPr>
              <w:t>CLIMA (Action pour le climat)</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val="fr-FR"/>
              </w:rPr>
            </w:pPr>
            <w:r>
              <w:rPr>
                <w:rFonts w:ascii="Times New Roman" w:hAnsi="Times New Roman"/>
                <w:b/>
                <w:noProof/>
                <w:color w:val="000000"/>
                <w:sz w:val="18"/>
                <w:lang w:val="fr-FR"/>
              </w:rPr>
              <w:t>CNECT (Réseaux de communication, contenu et technologies)</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val="fr-FR"/>
              </w:rPr>
            </w:pPr>
            <w:r>
              <w:rPr>
                <w:rFonts w:ascii="Times New Roman" w:hAnsi="Times New Roman"/>
                <w:b/>
                <w:noProof/>
                <w:color w:val="000000"/>
                <w:sz w:val="18"/>
                <w:lang w:val="fr-FR"/>
              </w:rPr>
              <w:t>DEVCO (Coopération internationale et développement)</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 (Informatique)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 (Éducation et culture)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val="fr-FR"/>
              </w:rPr>
            </w:pPr>
            <w:r>
              <w:rPr>
                <w:rFonts w:ascii="Times New Roman" w:hAnsi="Times New Roman"/>
                <w:b/>
                <w:noProof/>
                <w:color w:val="000000"/>
                <w:sz w:val="18"/>
                <w:lang w:val="fr-FR"/>
              </w:rPr>
              <w:t>ECFIN (Affaires économiques et financières)</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val="fr-FR"/>
              </w:rPr>
            </w:pPr>
            <w:r>
              <w:rPr>
                <w:rFonts w:ascii="Times New Roman" w:hAnsi="Times New Roman"/>
                <w:b/>
                <w:noProof/>
                <w:color w:val="000000"/>
                <w:sz w:val="18"/>
                <w:lang w:val="fr-FR"/>
              </w:rPr>
              <w:t>ECHO (Aide humanitaire et protection civile)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val="fr-FR"/>
              </w:rPr>
            </w:pPr>
            <w:r>
              <w:rPr>
                <w:rFonts w:ascii="Times New Roman" w:hAnsi="Times New Roman"/>
                <w:b/>
                <w:noProof/>
                <w:color w:val="000000"/>
                <w:sz w:val="18"/>
                <w:lang w:val="fr-FR"/>
              </w:rPr>
              <w:t>EMPL (Emploi, affaires sociales et inclusion)</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 (Énergie)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 (Environnement)</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30</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 (Eurostat)</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val="fr-FR"/>
              </w:rPr>
            </w:pPr>
            <w:r>
              <w:rPr>
                <w:rFonts w:ascii="Times New Roman" w:hAnsi="Times New Roman"/>
                <w:b/>
                <w:noProof/>
                <w:color w:val="000000"/>
                <w:sz w:val="18"/>
                <w:lang w:val="fr-FR"/>
              </w:rPr>
              <w:t>FISMA (Stabilité financière, services financiers et union des marchés des capitaux)</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val="fr-FR"/>
              </w:rPr>
            </w:pPr>
            <w:r>
              <w:rPr>
                <w:rFonts w:ascii="Times New Roman" w:hAnsi="Times New Roman"/>
                <w:b/>
                <w:noProof/>
                <w:color w:val="000000"/>
                <w:sz w:val="18"/>
                <w:lang w:val="fr-FR"/>
              </w:rPr>
              <w:t>FPI (Service des instruments de politique étrangère)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val="fr-FR"/>
              </w:rPr>
            </w:pPr>
            <w:r>
              <w:rPr>
                <w:rFonts w:ascii="Times New Roman" w:hAnsi="Times New Roman"/>
                <w:b/>
                <w:noProof/>
                <w:color w:val="000000"/>
                <w:sz w:val="18"/>
                <w:lang w:val="fr-FR"/>
              </w:rPr>
              <w:t>GROW (Marché intérieur, industrie, entrepreneuriat et PME)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42</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val="fr-FR"/>
              </w:rPr>
            </w:pPr>
            <w:r>
              <w:rPr>
                <w:rFonts w:ascii="Times New Roman" w:hAnsi="Times New Roman"/>
                <w:b/>
                <w:noProof/>
                <w:color w:val="000000"/>
                <w:sz w:val="18"/>
                <w:lang w:val="fr-FR"/>
              </w:rPr>
              <w:t>HOME (Migration et affaires intérieures)</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 (Justice et consommateurs)</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23</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lang w:val="fr-FR"/>
              </w:rPr>
            </w:pPr>
            <w:r>
              <w:rPr>
                <w:rFonts w:ascii="Times New Roman" w:hAnsi="Times New Roman"/>
                <w:b/>
                <w:noProof/>
                <w:color w:val="000000"/>
                <w:sz w:val="18"/>
                <w:lang w:val="fr-FR"/>
              </w:rPr>
              <w:t>MARE (Affaires maritimes et pêche)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3</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MOVE (Mobilité et transports)</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val="fr-FR"/>
              </w:rPr>
            </w:pPr>
            <w:r>
              <w:rPr>
                <w:rFonts w:ascii="Times New Roman" w:hAnsi="Times New Roman"/>
                <w:b/>
                <w:noProof/>
                <w:color w:val="000000"/>
                <w:sz w:val="18"/>
                <w:lang w:val="fr-FR"/>
              </w:rPr>
              <w:t>NEAR (Voisinage et négociations d’élargissement)</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val="fr-FR"/>
              </w:rPr>
            </w:pPr>
            <w:r>
              <w:rPr>
                <w:rFonts w:ascii="Times New Roman" w:hAnsi="Times New Roman"/>
                <w:b/>
                <w:noProof/>
                <w:color w:val="000000"/>
                <w:sz w:val="18"/>
                <w:lang w:val="fr-FR"/>
              </w:rPr>
              <w:t>OLAF (Office européen de lutte antifraude)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val="fr-FR"/>
              </w:rPr>
            </w:pPr>
            <w:r>
              <w:rPr>
                <w:rFonts w:ascii="Times New Roman" w:hAnsi="Times New Roman"/>
                <w:b/>
                <w:noProof/>
                <w:color w:val="000000"/>
                <w:sz w:val="18"/>
                <w:lang w:val="fr-FR"/>
              </w:rPr>
              <w:t>REGIO (Politique régionale et urbaine)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 (Recherche et innovation)</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val="fr-FR"/>
              </w:rPr>
            </w:pPr>
            <w:r>
              <w:rPr>
                <w:rFonts w:ascii="Times New Roman" w:hAnsi="Times New Roman"/>
                <w:b/>
                <w:noProof/>
                <w:color w:val="000000"/>
                <w:sz w:val="18"/>
                <w:lang w:val="fr-FR"/>
              </w:rPr>
              <w:t>SANTE (Santé et sécurité alimentaire)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 (Secrétariat général)</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val="fr-FR"/>
              </w:rPr>
            </w:pPr>
            <w:r>
              <w:rPr>
                <w:rFonts w:ascii="Times New Roman" w:hAnsi="Times New Roman"/>
                <w:b/>
                <w:noProof/>
                <w:color w:val="000000"/>
                <w:sz w:val="18"/>
                <w:lang w:val="fr-FR"/>
              </w:rPr>
              <w:t>TAXUD (Fiscalité et union douanière)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 (Commerce)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TOTAL:</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277</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267</w:t>
            </w:r>
          </w:p>
        </w:tc>
      </w:tr>
    </w:tbl>
    <w:p>
      <w:pPr>
        <w:spacing w:line="240" w:lineRule="auto"/>
        <w:jc w:val="both"/>
        <w:rPr>
          <w:rFonts w:ascii="Times New Roman" w:hAnsi="Times New Roman"/>
          <w:i/>
          <w:noProof/>
          <w:sz w:val="18"/>
          <w:szCs w:val="18"/>
          <w:lang w:val="fr-FR"/>
        </w:rPr>
      </w:pPr>
      <w:r>
        <w:rPr>
          <w:rFonts w:ascii="Times New Roman" w:hAnsi="Times New Roman"/>
          <w:noProof/>
          <w:sz w:val="18"/>
          <w:lang w:val="fr-FR"/>
        </w:rPr>
        <w:t xml:space="preserve">* </w:t>
      </w:r>
      <w:r>
        <w:rPr>
          <w:rFonts w:ascii="Times New Roman" w:hAnsi="Times New Roman"/>
          <w:i/>
          <w:noProof/>
          <w:sz w:val="18"/>
          <w:lang w:val="fr-FR"/>
        </w:rPr>
        <w:t>Y compris le comité d’appel (pour les besoins du registre de comitologie, le comité d’appel est pris en compte en tant que comité relevant de la responsabilité du secrétariat général; dans la pratique, il est géré par tous les services concernés).</w:t>
      </w:r>
    </w:p>
    <w:p>
      <w:pPr>
        <w:spacing w:line="240" w:lineRule="auto"/>
        <w:jc w:val="both"/>
        <w:rPr>
          <w:rFonts w:ascii="Times New Roman" w:hAnsi="Times New Roman"/>
          <w:noProof/>
          <w:sz w:val="24"/>
          <w:szCs w:val="24"/>
          <w:lang w:val="fr-FR"/>
        </w:rPr>
      </w:pPr>
      <w:r>
        <w:rPr>
          <w:rFonts w:ascii="Times New Roman" w:hAnsi="Times New Roman"/>
          <w:noProof/>
          <w:sz w:val="24"/>
          <w:lang w:val="fr-FR"/>
        </w:rPr>
        <w:t>En 2017, les comités de comitologie ont pu généralement être ventilés selon le type de procédure qui régit leur activité (procédure consultative, procédure d’examen, procédure de réglementation avec contrôle – voir tableau II). Certains comités ayant appliqué des procédures multiples ont été séparés des comités opérant selon une procédure unique.</w:t>
      </w:r>
    </w:p>
    <w:p>
      <w:pPr>
        <w:keepNext/>
        <w:spacing w:line="240" w:lineRule="auto"/>
        <w:rPr>
          <w:rFonts w:ascii="Times New Roman" w:hAnsi="Times New Roman"/>
          <w:b/>
          <w:smallCaps/>
          <w:noProof/>
          <w:sz w:val="24"/>
          <w:szCs w:val="24"/>
          <w:u w:val="single"/>
          <w:lang w:val="fr-FR"/>
        </w:rPr>
      </w:pPr>
      <w:bookmarkStart w:id="7" w:name="_Toc138589006"/>
      <w:r>
        <w:rPr>
          <w:rFonts w:ascii="Times New Roman" w:hAnsi="Times New Roman"/>
          <w:b/>
          <w:noProof/>
          <w:sz w:val="24"/>
          <w:u w:val="single"/>
          <w:lang w:val="fr-FR"/>
        </w:rPr>
        <w:t>TABLEAU II – Nombre de comités par type de procédure</w:t>
      </w:r>
      <w:bookmarkEnd w:id="7"/>
    </w:p>
    <w:tbl>
      <w:tblPr>
        <w:tblW w:w="5000" w:type="pct"/>
        <w:tblLook w:val="0000" w:firstRow="0" w:lastRow="0" w:firstColumn="0" w:lastColumn="0" w:noHBand="0" w:noVBand="0"/>
      </w:tblPr>
      <w:tblGrid>
        <w:gridCol w:w="1102"/>
        <w:gridCol w:w="1634"/>
        <w:gridCol w:w="1636"/>
        <w:gridCol w:w="1636"/>
        <w:gridCol w:w="1642"/>
        <w:gridCol w:w="1636"/>
      </w:tblGrid>
      <w:tr>
        <w:trPr>
          <w:trHeight w:val="510"/>
        </w:trPr>
        <w:tc>
          <w:tcPr>
            <w:tcW w:w="593" w:type="pct"/>
            <w:vMerge w:val="restart"/>
            <w:tcBorders>
              <w:top w:val="single" w:sz="4" w:space="0" w:color="auto"/>
              <w:left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szCs w:val="18"/>
                <w:lang w:val="fr-FR"/>
              </w:rPr>
            </w:pPr>
            <w:r>
              <w:rPr>
                <w:rFonts w:ascii="Times New Roman" w:hAnsi="Times New Roman"/>
                <w:noProof/>
                <w:color w:val="000000"/>
                <w:sz w:val="18"/>
                <w:lang w:val="fr-FR"/>
              </w:rPr>
              <w:t> </w:t>
            </w:r>
          </w:p>
        </w:tc>
        <w:tc>
          <w:tcPr>
            <w:tcW w:w="3526" w:type="pct"/>
            <w:gridSpan w:val="4"/>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Type de procédure</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p>
        </w:tc>
      </w:tr>
      <w:tr>
        <w:trPr>
          <w:trHeight w:val="510"/>
        </w:trPr>
        <w:tc>
          <w:tcPr>
            <w:tcW w:w="593" w:type="pct"/>
            <w:vMerge/>
            <w:tcBorders>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szCs w:val="18"/>
              </w:rPr>
            </w:pPr>
          </w:p>
        </w:tc>
        <w:tc>
          <w:tcPr>
            <w:tcW w:w="880"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Consultative</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Examen</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Réglementation avec contrôle</w:t>
            </w:r>
          </w:p>
        </w:tc>
        <w:tc>
          <w:tcPr>
            <w:tcW w:w="884"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Opérant selon plusieurs procédures</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TOTAL:</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30</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25</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42</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23</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MOVE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8</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4</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OLAF</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TOTAL:</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99</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21</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124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267</w:t>
            </w:r>
          </w:p>
        </w:tc>
      </w:tr>
    </w:tbl>
    <w:p>
      <w:pPr>
        <w:spacing w:line="240" w:lineRule="auto"/>
        <w:jc w:val="both"/>
        <w:rPr>
          <w:rFonts w:ascii="Times New Roman" w:hAnsi="Times New Roman"/>
          <w:noProof/>
          <w:sz w:val="18"/>
          <w:szCs w:val="18"/>
          <w:lang w:val="fr-FR"/>
        </w:rPr>
      </w:pPr>
      <w:r>
        <w:rPr>
          <w:rFonts w:ascii="Times New Roman" w:hAnsi="Times New Roman"/>
          <w:noProof/>
          <w:sz w:val="18"/>
          <w:lang w:val="fr-FR"/>
        </w:rPr>
        <w:t>*</w:t>
      </w:r>
      <w:r>
        <w:rPr>
          <w:rFonts w:ascii="Times New Roman" w:hAnsi="Times New Roman"/>
          <w:i/>
          <w:noProof/>
          <w:sz w:val="18"/>
          <w:lang w:val="fr-FR"/>
        </w:rPr>
        <w:t xml:space="preserve"> Y compris le comité d’appel.</w:t>
      </w:r>
    </w:p>
    <w:p>
      <w:pPr>
        <w:spacing w:line="240" w:lineRule="auto"/>
        <w:jc w:val="both"/>
        <w:rPr>
          <w:rFonts w:ascii="Times New Roman" w:hAnsi="Times New Roman"/>
          <w:noProof/>
          <w:sz w:val="24"/>
          <w:szCs w:val="24"/>
          <w:lang w:val="fr-FR"/>
        </w:rPr>
      </w:pPr>
      <w:r>
        <w:rPr>
          <w:rFonts w:ascii="Times New Roman" w:hAnsi="Times New Roman"/>
          <w:noProof/>
          <w:sz w:val="24"/>
          <w:lang w:val="fr-FR"/>
        </w:rPr>
        <w:t xml:space="preserve">Le nombre de comités n’est pas le seul indicateur de l’activité pour la comitologie. Le </w:t>
      </w:r>
      <w:r>
        <w:rPr>
          <w:rFonts w:ascii="Times New Roman" w:hAnsi="Times New Roman"/>
          <w:i/>
          <w:noProof/>
          <w:sz w:val="24"/>
          <w:lang w:val="fr-FR"/>
        </w:rPr>
        <w:t>nombre de réunions</w:t>
      </w:r>
      <w:r>
        <w:rPr>
          <w:rFonts w:ascii="Times New Roman" w:hAnsi="Times New Roman"/>
          <w:noProof/>
          <w:sz w:val="24"/>
          <w:lang w:val="fr-FR"/>
        </w:rPr>
        <w:t xml:space="preserve"> tenues ainsi que le </w:t>
      </w:r>
      <w:r>
        <w:rPr>
          <w:rFonts w:ascii="Times New Roman" w:hAnsi="Times New Roman"/>
          <w:i/>
          <w:noProof/>
          <w:sz w:val="24"/>
          <w:lang w:val="fr-FR"/>
        </w:rPr>
        <w:t>nombre de procédures écrites</w:t>
      </w:r>
      <w:r>
        <w:rPr>
          <w:rFonts w:ascii="Times New Roman" w:hAnsi="Times New Roman"/>
          <w:i/>
          <w:noProof/>
          <w:sz w:val="24"/>
          <w:vertAlign w:val="superscript"/>
        </w:rPr>
        <w:footnoteReference w:id="14"/>
      </w:r>
      <w:r>
        <w:rPr>
          <w:rFonts w:ascii="Times New Roman" w:hAnsi="Times New Roman"/>
          <w:noProof/>
          <w:sz w:val="24"/>
          <w:lang w:val="fr-FR"/>
        </w:rPr>
        <w:t xml:space="preserve"> utilisées en 2017 reflètent également l’intensité générale des travaux, à l’échelle des secteurs d’activité et au sein des différents comités (tableau III).</w:t>
      </w:r>
    </w:p>
    <w:p>
      <w:pPr>
        <w:keepNext/>
        <w:spacing w:line="240" w:lineRule="auto"/>
        <w:rPr>
          <w:rFonts w:ascii="Times New Roman" w:hAnsi="Times New Roman"/>
          <w:b/>
          <w:noProof/>
          <w:sz w:val="24"/>
          <w:szCs w:val="24"/>
          <w:u w:val="single"/>
          <w:lang w:val="fr-FR"/>
        </w:rPr>
      </w:pPr>
      <w:r>
        <w:rPr>
          <w:noProof/>
          <w:lang w:val="fr-FR"/>
        </w:rPr>
        <w:br w:type="page"/>
      </w:r>
      <w:r>
        <w:rPr>
          <w:rFonts w:ascii="Times New Roman" w:hAnsi="Times New Roman"/>
          <w:b/>
          <w:noProof/>
          <w:sz w:val="24"/>
          <w:u w:val="single"/>
          <w:lang w:val="fr-FR"/>
        </w:rPr>
        <w:t>TABLEAU III – Nombre de réunions et de procédures écrites</w:t>
      </w:r>
    </w:p>
    <w:tbl>
      <w:tblPr>
        <w:tblW w:w="5000" w:type="pct"/>
        <w:tblLook w:val="0000" w:firstRow="0" w:lastRow="0" w:firstColumn="0" w:lastColumn="0" w:noHBand="0" w:noVBand="0"/>
      </w:tblPr>
      <w:tblGrid>
        <w:gridCol w:w="1596"/>
        <w:gridCol w:w="1536"/>
        <w:gridCol w:w="1538"/>
        <w:gridCol w:w="1540"/>
        <w:gridCol w:w="1538"/>
        <w:gridCol w:w="1538"/>
      </w:tblGrid>
      <w:tr>
        <w:trPr>
          <w:trHeight w:val="510"/>
        </w:trPr>
        <w:tc>
          <w:tcPr>
            <w:tcW w:w="860" w:type="pct"/>
            <w:vMerge w:val="restart"/>
            <w:tcBorders>
              <w:top w:val="single" w:sz="4" w:space="0" w:color="auto"/>
              <w:left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val="fr-FR"/>
              </w:rPr>
            </w:pPr>
          </w:p>
        </w:tc>
        <w:tc>
          <w:tcPr>
            <w:tcW w:w="827" w:type="pct"/>
            <w:vMerge w:val="restart"/>
            <w:tcBorders>
              <w:top w:val="single" w:sz="4" w:space="0" w:color="auto"/>
              <w:left w:val="nil"/>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 xml:space="preserve">Nombre de comités </w:t>
            </w:r>
          </w:p>
        </w:tc>
        <w:tc>
          <w:tcPr>
            <w:tcW w:w="1657"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Réunions</w:t>
            </w:r>
          </w:p>
        </w:tc>
        <w:tc>
          <w:tcPr>
            <w:tcW w:w="1656"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Procédures écrites</w:t>
            </w:r>
          </w:p>
        </w:tc>
      </w:tr>
      <w:tr>
        <w:trPr>
          <w:trHeight w:val="510"/>
        </w:trPr>
        <w:tc>
          <w:tcPr>
            <w:tcW w:w="860" w:type="pct"/>
            <w:vMerge/>
            <w:tcBorders>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7" w:type="pct"/>
            <w:vMerge/>
            <w:tcBorders>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p>
        </w:tc>
        <w:tc>
          <w:tcPr>
            <w:tcW w:w="82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2016</w:t>
            </w:r>
          </w:p>
        </w:tc>
        <w:tc>
          <w:tcPr>
            <w:tcW w:w="82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2017</w:t>
            </w:r>
          </w:p>
        </w:tc>
        <w:tc>
          <w:tcPr>
            <w:tcW w:w="82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2016</w:t>
            </w:r>
          </w:p>
        </w:tc>
        <w:tc>
          <w:tcPr>
            <w:tcW w:w="82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2017</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111</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30</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29</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63</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34</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29</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MOVE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OLAF</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1</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57</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263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246</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117</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437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494</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50</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29</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38</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TOTAL</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267</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674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616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982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1 024</w:t>
            </w:r>
          </w:p>
        </w:tc>
      </w:tr>
    </w:tbl>
    <w:p>
      <w:pPr>
        <w:spacing w:line="240" w:lineRule="auto"/>
        <w:jc w:val="both"/>
        <w:rPr>
          <w:rFonts w:ascii="Times New Roman" w:hAnsi="Times New Roman"/>
          <w:i/>
          <w:noProof/>
          <w:sz w:val="18"/>
          <w:szCs w:val="18"/>
        </w:rPr>
      </w:pPr>
      <w:r>
        <w:rPr>
          <w:rFonts w:ascii="Times New Roman" w:hAnsi="Times New Roman"/>
          <w:i/>
          <w:noProof/>
          <w:sz w:val="18"/>
        </w:rPr>
        <w:t>* 8 réunions du comité d’appel.</w:t>
      </w:r>
    </w:p>
    <w:p>
      <w:pPr>
        <w:spacing w:line="240" w:lineRule="auto"/>
        <w:jc w:val="both"/>
        <w:rPr>
          <w:rFonts w:ascii="Times New Roman" w:hAnsi="Times New Roman"/>
          <w:b/>
          <w:noProof/>
          <w:sz w:val="24"/>
          <w:szCs w:val="24"/>
        </w:rPr>
      </w:pPr>
    </w:p>
    <w:p>
      <w:pPr>
        <w:pStyle w:val="ManualHeading2"/>
        <w:rPr>
          <w:noProof/>
          <w:lang w:val="fr-FR"/>
        </w:rPr>
      </w:pPr>
      <w:r>
        <w:t>2.2.</w:t>
      </w:r>
      <w:r>
        <w:tab/>
      </w:r>
      <w:r>
        <w:rPr>
          <w:noProof/>
          <w:lang w:val="fr-FR"/>
        </w:rPr>
        <w:t>Nombre d’avis et de mesures/d’actes d’exécution</w:t>
      </w:r>
    </w:p>
    <w:p>
      <w:pPr>
        <w:spacing w:line="240" w:lineRule="auto"/>
        <w:jc w:val="both"/>
        <w:rPr>
          <w:rFonts w:ascii="Times New Roman" w:hAnsi="Times New Roman"/>
          <w:noProof/>
          <w:sz w:val="24"/>
          <w:szCs w:val="24"/>
          <w:lang w:val="fr-FR"/>
        </w:rPr>
      </w:pPr>
      <w:r>
        <w:rPr>
          <w:rFonts w:ascii="Times New Roman" w:hAnsi="Times New Roman"/>
          <w:noProof/>
          <w:sz w:val="24"/>
          <w:lang w:val="fr-FR"/>
        </w:rPr>
        <w:t xml:space="preserve">Comme chaque fois, le présent rapport fournit des chiffres globaux pour les </w:t>
      </w:r>
      <w:r>
        <w:rPr>
          <w:rFonts w:ascii="Times New Roman" w:hAnsi="Times New Roman"/>
          <w:i/>
          <w:noProof/>
          <w:sz w:val="24"/>
          <w:lang w:val="fr-FR"/>
        </w:rPr>
        <w:t>avis</w:t>
      </w:r>
      <w:r>
        <w:rPr>
          <w:rFonts w:ascii="Times New Roman" w:hAnsi="Times New Roman"/>
          <w:noProof/>
          <w:sz w:val="24"/>
          <w:lang w:val="fr-FR"/>
        </w:rPr>
        <w:t xml:space="preserve"> formels rendus par les comités et les </w:t>
      </w:r>
      <w:r>
        <w:rPr>
          <w:rFonts w:ascii="Times New Roman" w:hAnsi="Times New Roman"/>
          <w:i/>
          <w:noProof/>
          <w:sz w:val="24"/>
          <w:lang w:val="fr-FR"/>
        </w:rPr>
        <w:t>mesures</w:t>
      </w:r>
      <w:r>
        <w:rPr>
          <w:rFonts w:ascii="Times New Roman" w:hAnsi="Times New Roman"/>
          <w:noProof/>
          <w:sz w:val="24"/>
          <w:lang w:val="fr-FR"/>
        </w:rPr>
        <w:t>/</w:t>
      </w:r>
      <w:r>
        <w:rPr>
          <w:rFonts w:ascii="Times New Roman" w:hAnsi="Times New Roman"/>
          <w:i/>
          <w:noProof/>
          <w:sz w:val="24"/>
          <w:lang w:val="fr-FR"/>
        </w:rPr>
        <w:t>actes d’exécution</w:t>
      </w:r>
      <w:r>
        <w:rPr>
          <w:rFonts w:ascii="Times New Roman" w:hAnsi="Times New Roman"/>
          <w:noProof/>
          <w:sz w:val="24"/>
          <w:lang w:val="fr-FR"/>
        </w:rPr>
        <w:t xml:space="preserve"> correspondants adoptés par la Commission</w:t>
      </w:r>
      <w:r>
        <w:rPr>
          <w:rFonts w:ascii="Times New Roman" w:hAnsi="Times New Roman"/>
          <w:noProof/>
          <w:sz w:val="24"/>
          <w:vertAlign w:val="superscript"/>
        </w:rPr>
        <w:footnoteReference w:id="15"/>
      </w:r>
      <w:r>
        <w:rPr>
          <w:rFonts w:ascii="Times New Roman" w:hAnsi="Times New Roman"/>
          <w:noProof/>
          <w:sz w:val="24"/>
          <w:lang w:val="fr-FR"/>
        </w:rPr>
        <w:t>. Ces chiffres quantifient le travail tangible fourni par les comités (voir tableau IV). Sur l’ensemble des projets d’actes d’exécution présentés aux comités en 2017, le Parlement européen a adopté neuf résolutions sur la base de l’article 11 du règlement de comitologie, tandis que le Conseil n’en a adopté aucune.</w:t>
      </w:r>
    </w:p>
    <w:p>
      <w:pPr>
        <w:spacing w:line="240" w:lineRule="auto"/>
        <w:jc w:val="both"/>
        <w:rPr>
          <w:rFonts w:ascii="Times New Roman" w:hAnsi="Times New Roman"/>
          <w:noProof/>
          <w:sz w:val="24"/>
          <w:szCs w:val="24"/>
          <w:lang w:val="fr-FR"/>
        </w:rPr>
      </w:pPr>
    </w:p>
    <w:p>
      <w:pPr>
        <w:keepNext/>
        <w:spacing w:line="240" w:lineRule="auto"/>
        <w:rPr>
          <w:rFonts w:ascii="Times New Roman" w:hAnsi="Times New Roman"/>
          <w:b/>
          <w:smallCaps/>
          <w:noProof/>
          <w:sz w:val="24"/>
          <w:szCs w:val="24"/>
          <w:u w:val="single"/>
          <w:lang w:val="fr-FR"/>
        </w:rPr>
      </w:pPr>
      <w:r>
        <w:rPr>
          <w:rFonts w:ascii="Times New Roman" w:hAnsi="Times New Roman"/>
          <w:b/>
          <w:noProof/>
          <w:sz w:val="24"/>
          <w:u w:val="single"/>
          <w:lang w:val="fr-FR"/>
        </w:rPr>
        <w:t>TABLEAU IV – Nombre d’avis et de mesures/d’actes d’exécution adoptés</w:t>
      </w:r>
    </w:p>
    <w:tbl>
      <w:tblPr>
        <w:tblW w:w="5000" w:type="pct"/>
        <w:tblLook w:val="0000" w:firstRow="0" w:lastRow="0" w:firstColumn="0" w:lastColumn="0" w:noHBand="0" w:noVBand="0"/>
      </w:tblPr>
      <w:tblGrid>
        <w:gridCol w:w="948"/>
        <w:gridCol w:w="1389"/>
        <w:gridCol w:w="1391"/>
        <w:gridCol w:w="1391"/>
        <w:gridCol w:w="1393"/>
        <w:gridCol w:w="1389"/>
        <w:gridCol w:w="1385"/>
      </w:tblGrid>
      <w:tr>
        <w:trPr>
          <w:trHeight w:val="510"/>
        </w:trPr>
        <w:tc>
          <w:tcPr>
            <w:tcW w:w="510" w:type="pct"/>
            <w:tcBorders>
              <w:top w:val="single" w:sz="4" w:space="0" w:color="auto"/>
              <w:left w:val="single" w:sz="4" w:space="0" w:color="auto"/>
              <w:bottom w:val="single" w:sz="4" w:space="0" w:color="auto"/>
              <w:right w:val="single" w:sz="4" w:space="0" w:color="auto"/>
            </w:tcBorders>
            <w:shd w:val="clear" w:color="auto" w:fill="FFFF99"/>
            <w:noWrap/>
            <w:vAlign w:val="bottom"/>
          </w:tcPr>
          <w:bookmarkEnd w:id="1"/>
          <w:bookmarkEnd w:id="2"/>
          <w:bookmarkEnd w:id="3"/>
          <w:bookmarkEnd w:id="4"/>
          <w:bookmarkEnd w:id="5"/>
          <w:p>
            <w:pPr>
              <w:spacing w:after="0" w:line="240" w:lineRule="auto"/>
              <w:rPr>
                <w:rFonts w:ascii="Times New Roman" w:hAnsi="Times New Roman"/>
                <w:noProof/>
                <w:color w:val="000000"/>
                <w:sz w:val="18"/>
                <w:szCs w:val="18"/>
                <w:lang w:val="fr-FR"/>
              </w:rPr>
            </w:pPr>
            <w:r>
              <w:rPr>
                <w:rFonts w:ascii="Times New Roman" w:hAnsi="Times New Roman"/>
                <w:noProof/>
                <w:color w:val="000000"/>
                <w:sz w:val="18"/>
                <w:lang w:val="fr-FR"/>
              </w:rPr>
              <w:t> </w:t>
            </w:r>
          </w:p>
        </w:tc>
        <w:tc>
          <w:tcPr>
            <w:tcW w:w="1497"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Avis</w:t>
            </w:r>
            <w:r>
              <w:rPr>
                <w:rStyle w:val="FootnoteReference"/>
                <w:rFonts w:ascii="Times New Roman" w:hAnsi="Times New Roman"/>
                <w:b/>
                <w:noProof/>
                <w:color w:val="000000"/>
                <w:sz w:val="18"/>
              </w:rPr>
              <w:footnoteReference w:id="16"/>
            </w:r>
          </w:p>
        </w:tc>
        <w:tc>
          <w:tcPr>
            <w:tcW w:w="1499"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Actes d’exécution</w:t>
            </w:r>
            <w:r>
              <w:rPr>
                <w:rFonts w:ascii="Times New Roman" w:hAnsi="Times New Roman"/>
                <w:b/>
                <w:noProof/>
                <w:color w:val="000000"/>
                <w:sz w:val="18"/>
                <w:szCs w:val="18"/>
              </w:rPr>
              <w:br/>
            </w:r>
            <w:r>
              <w:rPr>
                <w:rFonts w:ascii="Times New Roman" w:hAnsi="Times New Roman"/>
                <w:b/>
                <w:noProof/>
                <w:color w:val="000000"/>
                <w:sz w:val="18"/>
              </w:rPr>
              <w:t>adoptés</w:t>
            </w:r>
          </w:p>
        </w:tc>
        <w:tc>
          <w:tcPr>
            <w:tcW w:w="1494"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lang w:val="fr-FR"/>
              </w:rPr>
            </w:pPr>
            <w:r>
              <w:rPr>
                <w:rFonts w:ascii="Times New Roman" w:hAnsi="Times New Roman"/>
                <w:b/>
                <w:noProof/>
                <w:color w:val="000000"/>
                <w:sz w:val="18"/>
                <w:lang w:val="fr-FR"/>
              </w:rPr>
              <w:t xml:space="preserve"> Procédure de réglementation avec contrôle – mesures</w:t>
            </w:r>
            <w:r>
              <w:rPr>
                <w:rFonts w:ascii="Times New Roman" w:hAnsi="Times New Roman"/>
                <w:b/>
                <w:noProof/>
                <w:color w:val="000000"/>
                <w:sz w:val="18"/>
                <w:szCs w:val="18"/>
                <w:lang w:val="fr-FR"/>
              </w:rPr>
              <w:br/>
            </w:r>
            <w:r>
              <w:rPr>
                <w:rFonts w:ascii="Times New Roman" w:hAnsi="Times New Roman"/>
                <w:b/>
                <w:noProof/>
                <w:color w:val="000000"/>
                <w:sz w:val="18"/>
                <w:lang w:val="fr-FR"/>
              </w:rPr>
              <w:t>adoptées</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val="fr-FR"/>
              </w:rPr>
            </w:pPr>
          </w:p>
        </w:tc>
        <w:tc>
          <w:tcPr>
            <w:tcW w:w="74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2016</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2017</w:t>
            </w:r>
          </w:p>
        </w:tc>
        <w:tc>
          <w:tcPr>
            <w:tcW w:w="749"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2016</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2017</w:t>
            </w:r>
          </w:p>
        </w:tc>
        <w:tc>
          <w:tcPr>
            <w:tcW w:w="74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2016</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2017</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110</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142</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105</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137</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57</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53</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55</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54</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38</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28</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22</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28</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84</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104</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45</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83</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24</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76</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61</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68</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MOVE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65</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59</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44</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50</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64</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74</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65</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74</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OLAF</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2</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2</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270</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248</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191</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717</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803</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632</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753</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55</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56</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82</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79</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67</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85</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75</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75</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TOTAL</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1 768</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1 906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1 448</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1 687</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116</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113</w:t>
            </w:r>
          </w:p>
        </w:tc>
      </w:tr>
    </w:tbl>
    <w:p>
      <w:pPr>
        <w:spacing w:line="240" w:lineRule="auto"/>
        <w:ind w:left="240" w:hanging="240"/>
        <w:jc w:val="both"/>
        <w:rPr>
          <w:rFonts w:ascii="Times New Roman" w:hAnsi="Times New Roman"/>
          <w:i/>
          <w:noProof/>
          <w:sz w:val="18"/>
          <w:szCs w:val="18"/>
          <w:lang w:val="fr-FR"/>
        </w:rPr>
      </w:pPr>
      <w:r>
        <w:rPr>
          <w:rFonts w:ascii="Times New Roman" w:hAnsi="Times New Roman"/>
          <w:i/>
          <w:noProof/>
          <w:sz w:val="18"/>
          <w:lang w:val="fr-FR"/>
        </w:rPr>
        <w:t>* Y compris 16 avis émis par le comité d’appel et 17 actes adoptés.</w:t>
      </w:r>
      <w:r>
        <w:rPr>
          <w:noProof/>
          <w:lang w:val="fr-FR"/>
        </w:rPr>
        <w:tab/>
      </w:r>
      <w:r>
        <w:rPr>
          <w:rFonts w:ascii="Times New Roman" w:hAnsi="Times New Roman"/>
          <w:i/>
          <w:noProof/>
          <w:sz w:val="18"/>
          <w:szCs w:val="18"/>
          <w:lang w:val="fr-FR"/>
        </w:rPr>
        <w:br/>
      </w:r>
    </w:p>
    <w:p>
      <w:pPr>
        <w:pStyle w:val="ManualHeading2"/>
        <w:rPr>
          <w:noProof/>
        </w:rPr>
      </w:pPr>
      <w:r>
        <w:t>2.3.</w:t>
      </w:r>
      <w:r>
        <w:tab/>
      </w:r>
      <w:r>
        <w:rPr>
          <w:noProof/>
        </w:rPr>
        <w:t>Réunions du comité d’appel</w:t>
      </w:r>
    </w:p>
    <w:p>
      <w:pPr>
        <w:spacing w:line="240" w:lineRule="auto"/>
        <w:jc w:val="both"/>
        <w:rPr>
          <w:rFonts w:ascii="Times New Roman" w:hAnsi="Times New Roman"/>
          <w:noProof/>
          <w:sz w:val="24"/>
          <w:szCs w:val="24"/>
          <w:lang w:val="fr-FR"/>
        </w:rPr>
      </w:pPr>
      <w:r>
        <w:rPr>
          <w:rFonts w:ascii="Times New Roman" w:hAnsi="Times New Roman"/>
          <w:noProof/>
          <w:sz w:val="24"/>
          <w:lang w:val="fr-FR"/>
        </w:rPr>
        <w:t>Le comité d’appel s’est réuni huit fois et a été consulté par procédure écrite une fois au cours de l’année 2017 dans le cadre de l'examen de seize projets d’actes d’exécution (dans les domaines de la politique de la santé et des consommateurs, ainsi que du commerce), qui lui ont été soumis par la Commission. Dans quinze cas, il n’a pas émis d’avis; dans un cas, il a émis un avis favorable. La Commission a décidé d’adopter dix-sept actes d’exécution dont un avait été soumis au vote du comité d’appel en 2016.</w:t>
      </w:r>
    </w:p>
    <w:p>
      <w:pPr>
        <w:pStyle w:val="ManualHeading2"/>
        <w:rPr>
          <w:noProof/>
          <w:lang w:val="fr-FR"/>
        </w:rPr>
      </w:pPr>
      <w:r>
        <w:t>2.4.</w:t>
      </w:r>
      <w:r>
        <w:tab/>
      </w:r>
      <w:r>
        <w:rPr>
          <w:noProof/>
          <w:lang w:val="fr-FR"/>
        </w:rPr>
        <w:t xml:space="preserve">Recours à la procédure de réglementation avec contrôle </w:t>
      </w:r>
    </w:p>
    <w:p>
      <w:pPr>
        <w:spacing w:line="240" w:lineRule="auto"/>
        <w:jc w:val="both"/>
        <w:rPr>
          <w:rFonts w:ascii="Times New Roman" w:hAnsi="Times New Roman"/>
          <w:noProof/>
          <w:sz w:val="24"/>
          <w:szCs w:val="24"/>
          <w:lang w:val="fr-FR"/>
        </w:rPr>
      </w:pPr>
      <w:r>
        <w:rPr>
          <w:rFonts w:ascii="Times New Roman" w:hAnsi="Times New Roman"/>
          <w:noProof/>
          <w:sz w:val="24"/>
          <w:lang w:val="fr-FR"/>
        </w:rPr>
        <w:t>Comme indiqué à la section 1, la procédure de réglementation avec contrôle n’a pas été concernée par la réforme de la comitologie en 2011. Cette procédure ne peut plus être utilisée dans la nouvelle législation, mais elle apparaît encore dans de nombreux actes de base existants et continuera de s’appliquer en vertu de ces actes jusqu’à ce que ceux-ci soient adaptés. En 2017, 113 mesures ont été adoptées selon la procédure de réglementation avec contrôle (voir tableau V). Le Parlement européen a utilisé son droit de veto une fois. En 2016, à titre de comparaison, le droit de veto avait également été utilisé une fois.</w:t>
      </w:r>
    </w:p>
    <w:p>
      <w:pPr>
        <w:keepNext/>
        <w:spacing w:line="240" w:lineRule="auto"/>
        <w:rPr>
          <w:rFonts w:ascii="Times New Roman" w:hAnsi="Times New Roman"/>
          <w:b/>
          <w:smallCaps/>
          <w:noProof/>
          <w:sz w:val="24"/>
          <w:szCs w:val="24"/>
          <w:u w:val="single"/>
          <w:lang w:val="fr-FR"/>
        </w:rPr>
      </w:pPr>
      <w:r>
        <w:rPr>
          <w:rFonts w:ascii="Times New Roman" w:hAnsi="Times New Roman"/>
          <w:b/>
          <w:noProof/>
          <w:sz w:val="24"/>
          <w:u w:val="single"/>
          <w:lang w:val="fr-FR"/>
        </w:rPr>
        <w:t xml:space="preserve">TABLEAU V – Nombre de mesures adoptées selon la procédure de réglementation avec contrôle </w:t>
      </w:r>
    </w:p>
    <w:tbl>
      <w:tblPr>
        <w:tblW w:w="5000" w:type="pct"/>
        <w:tblLook w:val="0000" w:firstRow="0" w:lastRow="0" w:firstColumn="0" w:lastColumn="0" w:noHBand="0" w:noVBand="0"/>
      </w:tblPr>
      <w:tblGrid>
        <w:gridCol w:w="1714"/>
        <w:gridCol w:w="2524"/>
        <w:gridCol w:w="2526"/>
        <w:gridCol w:w="2522"/>
      </w:tblGrid>
      <w:tr>
        <w:trPr>
          <w:trHeight w:val="597"/>
        </w:trPr>
        <w:tc>
          <w:tcPr>
            <w:tcW w:w="923"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szCs w:val="18"/>
                <w:lang w:val="fr-FR"/>
              </w:rPr>
            </w:pPr>
            <w:r>
              <w:rPr>
                <w:rFonts w:ascii="Times New Roman" w:hAnsi="Times New Roman"/>
                <w:noProof/>
                <w:color w:val="000000"/>
                <w:sz w:val="18"/>
                <w:lang w:val="fr-FR"/>
              </w:rPr>
              <w:t> </w:t>
            </w:r>
          </w:p>
        </w:tc>
        <w:tc>
          <w:tcPr>
            <w:tcW w:w="1359" w:type="pct"/>
            <w:tcBorders>
              <w:top w:val="single" w:sz="4" w:space="0" w:color="auto"/>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noProof/>
                <w:color w:val="000000"/>
                <w:sz w:val="18"/>
                <w:szCs w:val="18"/>
                <w:lang w:val="fr-FR"/>
              </w:rPr>
            </w:pPr>
            <w:r>
              <w:rPr>
                <w:rFonts w:ascii="Times New Roman" w:hAnsi="Times New Roman"/>
                <w:b/>
                <w:noProof/>
                <w:color w:val="000000"/>
                <w:sz w:val="18"/>
                <w:lang w:val="fr-FR"/>
              </w:rPr>
              <w:t>Procédure de réglementation avec contrôle – mesures</w:t>
            </w:r>
            <w:r>
              <w:rPr>
                <w:rFonts w:ascii="Times New Roman" w:hAnsi="Times New Roman"/>
                <w:b/>
                <w:noProof/>
                <w:color w:val="000000"/>
                <w:sz w:val="18"/>
                <w:szCs w:val="18"/>
                <w:lang w:val="fr-FR"/>
              </w:rPr>
              <w:br/>
            </w:r>
            <w:r>
              <w:rPr>
                <w:rFonts w:ascii="Times New Roman" w:hAnsi="Times New Roman"/>
                <w:b/>
                <w:noProof/>
                <w:color w:val="000000"/>
                <w:sz w:val="18"/>
                <w:lang w:val="fr-FR"/>
              </w:rPr>
              <w:t>adoptées</w:t>
            </w:r>
          </w:p>
        </w:tc>
        <w:tc>
          <w:tcPr>
            <w:tcW w:w="1360" w:type="pct"/>
            <w:tcBorders>
              <w:top w:val="single" w:sz="4" w:space="0" w:color="auto"/>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noProof/>
                <w:color w:val="000000"/>
                <w:sz w:val="18"/>
                <w:szCs w:val="18"/>
                <w:lang w:val="fr-FR"/>
              </w:rPr>
            </w:pPr>
            <w:r>
              <w:rPr>
                <w:rFonts w:ascii="Times New Roman" w:hAnsi="Times New Roman"/>
                <w:b/>
                <w:noProof/>
                <w:color w:val="000000"/>
                <w:sz w:val="18"/>
                <w:lang w:val="fr-FR"/>
              </w:rPr>
              <w:t xml:space="preserve">Opposition du Parlement européen à l’adoption de projets de mesures </w:t>
            </w:r>
          </w:p>
        </w:tc>
        <w:tc>
          <w:tcPr>
            <w:tcW w:w="1359" w:type="pct"/>
            <w:tcBorders>
              <w:top w:val="single" w:sz="4" w:space="0" w:color="auto"/>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noProof/>
                <w:color w:val="000000"/>
                <w:sz w:val="18"/>
                <w:szCs w:val="18"/>
                <w:lang w:val="fr-FR"/>
              </w:rPr>
            </w:pPr>
            <w:r>
              <w:rPr>
                <w:rFonts w:ascii="Times New Roman" w:hAnsi="Times New Roman"/>
                <w:b/>
                <w:noProof/>
                <w:color w:val="000000"/>
                <w:sz w:val="18"/>
                <w:lang w:val="fr-FR"/>
              </w:rPr>
              <w:t xml:space="preserve">Opposition du Conseil à l’adoption de projets de mesures </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24</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MOVE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OLAF</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56</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TOTAL</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113</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0</w:t>
            </w:r>
          </w:p>
        </w:tc>
      </w:tr>
    </w:tbl>
    <w:p>
      <w:pPr>
        <w:spacing w:line="240" w:lineRule="auto"/>
        <w:jc w:val="both"/>
        <w:rPr>
          <w:rFonts w:ascii="Times New Roman" w:hAnsi="Times New Roman"/>
          <w:b/>
          <w:noProof/>
          <w:sz w:val="24"/>
          <w:szCs w:val="24"/>
        </w:rPr>
      </w:pPr>
    </w:p>
    <w:p>
      <w:pPr>
        <w:pStyle w:val="ManualHeading1"/>
        <w:rPr>
          <w:noProof/>
          <w:lang w:val="fr-FR"/>
        </w:rPr>
      </w:pPr>
      <w:r>
        <w:t>3.</w:t>
      </w:r>
      <w:r>
        <w:tab/>
      </w:r>
      <w:r>
        <w:rPr>
          <w:noProof/>
          <w:lang w:val="fr-FR"/>
        </w:rPr>
        <w:t>Informations détaillées sur les activités des comités</w:t>
      </w:r>
    </w:p>
    <w:p>
      <w:pPr>
        <w:spacing w:line="240" w:lineRule="auto"/>
        <w:jc w:val="both"/>
        <w:rPr>
          <w:rFonts w:ascii="Times New Roman" w:hAnsi="Times New Roman"/>
          <w:noProof/>
          <w:sz w:val="24"/>
          <w:szCs w:val="24"/>
          <w:lang w:val="fr-FR"/>
        </w:rPr>
      </w:pPr>
      <w:r>
        <w:rPr>
          <w:rFonts w:ascii="Times New Roman" w:hAnsi="Times New Roman"/>
          <w:noProof/>
          <w:sz w:val="24"/>
          <w:lang w:val="fr-FR"/>
        </w:rPr>
        <w:t>Le document de travail qui accompagne le présent rapport fournit des informations détaillées sur les activités de chaque comité en 2017, ventilées en fonction des différentes directions générales concernées.</w:t>
      </w:r>
      <w:bookmarkStart w:id="8" w:name="_CopyToNewDocument_"/>
      <w:bookmarkEnd w:id="8"/>
    </w:p>
    <w:p>
      <w:pPr>
        <w:pStyle w:val="ManualHeading1"/>
        <w:rPr>
          <w:noProof/>
        </w:rPr>
      </w:pPr>
      <w:r>
        <w:t>4.</w:t>
      </w:r>
      <w:r>
        <w:tab/>
      </w:r>
      <w:r>
        <w:rPr>
          <w:noProof/>
        </w:rPr>
        <w:t>Conclusion</w:t>
      </w:r>
    </w:p>
    <w:p>
      <w:pPr>
        <w:rPr>
          <w:rFonts w:ascii="Times New Roman" w:hAnsi="Times New Roman"/>
          <w:noProof/>
          <w:sz w:val="24"/>
          <w:szCs w:val="24"/>
          <w:lang w:val="fr-FR"/>
        </w:rPr>
      </w:pPr>
      <w:r>
        <w:rPr>
          <w:rFonts w:ascii="Times New Roman" w:hAnsi="Times New Roman"/>
          <w:noProof/>
          <w:sz w:val="24"/>
          <w:lang w:val="fr-FR"/>
        </w:rPr>
        <w:t xml:space="preserve">Le Parlement européen et le Conseil sont invités à prendre note du présent rapport. </w:t>
      </w:r>
    </w:p>
    <w:p>
      <w:pPr>
        <w:pStyle w:val="Typedudocument"/>
        <w:rPr>
          <w:noProof/>
          <w:lang w:val="fr-FR"/>
        </w:rPr>
      </w:pPr>
    </w:p>
    <w:sectPr>
      <w:headerReference w:type="even" r:id="rId16"/>
      <w:headerReference w:type="default" r:id="rId17"/>
      <w:footerReference w:type="even" r:id="rId18"/>
      <w:footerReference w:type="default" r:id="rId19"/>
      <w:headerReference w:type="first" r:id="rId20"/>
      <w:footerReference w:type="first" r:id="rId21"/>
      <w:pgSz w:w="11906" w:h="16838" w:code="9"/>
      <w:pgMar w:top="1134" w:right="1418" w:bottom="1134" w:left="1418"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fr-FR"/>
        </w:rPr>
      </w:pPr>
      <w:r>
        <w:rPr>
          <w:rStyle w:val="FootnoteReference"/>
        </w:rPr>
        <w:footnoteRef/>
      </w:r>
      <w:r>
        <w:rPr>
          <w:lang w:val="fr-FR"/>
        </w:rPr>
        <w:tab/>
      </w:r>
      <w:r>
        <w:rPr>
          <w:rStyle w:val="Strong"/>
          <w:b w:val="0"/>
          <w:lang w:val="fr-FR"/>
        </w:rPr>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2">
    <w:p>
      <w:pPr>
        <w:pStyle w:val="FootnoteText"/>
        <w:rPr>
          <w:lang w:val="fr-FR"/>
        </w:rPr>
      </w:pPr>
      <w:r>
        <w:rPr>
          <w:rStyle w:val="FootnoteReference"/>
        </w:rPr>
        <w:footnoteRef/>
      </w:r>
      <w:r>
        <w:rPr>
          <w:lang w:val="fr-FR"/>
        </w:rPr>
        <w:tab/>
        <w:t>Rapport de la Commission sur les travaux des comités en 2013 [COM(2014) 572 final].</w:t>
      </w:r>
    </w:p>
  </w:footnote>
  <w:footnote w:id="3">
    <w:p>
      <w:pPr>
        <w:pStyle w:val="FootnoteText"/>
        <w:rPr>
          <w:lang w:val="fr-FR"/>
        </w:rPr>
      </w:pPr>
      <w:r>
        <w:rPr>
          <w:rStyle w:val="FootnoteReference"/>
        </w:rPr>
        <w:footnoteRef/>
      </w:r>
      <w:r>
        <w:rPr>
          <w:lang w:val="fr-FR"/>
        </w:rPr>
        <w:tab/>
        <w:t>Décision 1999/468/CE du Conseil du 28 juin 1999 (JO L 184 du 17.7.1999, p. 23), telle que modifiée par la décision 2006/512/CE du Conseil (JO C 255 du 21.10.2006, p. 4).</w:t>
      </w:r>
    </w:p>
  </w:footnote>
  <w:footnote w:id="4">
    <w:p>
      <w:pPr>
        <w:pStyle w:val="FootnoteText"/>
        <w:rPr>
          <w:lang w:val="fr-FR"/>
        </w:rPr>
      </w:pPr>
      <w:r>
        <w:rPr>
          <w:rStyle w:val="FootnoteReference"/>
        </w:rPr>
        <w:footnoteRef/>
      </w:r>
      <w:r>
        <w:rPr>
          <w:lang w:val="fr-FR"/>
        </w:rPr>
        <w:t xml:space="preserve">  </w:t>
      </w:r>
      <w:r>
        <w:rPr>
          <w:lang w:val="fr-FR"/>
        </w:rPr>
        <w:tab/>
        <w:t xml:space="preserve">Accord interinstitutionnel entre le Parlement européen, le Conseil de l’Union européenne et la Commission européenne «Mieux légiférer» du 13 avril 2016 (JO L 123 du 12.5.2016, p. 1). </w:t>
      </w:r>
    </w:p>
  </w:footnote>
  <w:footnote w:id="5">
    <w:p>
      <w:pPr>
        <w:pStyle w:val="FootnoteText"/>
        <w:ind w:left="709" w:hanging="709"/>
        <w:rPr>
          <w:lang w:val="fr-FR"/>
        </w:rPr>
      </w:pPr>
      <w:r>
        <w:rPr>
          <w:rStyle w:val="FootnoteReference"/>
        </w:rPr>
        <w:footnoteRef/>
      </w:r>
      <w:r>
        <w:rPr>
          <w:lang w:val="fr-FR"/>
        </w:rPr>
        <w:tab/>
        <w:t>Proposition de RÈGLEMENT DU PARLEMENT EUROPÉEN ET DU CONSEIL adaptant aux articles 290 et 291 du traité sur le fonctionnement de l’Union européenne une série d’actes juridiques prévoyant le recours à la procédure de réglementation avec contrôle [COM(2016) 799].</w:t>
      </w:r>
    </w:p>
  </w:footnote>
  <w:footnote w:id="6">
    <w:p>
      <w:pPr>
        <w:pStyle w:val="FootnoteText"/>
        <w:rPr>
          <w:lang w:val="fr-FR"/>
        </w:rPr>
      </w:pPr>
      <w:r>
        <w:rPr>
          <w:rStyle w:val="FootnoteReference"/>
        </w:rPr>
        <w:footnoteRef/>
      </w:r>
      <w:r>
        <w:rPr>
          <w:lang w:val="fr-FR"/>
        </w:rPr>
        <w:tab/>
        <w:t>Proposition de RÈGLEMENT DU PARLEMENT EUROPÉEN ET DU CONSEIL adaptant à l’article 290 du traité sur le fonctionnement de l’Union européenne une série d’actes juridiques dans le domaine de la justice prévoyant le recours à la procédure de réglementation avec contrôle [COM(2016) 798].</w:t>
      </w:r>
    </w:p>
  </w:footnote>
  <w:footnote w:id="7">
    <w:p>
      <w:pPr>
        <w:pStyle w:val="FootnoteText"/>
        <w:rPr>
          <w:lang w:val="fr-FR"/>
        </w:rPr>
      </w:pPr>
      <w:r>
        <w:rPr>
          <w:rStyle w:val="FootnoteReference"/>
        </w:rPr>
        <w:footnoteRef/>
      </w:r>
      <w:r>
        <w:rPr>
          <w:lang w:val="fr-FR"/>
        </w:rPr>
        <w:t xml:space="preserve"> </w:t>
      </w:r>
      <w:r>
        <w:rPr>
          <w:lang w:val="fr-FR"/>
        </w:rPr>
        <w:tab/>
        <w:t>Rapport sur la proposition de règlement du Parlement européen et du Conseil adaptant aux articles 290 et 291 du traité sur le fonctionnement de l’Union européenne une série d’actes juridiques prévoyant le recours à la procédure de réglementation avec contrôle (Commission des affaires juridiques, A8-0020/2018).</w:t>
      </w:r>
    </w:p>
  </w:footnote>
  <w:footnote w:id="8">
    <w:p>
      <w:pPr>
        <w:pStyle w:val="FootnoteText"/>
        <w:rPr>
          <w:lang w:val="fr-FR"/>
        </w:rPr>
      </w:pPr>
      <w:r>
        <w:rPr>
          <w:rStyle w:val="FootnoteReference"/>
        </w:rPr>
        <w:footnoteRef/>
      </w:r>
      <w:r>
        <w:rPr>
          <w:lang w:val="fr-FR"/>
        </w:rPr>
        <w:t xml:space="preserve"> </w:t>
      </w:r>
      <w:r>
        <w:rPr>
          <w:lang w:val="fr-FR"/>
        </w:rPr>
        <w:tab/>
        <w:t xml:space="preserve">Proposition de règlement du Parlement européen et du Conseil adaptant aux articles 290 et 291 du traité sur le fonctionnement de l’Union européenne une série d’actes juridiques prévoyant le recours à la procédure de réglementation avec contrôle – Orientation générale partielle (6933/18, 9 mars 2018). </w:t>
      </w:r>
    </w:p>
  </w:footnote>
  <w:footnote w:id="9">
    <w:p>
      <w:pPr>
        <w:pStyle w:val="FootnoteText"/>
        <w:rPr>
          <w:lang w:val="fr-FR"/>
        </w:rPr>
      </w:pPr>
      <w:r>
        <w:rPr>
          <w:rStyle w:val="FootnoteReference"/>
        </w:rPr>
        <w:footnoteRef/>
      </w:r>
      <w:r>
        <w:rPr>
          <w:lang w:val="fr-FR"/>
        </w:rPr>
        <w:t xml:space="preserve"> </w:t>
      </w:r>
      <w:r>
        <w:rPr>
          <w:lang w:val="fr-FR"/>
        </w:rPr>
        <w:tab/>
        <w:t>Rapport de la Commission au Parlement européen et au Conseil sur la mise en œuvre du règlement (UE) nº 182/2011 [COM(2016) 92].</w:t>
      </w:r>
    </w:p>
  </w:footnote>
  <w:footnote w:id="10">
    <w:p>
      <w:pPr>
        <w:pStyle w:val="FootnoteText"/>
        <w:rPr>
          <w:lang w:val="fr-FR"/>
        </w:rPr>
      </w:pPr>
      <w:r>
        <w:rPr>
          <w:rStyle w:val="FootnoteReference"/>
        </w:rPr>
        <w:footnoteRef/>
      </w:r>
      <w:r>
        <w:rPr>
          <w:lang w:val="fr-FR"/>
        </w:rPr>
        <w:t xml:space="preserve"> </w:t>
      </w:r>
      <w:r>
        <w:rPr>
          <w:lang w:val="fr-FR"/>
        </w:rPr>
        <w:tab/>
      </w:r>
      <w:hyperlink r:id="rId1">
        <w:r>
          <w:rPr>
            <w:rStyle w:val="Hyperlink"/>
            <w:lang w:val="fr-FR"/>
          </w:rPr>
          <w:t>https://ec.europa.eu/info/law/better-regulation/have-your-say_fr</w:t>
        </w:r>
      </w:hyperlink>
      <w:r>
        <w:rPr>
          <w:lang w:val="fr-FR"/>
        </w:rPr>
        <w:t xml:space="preserve"> </w:t>
      </w:r>
    </w:p>
  </w:footnote>
  <w:footnote w:id="11">
    <w:p>
      <w:pPr>
        <w:pStyle w:val="FootnoteText"/>
        <w:rPr>
          <w:lang w:val="fr-FR"/>
        </w:rPr>
      </w:pPr>
      <w:r>
        <w:rPr>
          <w:rStyle w:val="FootnoteReference"/>
        </w:rPr>
        <w:footnoteRef/>
      </w:r>
      <w:r>
        <w:rPr>
          <w:lang w:val="fr-FR"/>
        </w:rPr>
        <w:t xml:space="preserve"> </w:t>
      </w:r>
      <w:r>
        <w:rPr>
          <w:lang w:val="fr-FR"/>
        </w:rPr>
        <w:tab/>
        <w:t>Arrêt de la Cour de justice du 20 septembre 2017, Tilly-Sabco/Commission, C-183/16, ECLI:EU:C:2017:704</w:t>
      </w:r>
    </w:p>
  </w:footnote>
  <w:footnote w:id="12">
    <w:p>
      <w:pPr>
        <w:pStyle w:val="FootnoteText"/>
        <w:rPr>
          <w:lang w:val="fr-FR"/>
        </w:rPr>
      </w:pPr>
      <w:r>
        <w:rPr>
          <w:rStyle w:val="FootnoteReference"/>
        </w:rPr>
        <w:footnoteRef/>
      </w:r>
      <w:r>
        <w:rPr>
          <w:lang w:val="fr-FR"/>
        </w:rPr>
        <w:t xml:space="preserve"> </w:t>
      </w:r>
      <w:r>
        <w:rPr>
          <w:lang w:val="fr-FR"/>
        </w:rPr>
        <w:tab/>
        <w:t>Règlement intérieur type pour les comités (JO C 206 du 12.7.2011, p. 11).</w:t>
      </w:r>
    </w:p>
  </w:footnote>
  <w:footnote w:id="13">
    <w:p>
      <w:pPr>
        <w:pStyle w:val="FootnoteText"/>
        <w:rPr>
          <w:lang w:val="fr-FR"/>
        </w:rPr>
      </w:pPr>
      <w:r>
        <w:rPr>
          <w:rStyle w:val="FootnoteReference"/>
        </w:rPr>
        <w:footnoteRef/>
      </w:r>
      <w:r>
        <w:rPr>
          <w:lang w:val="fr-FR"/>
        </w:rPr>
        <w:tab/>
        <w:t xml:space="preserve">Pour de plus amples informations, voir: </w:t>
      </w:r>
      <w:hyperlink r:id="rId2">
        <w:r>
          <w:rPr>
            <w:rStyle w:val="Hyperlink"/>
            <w:lang w:val="fr-FR"/>
          </w:rPr>
          <w:t>http://ec.europa.eu/transparency/regexpert/index.cfm?Lang=FR</w:t>
        </w:r>
      </w:hyperlink>
      <w:r>
        <w:rPr>
          <w:lang w:val="fr-FR"/>
        </w:rPr>
        <w:t xml:space="preserve"> </w:t>
      </w:r>
    </w:p>
  </w:footnote>
  <w:footnote w:id="14">
    <w:p>
      <w:pPr>
        <w:pStyle w:val="FootnoteText"/>
        <w:rPr>
          <w:lang w:val="fr-FR"/>
        </w:rPr>
      </w:pPr>
      <w:r>
        <w:rPr>
          <w:rStyle w:val="FootnoteReference"/>
        </w:rPr>
        <w:footnoteRef/>
      </w:r>
      <w:r>
        <w:rPr>
          <w:lang w:val="fr-FR"/>
        </w:rPr>
        <w:tab/>
        <w:t>Le vote du comité peut avoir lieu au cours d’une réunion ordinaire de celui-ci ou, dans des cas dûment justifiés, par procédure écrite, conformément à l’article 3, paragraphe 5, du règlement de comitologie.</w:t>
      </w:r>
    </w:p>
  </w:footnote>
  <w:footnote w:id="15">
    <w:p>
      <w:pPr>
        <w:pStyle w:val="FootnoteText"/>
        <w:rPr>
          <w:lang w:val="fr-FR"/>
        </w:rPr>
      </w:pPr>
      <w:r>
        <w:rPr>
          <w:rStyle w:val="FootnoteReference"/>
        </w:rPr>
        <w:footnoteRef/>
      </w:r>
      <w:r>
        <w:rPr>
          <w:lang w:val="fr-FR"/>
        </w:rPr>
        <w:tab/>
        <w:t>Il y a lieu de préciser que des écarts sont possibles entre le nombre d’avis et le nombre de mesures/d’actes d’exécution pour une année donnée. Le document de travail des services de la Commission qui accompagne le rapport en précise les raisons dans son introduction.</w:t>
      </w:r>
    </w:p>
  </w:footnote>
  <w:footnote w:id="16">
    <w:p>
      <w:pPr>
        <w:pStyle w:val="FootnoteText"/>
        <w:rPr>
          <w:lang w:val="fr-FR"/>
        </w:rPr>
      </w:pPr>
      <w:r>
        <w:rPr>
          <w:rStyle w:val="FootnoteReference"/>
        </w:rPr>
        <w:footnoteRef/>
      </w:r>
      <w:r>
        <w:rPr>
          <w:lang w:val="fr-FR"/>
        </w:rPr>
        <w:t xml:space="preserve"> </w:t>
      </w:r>
      <w:r>
        <w:rPr>
          <w:lang w:val="fr-FR"/>
        </w:rPr>
        <w:tab/>
      </w:r>
      <w:r>
        <w:rPr>
          <w:color w:val="000000"/>
          <w:lang w:val="fr-FR"/>
        </w:rPr>
        <w:t>Un vote qui débouche sur une absence d’avis est comptabilisé dans le nombre total d’avis.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5E43525"/>
    <w:multiLevelType w:val="multilevel"/>
    <w:tmpl w:val="76202BFE"/>
    <w:lvl w:ilvl="0">
      <w:start w:val="1"/>
      <w:numFmt w:val="decimal"/>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DD5905"/>
    <w:multiLevelType w:val="singleLevel"/>
    <w:tmpl w:val="6CB4B73E"/>
    <w:lvl w:ilvl="0">
      <w:start w:val="1"/>
      <w:numFmt w:val="bullet"/>
      <w:pStyle w:val="ListBullet2"/>
      <w:lvlText w:val=""/>
      <w:lvlJc w:val="left"/>
      <w:pPr>
        <w:tabs>
          <w:tab w:val="num" w:pos="1134"/>
        </w:tabs>
        <w:ind w:left="1134" w:hanging="283"/>
      </w:pPr>
      <w:rPr>
        <w:rFonts w:ascii="Symbol" w:hAnsi="Symbol" w:hint="default"/>
      </w:rPr>
    </w:lvl>
  </w:abstractNum>
  <w:abstractNum w:abstractNumId="3">
    <w:nsid w:val="24E930D7"/>
    <w:multiLevelType w:val="multilevel"/>
    <w:tmpl w:val="EFD2E05E"/>
    <w:lvl w:ilvl="0">
      <w:start w:val="1"/>
      <w:numFmt w:val="decimal"/>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5">
    <w:nsid w:val="3A5459E8"/>
    <w:multiLevelType w:val="singleLevel"/>
    <w:tmpl w:val="2188C922"/>
    <w:lvl w:ilvl="0">
      <w:start w:val="1"/>
      <w:numFmt w:val="bullet"/>
      <w:pStyle w:val="Tiret1"/>
      <w:lvlText w:val="–"/>
      <w:lvlJc w:val="left"/>
      <w:pPr>
        <w:tabs>
          <w:tab w:val="num" w:pos="1417"/>
        </w:tabs>
        <w:ind w:left="1417" w:hanging="567"/>
      </w:pPr>
    </w:lvl>
  </w:abstractNum>
  <w:abstractNum w:abstractNumId="6">
    <w:nsid w:val="3BA736C9"/>
    <w:multiLevelType w:val="singleLevel"/>
    <w:tmpl w:val="F00A6C0C"/>
    <w:lvl w:ilvl="0">
      <w:start w:val="1"/>
      <w:numFmt w:val="bullet"/>
      <w:pStyle w:val="Tiret0"/>
      <w:lvlText w:val="–"/>
      <w:lvlJc w:val="left"/>
      <w:pPr>
        <w:tabs>
          <w:tab w:val="num" w:pos="850"/>
        </w:tabs>
        <w:ind w:left="850" w:hanging="850"/>
      </w:pPr>
    </w:lvl>
  </w:abstractNum>
  <w:abstractNum w:abstractNumId="7">
    <w:nsid w:val="3C90278F"/>
    <w:multiLevelType w:val="singleLevel"/>
    <w:tmpl w:val="0FE08974"/>
    <w:name w:val="Tiret 1"/>
    <w:lvl w:ilvl="0">
      <w:start w:val="1"/>
      <w:numFmt w:val="bullet"/>
      <w:pStyle w:val="Tiret3"/>
      <w:lvlText w:val="–"/>
      <w:lvlJc w:val="left"/>
      <w:pPr>
        <w:tabs>
          <w:tab w:val="num" w:pos="2551"/>
        </w:tabs>
        <w:ind w:left="2551" w:hanging="567"/>
      </w:pPr>
    </w:lvl>
  </w:abstractNum>
  <w:abstractNum w:abstractNumId="8">
    <w:nsid w:val="3E191884"/>
    <w:multiLevelType w:val="singleLevel"/>
    <w:tmpl w:val="3020C764"/>
    <w:lvl w:ilvl="0">
      <w:start w:val="1"/>
      <w:numFmt w:val="bullet"/>
      <w:pStyle w:val="ListBullet3"/>
      <w:lvlText w:val=""/>
      <w:lvlJc w:val="left"/>
      <w:pPr>
        <w:tabs>
          <w:tab w:val="num" w:pos="1134"/>
        </w:tabs>
        <w:ind w:left="1134" w:hanging="283"/>
      </w:pPr>
      <w:rPr>
        <w:rFonts w:ascii="Symbol" w:hAnsi="Symbol" w:hint="default"/>
      </w:rPr>
    </w:lvl>
  </w:abstractNum>
  <w:abstractNum w:abstractNumId="9">
    <w:nsid w:val="40315490"/>
    <w:multiLevelType w:val="singleLevel"/>
    <w:tmpl w:val="1F86C700"/>
    <w:name w:val="7,134676E-02"/>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0">
    <w:nsid w:val="48842C30"/>
    <w:multiLevelType w:val="singleLevel"/>
    <w:tmpl w:val="4FA60B90"/>
    <w:name w:val="List Dash"/>
    <w:lvl w:ilvl="0">
      <w:start w:val="1"/>
      <w:numFmt w:val="bullet"/>
      <w:pStyle w:val="Bullet4"/>
      <w:lvlText w:val=""/>
      <w:lvlJc w:val="left"/>
      <w:pPr>
        <w:tabs>
          <w:tab w:val="num" w:pos="3118"/>
        </w:tabs>
        <w:ind w:left="3118" w:hanging="567"/>
      </w:pPr>
      <w:rPr>
        <w:rFonts w:ascii="Symbol" w:hAnsi="Symbol" w:hint="default"/>
      </w:rPr>
    </w:lvl>
  </w:abstractNum>
  <w:abstractNum w:abstractNumId="11">
    <w:nsid w:val="54593082"/>
    <w:multiLevelType w:val="singleLevel"/>
    <w:tmpl w:val="EDE069AC"/>
    <w:name w:val="Tiret 0"/>
    <w:lvl w:ilvl="0">
      <w:start w:val="1"/>
      <w:numFmt w:val="bullet"/>
      <w:pStyle w:val="Bullet0"/>
      <w:lvlText w:val=""/>
      <w:lvlJc w:val="left"/>
      <w:pPr>
        <w:tabs>
          <w:tab w:val="num" w:pos="850"/>
        </w:tabs>
        <w:ind w:left="850" w:hanging="850"/>
      </w:pPr>
      <w:rPr>
        <w:rFonts w:ascii="Symbol" w:hAnsi="Symbol" w:hint="default"/>
      </w:rPr>
    </w:lvl>
  </w:abstractNum>
  <w:abstractNum w:abstractNumId="12">
    <w:nsid w:val="568864DC"/>
    <w:multiLevelType w:val="singleLevel"/>
    <w:tmpl w:val="485EBDAC"/>
    <w:name w:val="Tiret 3"/>
    <w:lvl w:ilvl="0">
      <w:start w:val="1"/>
      <w:numFmt w:val="bullet"/>
      <w:pStyle w:val="Tiret4"/>
      <w:lvlText w:val="–"/>
      <w:lvlJc w:val="left"/>
      <w:pPr>
        <w:tabs>
          <w:tab w:val="num" w:pos="3118"/>
        </w:tabs>
        <w:ind w:left="3118" w:hanging="567"/>
      </w:pPr>
    </w:lvl>
  </w:abstractNum>
  <w:abstractNum w:abstractNumId="13">
    <w:nsid w:val="596D67A1"/>
    <w:multiLevelType w:val="singleLevel"/>
    <w:tmpl w:val="9AC8831A"/>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14">
    <w:nsid w:val="5F342530"/>
    <w:multiLevelType w:val="singleLevel"/>
    <w:tmpl w:val="D5444702"/>
    <w:name w:val="List Dash 2"/>
    <w:lvl w:ilvl="0">
      <w:start w:val="1"/>
      <w:numFmt w:val="bullet"/>
      <w:pStyle w:val="Bullet3"/>
      <w:lvlText w:val=""/>
      <w:lvlJc w:val="left"/>
      <w:pPr>
        <w:tabs>
          <w:tab w:val="num" w:pos="2551"/>
        </w:tabs>
        <w:ind w:left="2551" w:hanging="567"/>
      </w:pPr>
      <w:rPr>
        <w:rFonts w:ascii="Symbol" w:hAnsi="Symbol" w:hint="default"/>
      </w:rPr>
    </w:lvl>
  </w:abstractNum>
  <w:abstractNum w:abstractNumId="15">
    <w:nsid w:val="5F8C3B69"/>
    <w:multiLevelType w:val="multilevel"/>
    <w:tmpl w:val="9B14DAA8"/>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F9C40AA"/>
    <w:multiLevelType w:val="singleLevel"/>
    <w:tmpl w:val="B89CB5A2"/>
    <w:lvl w:ilvl="0">
      <w:start w:val="1"/>
      <w:numFmt w:val="bullet"/>
      <w:pStyle w:val="Bullet2"/>
      <w:lvlText w:val=""/>
      <w:lvlJc w:val="left"/>
      <w:pPr>
        <w:tabs>
          <w:tab w:val="num" w:pos="1984"/>
        </w:tabs>
        <w:ind w:left="1984" w:hanging="567"/>
      </w:pPr>
      <w:rPr>
        <w:rFonts w:ascii="Symbol" w:hAnsi="Symbol" w:hint="default"/>
      </w:rPr>
    </w:lvl>
  </w:abstractNum>
  <w:abstractNum w:abstractNumId="17">
    <w:nsid w:val="62970F71"/>
    <w:multiLevelType w:val="singleLevel"/>
    <w:tmpl w:val="5AFA8C72"/>
    <w:name w:val="Bullet 4"/>
    <w:lvl w:ilvl="0">
      <w:start w:val="1"/>
      <w:numFmt w:val="bullet"/>
      <w:pStyle w:val="Tiret2"/>
      <w:lvlText w:val="–"/>
      <w:lvlJc w:val="left"/>
      <w:pPr>
        <w:tabs>
          <w:tab w:val="num" w:pos="1984"/>
        </w:tabs>
        <w:ind w:left="1984" w:hanging="567"/>
      </w:pPr>
    </w:lvl>
  </w:abstractNum>
  <w:abstractNum w:abstractNumId="18">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19">
    <w:nsid w:val="69995580"/>
    <w:multiLevelType w:val="singleLevel"/>
    <w:tmpl w:val="75CC7CBA"/>
    <w:lvl w:ilvl="0">
      <w:start w:val="1"/>
      <w:numFmt w:val="decimal"/>
      <w:pStyle w:val="Considrant"/>
      <w:lvlText w:val="(%1)"/>
      <w:lvlJc w:val="left"/>
      <w:pPr>
        <w:tabs>
          <w:tab w:val="num" w:pos="709"/>
        </w:tabs>
        <w:ind w:left="709" w:hanging="709"/>
      </w:pPr>
    </w:lvl>
  </w:abstractNum>
  <w:abstractNum w:abstractNumId="20">
    <w:nsid w:val="6A6901C1"/>
    <w:multiLevelType w:val="singleLevel"/>
    <w:tmpl w:val="208841AE"/>
    <w:lvl w:ilvl="0">
      <w:start w:val="1"/>
      <w:numFmt w:val="bullet"/>
      <w:pStyle w:val="ListBullet1"/>
      <w:lvlText w:val=""/>
      <w:lvlJc w:val="left"/>
      <w:pPr>
        <w:tabs>
          <w:tab w:val="num" w:pos="1134"/>
        </w:tabs>
        <w:ind w:left="1134" w:hanging="283"/>
      </w:pPr>
      <w:rPr>
        <w:rFonts w:ascii="Symbol" w:hAnsi="Symbol" w:hint="default"/>
      </w:rPr>
    </w:lvl>
  </w:abstractNum>
  <w:abstractNum w:abstractNumId="21">
    <w:nsid w:val="6D2B5511"/>
    <w:multiLevelType w:val="singleLevel"/>
    <w:tmpl w:val="74A09970"/>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711167E2"/>
    <w:multiLevelType w:val="multilevel"/>
    <w:tmpl w:val="C3843A7A"/>
    <w:name w:val="List Dash 1"/>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5C26F71"/>
    <w:multiLevelType w:val="multilevel"/>
    <w:tmpl w:val="E01E7708"/>
    <w:name w:val="Bullet 0"/>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8A241BD"/>
    <w:multiLevelType w:val="singleLevel"/>
    <w:tmpl w:val="53C4DF32"/>
    <w:lvl w:ilvl="0">
      <w:start w:val="1"/>
      <w:numFmt w:val="bullet"/>
      <w:pStyle w:val="ListDash3"/>
      <w:lvlText w:val="–"/>
      <w:lvlJc w:val="left"/>
      <w:pPr>
        <w:tabs>
          <w:tab w:val="num" w:pos="1134"/>
        </w:tabs>
        <w:ind w:left="1134" w:hanging="283"/>
      </w:pPr>
      <w:rPr>
        <w:rFonts w:ascii="Times New Roman" w:hAnsi="Times New Roman" w:cs="Times New Roman"/>
      </w:rPr>
    </w:lvl>
  </w:abstractNum>
  <w:abstractNum w:abstractNumId="25">
    <w:nsid w:val="79C96D36"/>
    <w:multiLevelType w:val="multilevel"/>
    <w:tmpl w:val="BE983CE4"/>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BE95D7F"/>
    <w:multiLevelType w:val="multilevel"/>
    <w:tmpl w:val="F126F780"/>
    <w:name w:val="List Bulle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7">
    <w:nsid w:val="7D8820A0"/>
    <w:multiLevelType w:val="singleLevel"/>
    <w:tmpl w:val="54F6C7B4"/>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28">
    <w:nsid w:val="7F7154E1"/>
    <w:multiLevelType w:val="singleLevel"/>
    <w:tmpl w:val="E3F6D2C6"/>
    <w:lvl w:ilvl="0">
      <w:start w:val="1"/>
      <w:numFmt w:val="bullet"/>
      <w:pStyle w:val="ListBullet4"/>
      <w:lvlText w:val=""/>
      <w:lvlJc w:val="left"/>
      <w:pPr>
        <w:tabs>
          <w:tab w:val="num" w:pos="1134"/>
        </w:tabs>
        <w:ind w:left="1134" w:hanging="283"/>
      </w:pPr>
      <w:rPr>
        <w:rFonts w:ascii="Symbol" w:hAnsi="Symbol"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28"/>
  </w:num>
  <w:num w:numId="7">
    <w:abstractNumId w:val="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17"/>
  </w:num>
  <w:num w:numId="13">
    <w:abstractNumId w:val="7"/>
  </w:num>
  <w:num w:numId="14">
    <w:abstractNumId w:val="1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16"/>
  </w:num>
  <w:num w:numId="20">
    <w:abstractNumId w:val="14"/>
  </w:num>
  <w:num w:numId="21">
    <w:abstractNumId w:val="10"/>
  </w:num>
  <w:num w:numId="22">
    <w:abstractNumId w:val="19"/>
    <w:lvlOverride w:ilvl="0">
      <w:startOverride w:val="1"/>
    </w:lvlOverride>
  </w:num>
  <w:num w:numId="23">
    <w:abstractNumId w:val="20"/>
  </w:num>
  <w:num w:numId="24">
    <w:abstractNumId w:val="9"/>
  </w:num>
  <w:num w:numId="25">
    <w:abstractNumId w:val="18"/>
  </w:num>
  <w:num w:numId="26">
    <w:abstractNumId w:val="13"/>
  </w:num>
  <w:num w:numId="27">
    <w:abstractNumId w:val="24"/>
  </w:num>
  <w:num w:numId="28">
    <w:abstractNumId w:val="27"/>
  </w:num>
  <w:num w:numId="29">
    <w:abstractNumId w:val="2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D41F972-CC57-4BD9-918C-01B3646E7143"/>
    <w:docVar w:name="LW_COVERPAGE_TYPE" w:val="1"/>
    <w:docVar w:name="LW_CROSSREFERENCE" w:val="{SWD(2018) 432 final}"/>
    <w:docVar w:name="LW_DocType" w:val="NORMAL"/>
    <w:docVar w:name="LW_EMISSION" w:val="11.10.2018"/>
    <w:docVar w:name="LW_EMISSION_ISODATE" w:val="2018-10-11"/>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6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UR LES TRAVAUX DES COMITÉS EN 2017"/>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semiHidden="0" w:uiPriority="0" w:unhideWhenUsed="0" w:qFormat="1"/>
    <w:lsdException w:name="table of figures"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en-US"/>
    </w:rPr>
  </w:style>
  <w:style w:type="character" w:customStyle="1" w:styleId="Heading2Char">
    <w:name w:val="Heading 2 Char"/>
    <w:link w:val="Heading2"/>
    <w:rPr>
      <w:rFonts w:ascii="Times New Roman" w:eastAsia="Times New Roman" w:hAnsi="Times New Roman"/>
      <w:b/>
      <w:bCs/>
      <w:iCs/>
      <w:sz w:val="24"/>
      <w:szCs w:val="28"/>
      <w:lang w:eastAsia="en-US"/>
    </w:rPr>
  </w:style>
  <w:style w:type="character" w:customStyle="1" w:styleId="Heading3Char">
    <w:name w:val="Heading 3 Char"/>
    <w:link w:val="Heading3"/>
    <w:semiHidden/>
    <w:rPr>
      <w:rFonts w:ascii="Times New Roman" w:eastAsia="Times New Roman" w:hAnsi="Times New Roman"/>
      <w:bCs/>
      <w:i/>
      <w:sz w:val="24"/>
      <w:szCs w:val="26"/>
      <w:lang w:eastAsia="en-US"/>
    </w:rPr>
  </w:style>
  <w:style w:type="character" w:customStyle="1" w:styleId="Heading4Char">
    <w:name w:val="Heading 4 Char"/>
    <w:link w:val="Heading4"/>
    <w:semiHidden/>
    <w:rPr>
      <w:rFonts w:ascii="Times New Roman" w:eastAsia="Times New Roman" w:hAnsi="Times New Roman"/>
      <w:bCs/>
      <w:sz w:val="24"/>
      <w:szCs w:val="28"/>
      <w:lang w:eastAsia="en-US"/>
    </w:rPr>
  </w:style>
  <w:style w:type="character" w:styleId="Hyperlink">
    <w:name w:val="Hyperlink"/>
    <w:unhideWhenUsed/>
    <w:rPr>
      <w:rFonts w:ascii="Times New Roman" w:hAnsi="Times New Roman" w:cs="Times New Roman" w:hint="default"/>
      <w:color w:val="0000FF"/>
      <w:u w:val="single"/>
    </w:rPr>
  </w:style>
  <w:style w:type="character" w:styleId="FollowedHyperlink">
    <w:name w:val="FollowedHyperlink"/>
    <w:semiHidden/>
    <w:unhideWhenUsed/>
    <w:rPr>
      <w:color w:val="800080"/>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autoRedefine/>
    <w:semiHidden/>
    <w:unhideWhenUsed/>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autoRedefine/>
    <w:semiHidden/>
    <w:unhideWhenUsed/>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autoRedefine/>
    <w:semiHidden/>
    <w:unhideWhenUsed/>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autoRedefine/>
    <w:semiHidden/>
    <w:unhideWhenUsed/>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autoRedefine/>
    <w:semiHidden/>
    <w:unhideWhenUsed/>
    <w:pPr>
      <w:tabs>
        <w:tab w:val="right" w:leader="dot" w:pos="9071"/>
      </w:tabs>
      <w:spacing w:before="120" w:after="12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lang w:eastAsia="en-US"/>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sz w:val="20"/>
      <w:szCs w:val="20"/>
      <w:lang w:eastAsia="en-GB"/>
    </w:rPr>
  </w:style>
  <w:style w:type="character" w:customStyle="1" w:styleId="CommentTextChar">
    <w:name w:val="Comment Text Char"/>
    <w:link w:val="CommentText"/>
    <w:semiHidden/>
    <w:rPr>
      <w:rFonts w:ascii="Times New Roman" w:eastAsia="Times New Roman" w:hAnsi="Times New Roman"/>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unhideWhenUsed/>
    <w:pPr>
      <w:spacing w:before="120" w:after="120" w:line="240" w:lineRule="auto"/>
      <w:jc w:val="both"/>
    </w:pPr>
    <w:rPr>
      <w:rFonts w:ascii="Times New Roman" w:eastAsia="Times New Roman" w:hAnsi="Times New Roman"/>
      <w:sz w:val="24"/>
      <w:szCs w:val="24"/>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sz w:val="20"/>
      <w:szCs w:val="20"/>
    </w:rPr>
  </w:style>
  <w:style w:type="character" w:customStyle="1" w:styleId="EndnoteTextChar">
    <w:name w:val="Endnote Text Char"/>
    <w:link w:val="EndnoteText"/>
    <w:semiHidden/>
    <w:rPr>
      <w:rFonts w:ascii="Times New Roman" w:eastAsia="Times New Roman" w:hAnsi="Times New Roman"/>
      <w:lang w:eastAsia="en-US"/>
    </w:rPr>
  </w:style>
  <w:style w:type="paragraph" w:styleId="ListBullet">
    <w:name w:val="List Bullet"/>
    <w:basedOn w:val="Normal"/>
    <w:semiHidden/>
    <w:unhideWhenUsed/>
    <w:pPr>
      <w:numPr>
        <w:numId w:val="2"/>
      </w:numPr>
      <w:spacing w:before="120" w:after="120" w:line="240" w:lineRule="auto"/>
      <w:jc w:val="both"/>
    </w:pPr>
    <w:rPr>
      <w:rFonts w:ascii="Times New Roman" w:eastAsia="Times New Roman" w:hAnsi="Times New Roman"/>
      <w:sz w:val="24"/>
      <w:szCs w:val="24"/>
      <w:lang w:eastAsia="de-DE"/>
    </w:rPr>
  </w:style>
  <w:style w:type="paragraph" w:styleId="ListNumber">
    <w:name w:val="List Number"/>
    <w:basedOn w:val="Normal"/>
    <w:semiHidden/>
    <w:unhideWhenUsed/>
    <w:pPr>
      <w:numPr>
        <w:numId w:val="3"/>
      </w:numPr>
      <w:spacing w:before="120" w:after="120" w:line="240" w:lineRule="auto"/>
      <w:jc w:val="both"/>
    </w:pPr>
    <w:rPr>
      <w:rFonts w:ascii="Times New Roman" w:eastAsia="Times New Roman" w:hAnsi="Times New Roman"/>
      <w:sz w:val="24"/>
      <w:szCs w:val="24"/>
      <w:lang w:eastAsia="de-DE"/>
    </w:rPr>
  </w:style>
  <w:style w:type="paragraph" w:styleId="ListBullet2">
    <w:name w:val="List Bullet 2"/>
    <w:basedOn w:val="Normal"/>
    <w:semiHidden/>
    <w:unhideWhenUsed/>
    <w:pPr>
      <w:numPr>
        <w:numId w:val="4"/>
      </w:numPr>
      <w:spacing w:before="120" w:after="120" w:line="240" w:lineRule="auto"/>
      <w:jc w:val="both"/>
    </w:pPr>
    <w:rPr>
      <w:rFonts w:ascii="Times New Roman" w:eastAsia="Times New Roman" w:hAnsi="Times New Roman"/>
      <w:sz w:val="24"/>
      <w:szCs w:val="24"/>
      <w:lang w:eastAsia="de-DE"/>
    </w:rPr>
  </w:style>
  <w:style w:type="paragraph" w:styleId="ListBullet3">
    <w:name w:val="List Bullet 3"/>
    <w:basedOn w:val="Normal"/>
    <w:semiHidden/>
    <w:unhideWhenUsed/>
    <w:pPr>
      <w:numPr>
        <w:numId w:val="5"/>
      </w:numPr>
      <w:spacing w:before="120" w:after="120" w:line="240" w:lineRule="auto"/>
      <w:jc w:val="both"/>
    </w:pPr>
    <w:rPr>
      <w:rFonts w:ascii="Times New Roman" w:eastAsia="Times New Roman" w:hAnsi="Times New Roman"/>
      <w:sz w:val="24"/>
      <w:szCs w:val="24"/>
      <w:lang w:eastAsia="de-DE"/>
    </w:rPr>
  </w:style>
  <w:style w:type="paragraph" w:styleId="ListBullet4">
    <w:name w:val="List Bullet 4"/>
    <w:basedOn w:val="Normal"/>
    <w:semiHidden/>
    <w:unhideWhenUsed/>
    <w:pPr>
      <w:numPr>
        <w:numId w:val="6"/>
      </w:numPr>
      <w:spacing w:before="120" w:after="120" w:line="240" w:lineRule="auto"/>
      <w:jc w:val="both"/>
    </w:pPr>
    <w:rPr>
      <w:rFonts w:ascii="Times New Roman" w:eastAsia="Times New Roman" w:hAnsi="Times New Roman"/>
      <w:sz w:val="24"/>
      <w:szCs w:val="24"/>
      <w:lang w:eastAsia="de-DE"/>
    </w:rPr>
  </w:style>
  <w:style w:type="paragraph" w:styleId="ListNumber2">
    <w:name w:val="List Number 2"/>
    <w:basedOn w:val="Normal"/>
    <w:semiHidden/>
    <w:unhideWhenUsed/>
    <w:pPr>
      <w:numPr>
        <w:numId w:val="7"/>
      </w:numPr>
      <w:spacing w:before="120" w:after="120" w:line="240" w:lineRule="auto"/>
      <w:jc w:val="both"/>
    </w:pPr>
    <w:rPr>
      <w:rFonts w:ascii="Times New Roman" w:eastAsia="Times New Roman" w:hAnsi="Times New Roman"/>
      <w:sz w:val="24"/>
      <w:szCs w:val="24"/>
      <w:lang w:eastAsia="de-DE"/>
    </w:rPr>
  </w:style>
  <w:style w:type="paragraph" w:styleId="ListNumber3">
    <w:name w:val="List Number 3"/>
    <w:basedOn w:val="Normal"/>
    <w:semiHidden/>
    <w:unhideWhenUsed/>
    <w:pPr>
      <w:numPr>
        <w:numId w:val="8"/>
      </w:numPr>
      <w:spacing w:before="120" w:after="120" w:line="240" w:lineRule="auto"/>
      <w:jc w:val="both"/>
    </w:pPr>
    <w:rPr>
      <w:rFonts w:ascii="Times New Roman" w:eastAsia="Times New Roman" w:hAnsi="Times New Roman"/>
      <w:sz w:val="24"/>
      <w:szCs w:val="24"/>
      <w:lang w:eastAsia="de-DE"/>
    </w:rPr>
  </w:style>
  <w:style w:type="paragraph" w:styleId="ListNumber4">
    <w:name w:val="List Number 4"/>
    <w:basedOn w:val="Normal"/>
    <w:semiHidden/>
    <w:unhideWhenUsed/>
    <w:pPr>
      <w:numPr>
        <w:numId w:val="9"/>
      </w:numPr>
      <w:spacing w:before="120" w:after="120" w:line="240" w:lineRule="auto"/>
      <w:jc w:val="both"/>
    </w:pPr>
    <w:rPr>
      <w:rFonts w:ascii="Times New Roman" w:eastAsia="Times New Roman" w:hAnsi="Times New Roman"/>
      <w:sz w:val="24"/>
      <w:szCs w:val="24"/>
      <w:lang w:eastAsia="de-DE"/>
    </w:rPr>
  </w:style>
  <w:style w:type="paragraph" w:styleId="CommentSubject">
    <w:name w:val="annotation subject"/>
    <w:basedOn w:val="CommentText"/>
    <w:next w:val="CommentText"/>
    <w:link w:val="CommentSubjectChar"/>
    <w:semiHidden/>
    <w:unhideWhenUsed/>
    <w:rPr>
      <w:b/>
      <w:bCs/>
      <w:lang w:eastAsia="de-DE"/>
    </w:rPr>
  </w:style>
  <w:style w:type="character" w:customStyle="1" w:styleId="CommentSubjectChar">
    <w:name w:val="Comment Subject Char"/>
    <w:link w:val="CommentSubject"/>
    <w:semiHidden/>
    <w:rPr>
      <w:rFonts w:ascii="Times New Roman" w:eastAsia="Times New Roman" w:hAnsi="Times New Roman"/>
      <w:b/>
      <w:bCs/>
      <w:lang w:eastAsia="de-DE"/>
    </w:rPr>
  </w:style>
  <w:style w:type="paragraph" w:styleId="BalloonText">
    <w:name w:val="Balloon Text"/>
    <w:basedOn w:val="Normal"/>
    <w:link w:val="BalloonTextChar"/>
    <w:semiHidden/>
    <w:unhideWhenUsed/>
    <w:pPr>
      <w:spacing w:before="120" w:after="120" w:line="240" w:lineRule="auto"/>
      <w:jc w:val="both"/>
    </w:pPr>
    <w:rPr>
      <w:rFonts w:ascii="Tahoma" w:eastAsia="Times New Roman" w:hAnsi="Tahoma" w:cs="Tahoma"/>
      <w:sz w:val="16"/>
      <w:szCs w:val="16"/>
      <w:lang w:eastAsia="de-DE"/>
    </w:rPr>
  </w:style>
  <w:style w:type="character" w:customStyle="1" w:styleId="BalloonTextChar">
    <w:name w:val="Balloon Text Char"/>
    <w:link w:val="BalloonText"/>
    <w:semiHidden/>
    <w:rPr>
      <w:rFonts w:ascii="Tahoma" w:eastAsia="Times New Roman" w:hAnsi="Tahoma" w:cs="Tahoma"/>
      <w:sz w:val="16"/>
      <w:szCs w:val="16"/>
      <w:lang w:eastAsia="de-DE"/>
    </w:rPr>
  </w:style>
  <w:style w:type="paragraph" w:styleId="Revision">
    <w:name w:val="Revision"/>
    <w:uiPriority w:val="99"/>
    <w:semiHidden/>
    <w:rPr>
      <w:rFonts w:ascii="Times New Roman" w:eastAsia="Times New Roman" w:hAnsi="Times New Roman"/>
      <w:sz w:val="24"/>
      <w:szCs w:val="24"/>
      <w:lang w:eastAsia="en-US"/>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b/>
      <w:sz w:val="28"/>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paragraph" w:customStyle="1" w:styleId="Point0number">
    <w:name w:val="Point 0 (number)"/>
    <w:basedOn w:val="Normal"/>
    <w:pPr>
      <w:numPr>
        <w:numId w:val="16"/>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16"/>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16"/>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16"/>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16"/>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16"/>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16"/>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TypedudocumentPagedecouverture">
    <w:name w:val="Type du document (Page de couverture)"/>
    <w:basedOn w:val="Normal"/>
    <w:pPr>
      <w:spacing w:before="120" w:after="120" w:line="240" w:lineRule="auto"/>
      <w:jc w:val="both"/>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AccompagnantPagedecouverture">
    <w:name w:val="Accompagnant (Page de couverture)"/>
    <w:basedOn w:val="Accompagnant"/>
    <w:next w:val="Type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customStyle="1" w:styleId="ListBullet1">
    <w:name w:val="List Bullet 1"/>
    <w:basedOn w:val="Normal"/>
    <w:pPr>
      <w:numPr>
        <w:numId w:val="23"/>
      </w:numPr>
      <w:spacing w:before="120" w:after="120" w:line="240" w:lineRule="auto"/>
      <w:jc w:val="both"/>
    </w:pPr>
    <w:rPr>
      <w:rFonts w:ascii="Times New Roman" w:eastAsia="Times New Roman" w:hAnsi="Times New Roman"/>
      <w:sz w:val="24"/>
      <w:szCs w:val="24"/>
      <w:lang w:eastAsia="de-DE"/>
    </w:rPr>
  </w:style>
  <w:style w:type="paragraph" w:customStyle="1" w:styleId="ListDash">
    <w:name w:val="List Dash"/>
    <w:basedOn w:val="Normal"/>
    <w:pPr>
      <w:numPr>
        <w:numId w:val="24"/>
      </w:numPr>
      <w:spacing w:before="120" w:after="120" w:line="240" w:lineRule="auto"/>
      <w:jc w:val="both"/>
    </w:pPr>
    <w:rPr>
      <w:rFonts w:ascii="Times New Roman" w:eastAsia="Times New Roman" w:hAnsi="Times New Roman"/>
      <w:sz w:val="24"/>
      <w:szCs w:val="24"/>
      <w:lang w:eastAsia="de-DE"/>
    </w:rPr>
  </w:style>
  <w:style w:type="paragraph" w:customStyle="1" w:styleId="ListDash1">
    <w:name w:val="List Dash 1"/>
    <w:basedOn w:val="Normal"/>
    <w:pPr>
      <w:numPr>
        <w:numId w:val="25"/>
      </w:numPr>
      <w:spacing w:before="120" w:after="120" w:line="240" w:lineRule="auto"/>
      <w:jc w:val="both"/>
    </w:pPr>
    <w:rPr>
      <w:rFonts w:ascii="Times New Roman" w:eastAsia="Times New Roman" w:hAnsi="Times New Roman"/>
      <w:sz w:val="24"/>
      <w:szCs w:val="24"/>
      <w:lang w:eastAsia="de-DE"/>
    </w:rPr>
  </w:style>
  <w:style w:type="paragraph" w:customStyle="1" w:styleId="ListDash2">
    <w:name w:val="List Dash 2"/>
    <w:basedOn w:val="Normal"/>
    <w:pPr>
      <w:numPr>
        <w:numId w:val="26"/>
      </w:numPr>
      <w:spacing w:before="120" w:after="120" w:line="240" w:lineRule="auto"/>
      <w:jc w:val="both"/>
    </w:pPr>
    <w:rPr>
      <w:rFonts w:ascii="Times New Roman" w:eastAsia="Times New Roman" w:hAnsi="Times New Roman"/>
      <w:sz w:val="24"/>
      <w:szCs w:val="24"/>
      <w:lang w:eastAsia="de-DE"/>
    </w:rPr>
  </w:style>
  <w:style w:type="paragraph" w:customStyle="1" w:styleId="ListDash3">
    <w:name w:val="List Dash 3"/>
    <w:basedOn w:val="Normal"/>
    <w:pPr>
      <w:numPr>
        <w:numId w:val="27"/>
      </w:numPr>
      <w:spacing w:before="120" w:after="120" w:line="240" w:lineRule="auto"/>
      <w:jc w:val="both"/>
    </w:pPr>
    <w:rPr>
      <w:rFonts w:ascii="Times New Roman" w:eastAsia="Times New Roman" w:hAnsi="Times New Roman"/>
      <w:sz w:val="24"/>
      <w:szCs w:val="24"/>
      <w:lang w:eastAsia="de-DE"/>
    </w:rPr>
  </w:style>
  <w:style w:type="paragraph" w:customStyle="1" w:styleId="ListDash4">
    <w:name w:val="List Dash 4"/>
    <w:basedOn w:val="Normal"/>
    <w:pPr>
      <w:numPr>
        <w:numId w:val="28"/>
      </w:numPr>
      <w:spacing w:before="120" w:after="120" w:line="240" w:lineRule="auto"/>
      <w:jc w:val="both"/>
    </w:pPr>
    <w:rPr>
      <w:rFonts w:ascii="Times New Roman" w:eastAsia="Times New Roman" w:hAnsi="Times New Roman"/>
      <w:sz w:val="24"/>
      <w:szCs w:val="24"/>
      <w:lang w:eastAsia="de-DE"/>
    </w:rPr>
  </w:style>
  <w:style w:type="paragraph" w:customStyle="1" w:styleId="ListNumber1">
    <w:name w:val="List Number 1"/>
    <w:basedOn w:val="Text1"/>
    <w:pPr>
      <w:numPr>
        <w:numId w:val="29"/>
      </w:numPr>
    </w:pPr>
    <w:rPr>
      <w:lang w:eastAsia="de-DE"/>
    </w:rPr>
  </w:style>
  <w:style w:type="paragraph" w:customStyle="1" w:styleId="ListNumberLevel2">
    <w:name w:val="List Number (Level 2)"/>
    <w:basedOn w:val="Normal"/>
    <w:pPr>
      <w:numPr>
        <w:ilvl w:val="1"/>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2">
    <w:name w:val="List Number 1 (Level 2)"/>
    <w:basedOn w:val="Text1"/>
    <w:pPr>
      <w:numPr>
        <w:ilvl w:val="1"/>
        <w:numId w:val="29"/>
      </w:numPr>
    </w:pPr>
    <w:rPr>
      <w:lang w:eastAsia="de-DE"/>
    </w:rPr>
  </w:style>
  <w:style w:type="paragraph" w:customStyle="1" w:styleId="ListNumber2Level2">
    <w:name w:val="List Number 2 (Level 2)"/>
    <w:basedOn w:val="Text2"/>
    <w:pPr>
      <w:numPr>
        <w:ilvl w:val="1"/>
        <w:numId w:val="7"/>
      </w:numPr>
    </w:pPr>
    <w:rPr>
      <w:lang w:eastAsia="de-DE"/>
    </w:rPr>
  </w:style>
  <w:style w:type="paragraph" w:customStyle="1" w:styleId="ListNumber3Level2">
    <w:name w:val="List Number 3 (Level 2)"/>
    <w:basedOn w:val="Text3"/>
    <w:pPr>
      <w:numPr>
        <w:ilvl w:val="1"/>
        <w:numId w:val="8"/>
      </w:numPr>
    </w:pPr>
    <w:rPr>
      <w:lang w:eastAsia="de-DE"/>
    </w:rPr>
  </w:style>
  <w:style w:type="paragraph" w:customStyle="1" w:styleId="ListNumber4Level2">
    <w:name w:val="List Number 4 (Level 2)"/>
    <w:basedOn w:val="Text4"/>
    <w:pPr>
      <w:numPr>
        <w:ilvl w:val="1"/>
        <w:numId w:val="9"/>
      </w:numPr>
    </w:pPr>
    <w:rPr>
      <w:lang w:eastAsia="de-DE"/>
    </w:rPr>
  </w:style>
  <w:style w:type="paragraph" w:customStyle="1" w:styleId="ListNumberLevel3">
    <w:name w:val="List Number (Level 3)"/>
    <w:basedOn w:val="Normal"/>
    <w:pPr>
      <w:numPr>
        <w:ilvl w:val="2"/>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3">
    <w:name w:val="List Number 1 (Level 3)"/>
    <w:basedOn w:val="Text1"/>
    <w:pPr>
      <w:numPr>
        <w:ilvl w:val="2"/>
        <w:numId w:val="29"/>
      </w:numPr>
    </w:pPr>
    <w:rPr>
      <w:lang w:eastAsia="de-DE"/>
    </w:rPr>
  </w:style>
  <w:style w:type="paragraph" w:customStyle="1" w:styleId="ListNumber2Level3">
    <w:name w:val="List Number 2 (Level 3)"/>
    <w:basedOn w:val="Text2"/>
    <w:pPr>
      <w:numPr>
        <w:ilvl w:val="2"/>
        <w:numId w:val="7"/>
      </w:numPr>
    </w:pPr>
    <w:rPr>
      <w:lang w:eastAsia="de-DE"/>
    </w:rPr>
  </w:style>
  <w:style w:type="paragraph" w:customStyle="1" w:styleId="ListNumber3Level3">
    <w:name w:val="List Number 3 (Level 3)"/>
    <w:basedOn w:val="Text3"/>
    <w:pPr>
      <w:numPr>
        <w:ilvl w:val="2"/>
        <w:numId w:val="8"/>
      </w:numPr>
    </w:pPr>
    <w:rPr>
      <w:lang w:eastAsia="de-DE"/>
    </w:rPr>
  </w:style>
  <w:style w:type="paragraph" w:customStyle="1" w:styleId="ListNumber4Level3">
    <w:name w:val="List Number 4 (Level 3)"/>
    <w:basedOn w:val="Text4"/>
    <w:pPr>
      <w:numPr>
        <w:ilvl w:val="2"/>
        <w:numId w:val="9"/>
      </w:numPr>
    </w:pPr>
    <w:rPr>
      <w:lang w:eastAsia="de-DE"/>
    </w:rPr>
  </w:style>
  <w:style w:type="paragraph" w:customStyle="1" w:styleId="ListNumberLevel4">
    <w:name w:val="List Number (Level 4)"/>
    <w:basedOn w:val="Normal"/>
    <w:pPr>
      <w:numPr>
        <w:ilvl w:val="3"/>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4">
    <w:name w:val="List Number 1 (Level 4)"/>
    <w:basedOn w:val="Text1"/>
    <w:pPr>
      <w:numPr>
        <w:ilvl w:val="3"/>
        <w:numId w:val="29"/>
      </w:numPr>
    </w:pPr>
    <w:rPr>
      <w:lang w:eastAsia="de-DE"/>
    </w:rPr>
  </w:style>
  <w:style w:type="paragraph" w:customStyle="1" w:styleId="ListNumber2Level4">
    <w:name w:val="List Number 2 (Level 4)"/>
    <w:basedOn w:val="Text2"/>
    <w:pPr>
      <w:numPr>
        <w:ilvl w:val="3"/>
        <w:numId w:val="7"/>
      </w:numPr>
    </w:pPr>
    <w:rPr>
      <w:lang w:eastAsia="de-DE"/>
    </w:rPr>
  </w:style>
  <w:style w:type="paragraph" w:customStyle="1" w:styleId="ListNumber3Level4">
    <w:name w:val="List Number 3 (Level 4)"/>
    <w:basedOn w:val="Text3"/>
    <w:pPr>
      <w:numPr>
        <w:ilvl w:val="3"/>
        <w:numId w:val="8"/>
      </w:numPr>
    </w:pPr>
    <w:rPr>
      <w:lang w:eastAsia="de-DE"/>
    </w:rPr>
  </w:style>
  <w:style w:type="paragraph" w:customStyle="1" w:styleId="ListNumber4Level4">
    <w:name w:val="List Number 4 (Level 4)"/>
    <w:basedOn w:val="Text4"/>
    <w:pPr>
      <w:numPr>
        <w:ilvl w:val="3"/>
        <w:numId w:val="9"/>
      </w:numPr>
    </w:pPr>
    <w:rPr>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lang w:eastAsia="de-DE"/>
    </w:rPr>
  </w:style>
  <w:style w:type="paragraph" w:customStyle="1" w:styleId="c19marge1">
    <w:name w:val="c19marge1"/>
    <w:basedOn w:val="Normal"/>
    <w:pPr>
      <w:spacing w:after="240" w:line="240" w:lineRule="auto"/>
      <w:ind w:left="1247"/>
      <w:jc w:val="both"/>
    </w:pPr>
    <w:rPr>
      <w:rFonts w:ascii="Times New Roman" w:eastAsia="Times New Roman" w:hAnsi="Times New Roman"/>
      <w:sz w:val="24"/>
      <w:szCs w:val="24"/>
      <w:lang w:eastAsia="en-GB"/>
    </w:rPr>
  </w:style>
  <w:style w:type="paragraph" w:customStyle="1" w:styleId="c08dispositif">
    <w:name w:val="c08dispositif"/>
    <w:basedOn w:val="Normal"/>
    <w:pPr>
      <w:spacing w:before="100" w:beforeAutospacing="1" w:after="240" w:line="240" w:lineRule="auto"/>
      <w:ind w:left="1134" w:hanging="567"/>
      <w:jc w:val="both"/>
    </w:pPr>
    <w:rPr>
      <w:rFonts w:ascii="Times New Roman" w:eastAsia="Times New Roman" w:hAnsi="Times New Roman"/>
      <w:b/>
      <w:bCs/>
      <w:sz w:val="24"/>
      <w:szCs w:val="24"/>
      <w:lang w:eastAsia="en-GB"/>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rPr>
  </w:style>
  <w:style w:type="character" w:styleId="FootnoteReference">
    <w:name w:val="footnote reference"/>
    <w:uiPriority w:val="99"/>
    <w:semiHidden/>
    <w:unhideWhenUsed/>
    <w:rPr>
      <w:vertAlign w:val="superscript"/>
    </w:rPr>
  </w:style>
  <w:style w:type="character" w:styleId="CommentReference">
    <w:name w:val="annotation reference"/>
    <w:semiHidden/>
    <w:unhideWhenUsed/>
    <w:rPr>
      <w:rFonts w:ascii="Times New Roman" w:hAnsi="Times New Roman" w:cs="Times New Roman" w:hint="default"/>
      <w:sz w:val="16"/>
    </w:rPr>
  </w:style>
  <w:style w:type="character" w:styleId="EndnoteReference">
    <w:name w:val="endnote reference"/>
    <w:semiHidden/>
    <w:unhideWhenUsed/>
    <w:rPr>
      <w:vertAlign w:val="superscript"/>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table" w:styleId="TableGrid">
    <w:name w:val="Table Grid"/>
    <w:basedOn w:val="TableNormal"/>
    <w:pPr>
      <w:spacing w:before="120"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styleId="Strong">
    <w:name w:val="Strong"/>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semiHidden="0" w:uiPriority="0" w:unhideWhenUsed="0" w:qFormat="1"/>
    <w:lsdException w:name="table of figures"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en-US"/>
    </w:rPr>
  </w:style>
  <w:style w:type="character" w:customStyle="1" w:styleId="Heading2Char">
    <w:name w:val="Heading 2 Char"/>
    <w:link w:val="Heading2"/>
    <w:rPr>
      <w:rFonts w:ascii="Times New Roman" w:eastAsia="Times New Roman" w:hAnsi="Times New Roman"/>
      <w:b/>
      <w:bCs/>
      <w:iCs/>
      <w:sz w:val="24"/>
      <w:szCs w:val="28"/>
      <w:lang w:eastAsia="en-US"/>
    </w:rPr>
  </w:style>
  <w:style w:type="character" w:customStyle="1" w:styleId="Heading3Char">
    <w:name w:val="Heading 3 Char"/>
    <w:link w:val="Heading3"/>
    <w:semiHidden/>
    <w:rPr>
      <w:rFonts w:ascii="Times New Roman" w:eastAsia="Times New Roman" w:hAnsi="Times New Roman"/>
      <w:bCs/>
      <w:i/>
      <w:sz w:val="24"/>
      <w:szCs w:val="26"/>
      <w:lang w:eastAsia="en-US"/>
    </w:rPr>
  </w:style>
  <w:style w:type="character" w:customStyle="1" w:styleId="Heading4Char">
    <w:name w:val="Heading 4 Char"/>
    <w:link w:val="Heading4"/>
    <w:semiHidden/>
    <w:rPr>
      <w:rFonts w:ascii="Times New Roman" w:eastAsia="Times New Roman" w:hAnsi="Times New Roman"/>
      <w:bCs/>
      <w:sz w:val="24"/>
      <w:szCs w:val="28"/>
      <w:lang w:eastAsia="en-US"/>
    </w:rPr>
  </w:style>
  <w:style w:type="character" w:styleId="Hyperlink">
    <w:name w:val="Hyperlink"/>
    <w:unhideWhenUsed/>
    <w:rPr>
      <w:rFonts w:ascii="Times New Roman" w:hAnsi="Times New Roman" w:cs="Times New Roman" w:hint="default"/>
      <w:color w:val="0000FF"/>
      <w:u w:val="single"/>
    </w:rPr>
  </w:style>
  <w:style w:type="character" w:styleId="FollowedHyperlink">
    <w:name w:val="FollowedHyperlink"/>
    <w:semiHidden/>
    <w:unhideWhenUsed/>
    <w:rPr>
      <w:color w:val="800080"/>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autoRedefine/>
    <w:semiHidden/>
    <w:unhideWhenUsed/>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autoRedefine/>
    <w:semiHidden/>
    <w:unhideWhenUsed/>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autoRedefine/>
    <w:semiHidden/>
    <w:unhideWhenUsed/>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autoRedefine/>
    <w:semiHidden/>
    <w:unhideWhenUsed/>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autoRedefine/>
    <w:semiHidden/>
    <w:unhideWhenUsed/>
    <w:pPr>
      <w:tabs>
        <w:tab w:val="right" w:leader="dot" w:pos="9071"/>
      </w:tabs>
      <w:spacing w:before="120" w:after="12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lang w:eastAsia="en-US"/>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sz w:val="20"/>
      <w:szCs w:val="20"/>
      <w:lang w:eastAsia="en-GB"/>
    </w:rPr>
  </w:style>
  <w:style w:type="character" w:customStyle="1" w:styleId="CommentTextChar">
    <w:name w:val="Comment Text Char"/>
    <w:link w:val="CommentText"/>
    <w:semiHidden/>
    <w:rPr>
      <w:rFonts w:ascii="Times New Roman" w:eastAsia="Times New Roman" w:hAnsi="Times New Roman"/>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unhideWhenUsed/>
    <w:pPr>
      <w:spacing w:before="120" w:after="120" w:line="240" w:lineRule="auto"/>
      <w:jc w:val="both"/>
    </w:pPr>
    <w:rPr>
      <w:rFonts w:ascii="Times New Roman" w:eastAsia="Times New Roman" w:hAnsi="Times New Roman"/>
      <w:sz w:val="24"/>
      <w:szCs w:val="24"/>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sz w:val="20"/>
      <w:szCs w:val="20"/>
    </w:rPr>
  </w:style>
  <w:style w:type="character" w:customStyle="1" w:styleId="EndnoteTextChar">
    <w:name w:val="Endnote Text Char"/>
    <w:link w:val="EndnoteText"/>
    <w:semiHidden/>
    <w:rPr>
      <w:rFonts w:ascii="Times New Roman" w:eastAsia="Times New Roman" w:hAnsi="Times New Roman"/>
      <w:lang w:eastAsia="en-US"/>
    </w:rPr>
  </w:style>
  <w:style w:type="paragraph" w:styleId="ListBullet">
    <w:name w:val="List Bullet"/>
    <w:basedOn w:val="Normal"/>
    <w:semiHidden/>
    <w:unhideWhenUsed/>
    <w:pPr>
      <w:numPr>
        <w:numId w:val="2"/>
      </w:numPr>
      <w:spacing w:before="120" w:after="120" w:line="240" w:lineRule="auto"/>
      <w:jc w:val="both"/>
    </w:pPr>
    <w:rPr>
      <w:rFonts w:ascii="Times New Roman" w:eastAsia="Times New Roman" w:hAnsi="Times New Roman"/>
      <w:sz w:val="24"/>
      <w:szCs w:val="24"/>
      <w:lang w:eastAsia="de-DE"/>
    </w:rPr>
  </w:style>
  <w:style w:type="paragraph" w:styleId="ListNumber">
    <w:name w:val="List Number"/>
    <w:basedOn w:val="Normal"/>
    <w:semiHidden/>
    <w:unhideWhenUsed/>
    <w:pPr>
      <w:numPr>
        <w:numId w:val="3"/>
      </w:numPr>
      <w:spacing w:before="120" w:after="120" w:line="240" w:lineRule="auto"/>
      <w:jc w:val="both"/>
    </w:pPr>
    <w:rPr>
      <w:rFonts w:ascii="Times New Roman" w:eastAsia="Times New Roman" w:hAnsi="Times New Roman"/>
      <w:sz w:val="24"/>
      <w:szCs w:val="24"/>
      <w:lang w:eastAsia="de-DE"/>
    </w:rPr>
  </w:style>
  <w:style w:type="paragraph" w:styleId="ListBullet2">
    <w:name w:val="List Bullet 2"/>
    <w:basedOn w:val="Normal"/>
    <w:semiHidden/>
    <w:unhideWhenUsed/>
    <w:pPr>
      <w:numPr>
        <w:numId w:val="4"/>
      </w:numPr>
      <w:spacing w:before="120" w:after="120" w:line="240" w:lineRule="auto"/>
      <w:jc w:val="both"/>
    </w:pPr>
    <w:rPr>
      <w:rFonts w:ascii="Times New Roman" w:eastAsia="Times New Roman" w:hAnsi="Times New Roman"/>
      <w:sz w:val="24"/>
      <w:szCs w:val="24"/>
      <w:lang w:eastAsia="de-DE"/>
    </w:rPr>
  </w:style>
  <w:style w:type="paragraph" w:styleId="ListBullet3">
    <w:name w:val="List Bullet 3"/>
    <w:basedOn w:val="Normal"/>
    <w:semiHidden/>
    <w:unhideWhenUsed/>
    <w:pPr>
      <w:numPr>
        <w:numId w:val="5"/>
      </w:numPr>
      <w:spacing w:before="120" w:after="120" w:line="240" w:lineRule="auto"/>
      <w:jc w:val="both"/>
    </w:pPr>
    <w:rPr>
      <w:rFonts w:ascii="Times New Roman" w:eastAsia="Times New Roman" w:hAnsi="Times New Roman"/>
      <w:sz w:val="24"/>
      <w:szCs w:val="24"/>
      <w:lang w:eastAsia="de-DE"/>
    </w:rPr>
  </w:style>
  <w:style w:type="paragraph" w:styleId="ListBullet4">
    <w:name w:val="List Bullet 4"/>
    <w:basedOn w:val="Normal"/>
    <w:semiHidden/>
    <w:unhideWhenUsed/>
    <w:pPr>
      <w:numPr>
        <w:numId w:val="6"/>
      </w:numPr>
      <w:spacing w:before="120" w:after="120" w:line="240" w:lineRule="auto"/>
      <w:jc w:val="both"/>
    </w:pPr>
    <w:rPr>
      <w:rFonts w:ascii="Times New Roman" w:eastAsia="Times New Roman" w:hAnsi="Times New Roman"/>
      <w:sz w:val="24"/>
      <w:szCs w:val="24"/>
      <w:lang w:eastAsia="de-DE"/>
    </w:rPr>
  </w:style>
  <w:style w:type="paragraph" w:styleId="ListNumber2">
    <w:name w:val="List Number 2"/>
    <w:basedOn w:val="Normal"/>
    <w:semiHidden/>
    <w:unhideWhenUsed/>
    <w:pPr>
      <w:numPr>
        <w:numId w:val="7"/>
      </w:numPr>
      <w:spacing w:before="120" w:after="120" w:line="240" w:lineRule="auto"/>
      <w:jc w:val="both"/>
    </w:pPr>
    <w:rPr>
      <w:rFonts w:ascii="Times New Roman" w:eastAsia="Times New Roman" w:hAnsi="Times New Roman"/>
      <w:sz w:val="24"/>
      <w:szCs w:val="24"/>
      <w:lang w:eastAsia="de-DE"/>
    </w:rPr>
  </w:style>
  <w:style w:type="paragraph" w:styleId="ListNumber3">
    <w:name w:val="List Number 3"/>
    <w:basedOn w:val="Normal"/>
    <w:semiHidden/>
    <w:unhideWhenUsed/>
    <w:pPr>
      <w:numPr>
        <w:numId w:val="8"/>
      </w:numPr>
      <w:spacing w:before="120" w:after="120" w:line="240" w:lineRule="auto"/>
      <w:jc w:val="both"/>
    </w:pPr>
    <w:rPr>
      <w:rFonts w:ascii="Times New Roman" w:eastAsia="Times New Roman" w:hAnsi="Times New Roman"/>
      <w:sz w:val="24"/>
      <w:szCs w:val="24"/>
      <w:lang w:eastAsia="de-DE"/>
    </w:rPr>
  </w:style>
  <w:style w:type="paragraph" w:styleId="ListNumber4">
    <w:name w:val="List Number 4"/>
    <w:basedOn w:val="Normal"/>
    <w:semiHidden/>
    <w:unhideWhenUsed/>
    <w:pPr>
      <w:numPr>
        <w:numId w:val="9"/>
      </w:numPr>
      <w:spacing w:before="120" w:after="120" w:line="240" w:lineRule="auto"/>
      <w:jc w:val="both"/>
    </w:pPr>
    <w:rPr>
      <w:rFonts w:ascii="Times New Roman" w:eastAsia="Times New Roman" w:hAnsi="Times New Roman"/>
      <w:sz w:val="24"/>
      <w:szCs w:val="24"/>
      <w:lang w:eastAsia="de-DE"/>
    </w:rPr>
  </w:style>
  <w:style w:type="paragraph" w:styleId="CommentSubject">
    <w:name w:val="annotation subject"/>
    <w:basedOn w:val="CommentText"/>
    <w:next w:val="CommentText"/>
    <w:link w:val="CommentSubjectChar"/>
    <w:semiHidden/>
    <w:unhideWhenUsed/>
    <w:rPr>
      <w:b/>
      <w:bCs/>
      <w:lang w:eastAsia="de-DE"/>
    </w:rPr>
  </w:style>
  <w:style w:type="character" w:customStyle="1" w:styleId="CommentSubjectChar">
    <w:name w:val="Comment Subject Char"/>
    <w:link w:val="CommentSubject"/>
    <w:semiHidden/>
    <w:rPr>
      <w:rFonts w:ascii="Times New Roman" w:eastAsia="Times New Roman" w:hAnsi="Times New Roman"/>
      <w:b/>
      <w:bCs/>
      <w:lang w:eastAsia="de-DE"/>
    </w:rPr>
  </w:style>
  <w:style w:type="paragraph" w:styleId="BalloonText">
    <w:name w:val="Balloon Text"/>
    <w:basedOn w:val="Normal"/>
    <w:link w:val="BalloonTextChar"/>
    <w:semiHidden/>
    <w:unhideWhenUsed/>
    <w:pPr>
      <w:spacing w:before="120" w:after="120" w:line="240" w:lineRule="auto"/>
      <w:jc w:val="both"/>
    </w:pPr>
    <w:rPr>
      <w:rFonts w:ascii="Tahoma" w:eastAsia="Times New Roman" w:hAnsi="Tahoma" w:cs="Tahoma"/>
      <w:sz w:val="16"/>
      <w:szCs w:val="16"/>
      <w:lang w:eastAsia="de-DE"/>
    </w:rPr>
  </w:style>
  <w:style w:type="character" w:customStyle="1" w:styleId="BalloonTextChar">
    <w:name w:val="Balloon Text Char"/>
    <w:link w:val="BalloonText"/>
    <w:semiHidden/>
    <w:rPr>
      <w:rFonts w:ascii="Tahoma" w:eastAsia="Times New Roman" w:hAnsi="Tahoma" w:cs="Tahoma"/>
      <w:sz w:val="16"/>
      <w:szCs w:val="16"/>
      <w:lang w:eastAsia="de-DE"/>
    </w:rPr>
  </w:style>
  <w:style w:type="paragraph" w:styleId="Revision">
    <w:name w:val="Revision"/>
    <w:uiPriority w:val="99"/>
    <w:semiHidden/>
    <w:rPr>
      <w:rFonts w:ascii="Times New Roman" w:eastAsia="Times New Roman" w:hAnsi="Times New Roman"/>
      <w:sz w:val="24"/>
      <w:szCs w:val="24"/>
      <w:lang w:eastAsia="en-US"/>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b/>
      <w:sz w:val="28"/>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paragraph" w:customStyle="1" w:styleId="Point0number">
    <w:name w:val="Point 0 (number)"/>
    <w:basedOn w:val="Normal"/>
    <w:pPr>
      <w:numPr>
        <w:numId w:val="16"/>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16"/>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16"/>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16"/>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16"/>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16"/>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16"/>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TypedudocumentPagedecouverture">
    <w:name w:val="Type du document (Page de couverture)"/>
    <w:basedOn w:val="Normal"/>
    <w:pPr>
      <w:spacing w:before="120" w:after="120" w:line="240" w:lineRule="auto"/>
      <w:jc w:val="both"/>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AccompagnantPagedecouverture">
    <w:name w:val="Accompagnant (Page de couverture)"/>
    <w:basedOn w:val="Accompagnant"/>
    <w:next w:val="Type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customStyle="1" w:styleId="ListBullet1">
    <w:name w:val="List Bullet 1"/>
    <w:basedOn w:val="Normal"/>
    <w:pPr>
      <w:numPr>
        <w:numId w:val="23"/>
      </w:numPr>
      <w:spacing w:before="120" w:after="120" w:line="240" w:lineRule="auto"/>
      <w:jc w:val="both"/>
    </w:pPr>
    <w:rPr>
      <w:rFonts w:ascii="Times New Roman" w:eastAsia="Times New Roman" w:hAnsi="Times New Roman"/>
      <w:sz w:val="24"/>
      <w:szCs w:val="24"/>
      <w:lang w:eastAsia="de-DE"/>
    </w:rPr>
  </w:style>
  <w:style w:type="paragraph" w:customStyle="1" w:styleId="ListDash">
    <w:name w:val="List Dash"/>
    <w:basedOn w:val="Normal"/>
    <w:pPr>
      <w:numPr>
        <w:numId w:val="24"/>
      </w:numPr>
      <w:spacing w:before="120" w:after="120" w:line="240" w:lineRule="auto"/>
      <w:jc w:val="both"/>
    </w:pPr>
    <w:rPr>
      <w:rFonts w:ascii="Times New Roman" w:eastAsia="Times New Roman" w:hAnsi="Times New Roman"/>
      <w:sz w:val="24"/>
      <w:szCs w:val="24"/>
      <w:lang w:eastAsia="de-DE"/>
    </w:rPr>
  </w:style>
  <w:style w:type="paragraph" w:customStyle="1" w:styleId="ListDash1">
    <w:name w:val="List Dash 1"/>
    <w:basedOn w:val="Normal"/>
    <w:pPr>
      <w:numPr>
        <w:numId w:val="25"/>
      </w:numPr>
      <w:spacing w:before="120" w:after="120" w:line="240" w:lineRule="auto"/>
      <w:jc w:val="both"/>
    </w:pPr>
    <w:rPr>
      <w:rFonts w:ascii="Times New Roman" w:eastAsia="Times New Roman" w:hAnsi="Times New Roman"/>
      <w:sz w:val="24"/>
      <w:szCs w:val="24"/>
      <w:lang w:eastAsia="de-DE"/>
    </w:rPr>
  </w:style>
  <w:style w:type="paragraph" w:customStyle="1" w:styleId="ListDash2">
    <w:name w:val="List Dash 2"/>
    <w:basedOn w:val="Normal"/>
    <w:pPr>
      <w:numPr>
        <w:numId w:val="26"/>
      </w:numPr>
      <w:spacing w:before="120" w:after="120" w:line="240" w:lineRule="auto"/>
      <w:jc w:val="both"/>
    </w:pPr>
    <w:rPr>
      <w:rFonts w:ascii="Times New Roman" w:eastAsia="Times New Roman" w:hAnsi="Times New Roman"/>
      <w:sz w:val="24"/>
      <w:szCs w:val="24"/>
      <w:lang w:eastAsia="de-DE"/>
    </w:rPr>
  </w:style>
  <w:style w:type="paragraph" w:customStyle="1" w:styleId="ListDash3">
    <w:name w:val="List Dash 3"/>
    <w:basedOn w:val="Normal"/>
    <w:pPr>
      <w:numPr>
        <w:numId w:val="27"/>
      </w:numPr>
      <w:spacing w:before="120" w:after="120" w:line="240" w:lineRule="auto"/>
      <w:jc w:val="both"/>
    </w:pPr>
    <w:rPr>
      <w:rFonts w:ascii="Times New Roman" w:eastAsia="Times New Roman" w:hAnsi="Times New Roman"/>
      <w:sz w:val="24"/>
      <w:szCs w:val="24"/>
      <w:lang w:eastAsia="de-DE"/>
    </w:rPr>
  </w:style>
  <w:style w:type="paragraph" w:customStyle="1" w:styleId="ListDash4">
    <w:name w:val="List Dash 4"/>
    <w:basedOn w:val="Normal"/>
    <w:pPr>
      <w:numPr>
        <w:numId w:val="28"/>
      </w:numPr>
      <w:spacing w:before="120" w:after="120" w:line="240" w:lineRule="auto"/>
      <w:jc w:val="both"/>
    </w:pPr>
    <w:rPr>
      <w:rFonts w:ascii="Times New Roman" w:eastAsia="Times New Roman" w:hAnsi="Times New Roman"/>
      <w:sz w:val="24"/>
      <w:szCs w:val="24"/>
      <w:lang w:eastAsia="de-DE"/>
    </w:rPr>
  </w:style>
  <w:style w:type="paragraph" w:customStyle="1" w:styleId="ListNumber1">
    <w:name w:val="List Number 1"/>
    <w:basedOn w:val="Text1"/>
    <w:pPr>
      <w:numPr>
        <w:numId w:val="29"/>
      </w:numPr>
    </w:pPr>
    <w:rPr>
      <w:lang w:eastAsia="de-DE"/>
    </w:rPr>
  </w:style>
  <w:style w:type="paragraph" w:customStyle="1" w:styleId="ListNumberLevel2">
    <w:name w:val="List Number (Level 2)"/>
    <w:basedOn w:val="Normal"/>
    <w:pPr>
      <w:numPr>
        <w:ilvl w:val="1"/>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2">
    <w:name w:val="List Number 1 (Level 2)"/>
    <w:basedOn w:val="Text1"/>
    <w:pPr>
      <w:numPr>
        <w:ilvl w:val="1"/>
        <w:numId w:val="29"/>
      </w:numPr>
    </w:pPr>
    <w:rPr>
      <w:lang w:eastAsia="de-DE"/>
    </w:rPr>
  </w:style>
  <w:style w:type="paragraph" w:customStyle="1" w:styleId="ListNumber2Level2">
    <w:name w:val="List Number 2 (Level 2)"/>
    <w:basedOn w:val="Text2"/>
    <w:pPr>
      <w:numPr>
        <w:ilvl w:val="1"/>
        <w:numId w:val="7"/>
      </w:numPr>
    </w:pPr>
    <w:rPr>
      <w:lang w:eastAsia="de-DE"/>
    </w:rPr>
  </w:style>
  <w:style w:type="paragraph" w:customStyle="1" w:styleId="ListNumber3Level2">
    <w:name w:val="List Number 3 (Level 2)"/>
    <w:basedOn w:val="Text3"/>
    <w:pPr>
      <w:numPr>
        <w:ilvl w:val="1"/>
        <w:numId w:val="8"/>
      </w:numPr>
    </w:pPr>
    <w:rPr>
      <w:lang w:eastAsia="de-DE"/>
    </w:rPr>
  </w:style>
  <w:style w:type="paragraph" w:customStyle="1" w:styleId="ListNumber4Level2">
    <w:name w:val="List Number 4 (Level 2)"/>
    <w:basedOn w:val="Text4"/>
    <w:pPr>
      <w:numPr>
        <w:ilvl w:val="1"/>
        <w:numId w:val="9"/>
      </w:numPr>
    </w:pPr>
    <w:rPr>
      <w:lang w:eastAsia="de-DE"/>
    </w:rPr>
  </w:style>
  <w:style w:type="paragraph" w:customStyle="1" w:styleId="ListNumberLevel3">
    <w:name w:val="List Number (Level 3)"/>
    <w:basedOn w:val="Normal"/>
    <w:pPr>
      <w:numPr>
        <w:ilvl w:val="2"/>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3">
    <w:name w:val="List Number 1 (Level 3)"/>
    <w:basedOn w:val="Text1"/>
    <w:pPr>
      <w:numPr>
        <w:ilvl w:val="2"/>
        <w:numId w:val="29"/>
      </w:numPr>
    </w:pPr>
    <w:rPr>
      <w:lang w:eastAsia="de-DE"/>
    </w:rPr>
  </w:style>
  <w:style w:type="paragraph" w:customStyle="1" w:styleId="ListNumber2Level3">
    <w:name w:val="List Number 2 (Level 3)"/>
    <w:basedOn w:val="Text2"/>
    <w:pPr>
      <w:numPr>
        <w:ilvl w:val="2"/>
        <w:numId w:val="7"/>
      </w:numPr>
    </w:pPr>
    <w:rPr>
      <w:lang w:eastAsia="de-DE"/>
    </w:rPr>
  </w:style>
  <w:style w:type="paragraph" w:customStyle="1" w:styleId="ListNumber3Level3">
    <w:name w:val="List Number 3 (Level 3)"/>
    <w:basedOn w:val="Text3"/>
    <w:pPr>
      <w:numPr>
        <w:ilvl w:val="2"/>
        <w:numId w:val="8"/>
      </w:numPr>
    </w:pPr>
    <w:rPr>
      <w:lang w:eastAsia="de-DE"/>
    </w:rPr>
  </w:style>
  <w:style w:type="paragraph" w:customStyle="1" w:styleId="ListNumber4Level3">
    <w:name w:val="List Number 4 (Level 3)"/>
    <w:basedOn w:val="Text4"/>
    <w:pPr>
      <w:numPr>
        <w:ilvl w:val="2"/>
        <w:numId w:val="9"/>
      </w:numPr>
    </w:pPr>
    <w:rPr>
      <w:lang w:eastAsia="de-DE"/>
    </w:rPr>
  </w:style>
  <w:style w:type="paragraph" w:customStyle="1" w:styleId="ListNumberLevel4">
    <w:name w:val="List Number (Level 4)"/>
    <w:basedOn w:val="Normal"/>
    <w:pPr>
      <w:numPr>
        <w:ilvl w:val="3"/>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4">
    <w:name w:val="List Number 1 (Level 4)"/>
    <w:basedOn w:val="Text1"/>
    <w:pPr>
      <w:numPr>
        <w:ilvl w:val="3"/>
        <w:numId w:val="29"/>
      </w:numPr>
    </w:pPr>
    <w:rPr>
      <w:lang w:eastAsia="de-DE"/>
    </w:rPr>
  </w:style>
  <w:style w:type="paragraph" w:customStyle="1" w:styleId="ListNumber2Level4">
    <w:name w:val="List Number 2 (Level 4)"/>
    <w:basedOn w:val="Text2"/>
    <w:pPr>
      <w:numPr>
        <w:ilvl w:val="3"/>
        <w:numId w:val="7"/>
      </w:numPr>
    </w:pPr>
    <w:rPr>
      <w:lang w:eastAsia="de-DE"/>
    </w:rPr>
  </w:style>
  <w:style w:type="paragraph" w:customStyle="1" w:styleId="ListNumber3Level4">
    <w:name w:val="List Number 3 (Level 4)"/>
    <w:basedOn w:val="Text3"/>
    <w:pPr>
      <w:numPr>
        <w:ilvl w:val="3"/>
        <w:numId w:val="8"/>
      </w:numPr>
    </w:pPr>
    <w:rPr>
      <w:lang w:eastAsia="de-DE"/>
    </w:rPr>
  </w:style>
  <w:style w:type="paragraph" w:customStyle="1" w:styleId="ListNumber4Level4">
    <w:name w:val="List Number 4 (Level 4)"/>
    <w:basedOn w:val="Text4"/>
    <w:pPr>
      <w:numPr>
        <w:ilvl w:val="3"/>
        <w:numId w:val="9"/>
      </w:numPr>
    </w:pPr>
    <w:rPr>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lang w:eastAsia="de-DE"/>
    </w:rPr>
  </w:style>
  <w:style w:type="paragraph" w:customStyle="1" w:styleId="c19marge1">
    <w:name w:val="c19marge1"/>
    <w:basedOn w:val="Normal"/>
    <w:pPr>
      <w:spacing w:after="240" w:line="240" w:lineRule="auto"/>
      <w:ind w:left="1247"/>
      <w:jc w:val="both"/>
    </w:pPr>
    <w:rPr>
      <w:rFonts w:ascii="Times New Roman" w:eastAsia="Times New Roman" w:hAnsi="Times New Roman"/>
      <w:sz w:val="24"/>
      <w:szCs w:val="24"/>
      <w:lang w:eastAsia="en-GB"/>
    </w:rPr>
  </w:style>
  <w:style w:type="paragraph" w:customStyle="1" w:styleId="c08dispositif">
    <w:name w:val="c08dispositif"/>
    <w:basedOn w:val="Normal"/>
    <w:pPr>
      <w:spacing w:before="100" w:beforeAutospacing="1" w:after="240" w:line="240" w:lineRule="auto"/>
      <w:ind w:left="1134" w:hanging="567"/>
      <w:jc w:val="both"/>
    </w:pPr>
    <w:rPr>
      <w:rFonts w:ascii="Times New Roman" w:eastAsia="Times New Roman" w:hAnsi="Times New Roman"/>
      <w:b/>
      <w:bCs/>
      <w:sz w:val="24"/>
      <w:szCs w:val="24"/>
      <w:lang w:eastAsia="en-GB"/>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rPr>
  </w:style>
  <w:style w:type="character" w:styleId="FootnoteReference">
    <w:name w:val="footnote reference"/>
    <w:uiPriority w:val="99"/>
    <w:semiHidden/>
    <w:unhideWhenUsed/>
    <w:rPr>
      <w:vertAlign w:val="superscript"/>
    </w:rPr>
  </w:style>
  <w:style w:type="character" w:styleId="CommentReference">
    <w:name w:val="annotation reference"/>
    <w:semiHidden/>
    <w:unhideWhenUsed/>
    <w:rPr>
      <w:rFonts w:ascii="Times New Roman" w:hAnsi="Times New Roman" w:cs="Times New Roman" w:hint="default"/>
      <w:sz w:val="16"/>
    </w:rPr>
  </w:style>
  <w:style w:type="character" w:styleId="EndnoteReference">
    <w:name w:val="endnote reference"/>
    <w:semiHidden/>
    <w:unhideWhenUsed/>
    <w:rPr>
      <w:vertAlign w:val="superscript"/>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table" w:styleId="TableGrid">
    <w:name w:val="Table Grid"/>
    <w:basedOn w:val="TableNormal"/>
    <w:pPr>
      <w:spacing w:before="120"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styleId="Strong">
    <w:name w:val="Strong"/>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571101">
      <w:bodyDiv w:val="1"/>
      <w:marLeft w:val="0"/>
      <w:marRight w:val="0"/>
      <w:marTop w:val="0"/>
      <w:marBottom w:val="0"/>
      <w:divBdr>
        <w:top w:val="none" w:sz="0" w:space="0" w:color="auto"/>
        <w:left w:val="none" w:sz="0" w:space="0" w:color="auto"/>
        <w:bottom w:val="none" w:sz="0" w:space="0" w:color="auto"/>
        <w:right w:val="none" w:sz="0" w:space="0" w:color="auto"/>
      </w:divBdr>
    </w:div>
    <w:div w:id="1650162362">
      <w:bodyDiv w:val="1"/>
      <w:marLeft w:val="0"/>
      <w:marRight w:val="0"/>
      <w:marTop w:val="0"/>
      <w:marBottom w:val="0"/>
      <w:divBdr>
        <w:top w:val="none" w:sz="0" w:space="0" w:color="auto"/>
        <w:left w:val="none" w:sz="0" w:space="0" w:color="auto"/>
        <w:bottom w:val="none" w:sz="0" w:space="0" w:color="auto"/>
        <w:right w:val="none" w:sz="0" w:space="0" w:color="auto"/>
      </w:divBdr>
    </w:div>
    <w:div w:id="202363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transparency/regexpert/index.cfm?Lang=FR" TargetMode="External"/><Relationship Id="rId1" Type="http://schemas.openxmlformats.org/officeDocument/2006/relationships/hyperlink" Target="https://ec.europa.eu/info/law/better-regulation/have-your-say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9F265-0DA9-4F23-A092-A5267C610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2604</Words>
  <Characters>11747</Characters>
  <Application>Microsoft Office Word</Application>
  <DocSecurity>0</DocSecurity>
  <Lines>978</Lines>
  <Paragraphs>956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13395</CharactersWithSpaces>
  <SharedDoc>false</SharedDoc>
  <HLinks>
    <vt:vector size="6" baseType="variant">
      <vt:variant>
        <vt:i4>6225942</vt:i4>
      </vt:variant>
      <vt:variant>
        <vt:i4>0</vt:i4>
      </vt:variant>
      <vt:variant>
        <vt:i4>0</vt:i4>
      </vt:variant>
      <vt:variant>
        <vt:i4>5</vt:i4>
      </vt:variant>
      <vt:variant>
        <vt:lpwstr>http://ec.europa.eu/transparency/regexpert/index.cfm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2018-07-26T14:07:00Z</cp:lastPrinted>
  <dcterms:created xsi:type="dcterms:W3CDTF">2018-09-21T09:43:00Z</dcterms:created>
  <dcterms:modified xsi:type="dcterms:W3CDTF">2018-10-02T06:10:00Z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