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FF25D48C-B44C-4D0C-89B6-4367AC3C4AE7"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44 thereof,</w:t>
      </w:r>
    </w:p>
    <w:p>
      <w:pPr>
        <w:pStyle w:val="Tiret0"/>
        <w:tabs>
          <w:tab w:val="clear" w:pos="850"/>
          <w:tab w:val="num" w:pos="927"/>
        </w:tabs>
        <w:rPr>
          <w:noProof/>
        </w:rPr>
      </w:pPr>
      <w:r>
        <w:rPr>
          <w:noProof/>
        </w:rPr>
        <w:t>the general budget of the European Union for the financial year 2018, as adopted on 30 November 2017</w:t>
      </w:r>
      <w:r>
        <w:rPr>
          <w:rStyle w:val="FootnoteReference"/>
          <w:noProof/>
        </w:rPr>
        <w:footnoteReference w:id="3"/>
      </w:r>
      <w:r>
        <w:rPr>
          <w:noProof/>
        </w:rPr>
        <w:t>,</w:t>
      </w:r>
    </w:p>
    <w:p>
      <w:pPr>
        <w:pStyle w:val="Tiret0"/>
        <w:tabs>
          <w:tab w:val="clear" w:pos="850"/>
          <w:tab w:val="num" w:pos="927"/>
        </w:tabs>
        <w:rPr>
          <w:noProof/>
        </w:rPr>
      </w:pPr>
      <w:r>
        <w:rPr>
          <w:noProof/>
        </w:rPr>
        <w:t>the amending budget No°1/2018</w:t>
      </w:r>
      <w:r>
        <w:rPr>
          <w:rStyle w:val="FootnoteReference"/>
          <w:noProof/>
        </w:rPr>
        <w:footnoteReference w:id="4"/>
      </w:r>
      <w:r>
        <w:rPr>
          <w:noProof/>
        </w:rPr>
        <w:t>, adopted on 30 May 2018,</w:t>
      </w:r>
    </w:p>
    <w:p>
      <w:pPr>
        <w:pStyle w:val="Tiret0"/>
        <w:tabs>
          <w:tab w:val="clear" w:pos="850"/>
          <w:tab w:val="num" w:pos="927"/>
        </w:tabs>
        <w:rPr>
          <w:noProof/>
        </w:rPr>
      </w:pPr>
      <w:r>
        <w:rPr>
          <w:noProof/>
        </w:rPr>
        <w:t>the amending budget No°2/2018</w:t>
      </w:r>
      <w:r>
        <w:rPr>
          <w:rStyle w:val="FootnoteReference"/>
          <w:noProof/>
        </w:rPr>
        <w:footnoteReference w:id="5"/>
      </w:r>
      <w:r>
        <w:rPr>
          <w:noProof/>
        </w:rPr>
        <w:t>, adopted on 4 July 2018,</w:t>
      </w:r>
    </w:p>
    <w:p>
      <w:pPr>
        <w:pStyle w:val="Tiret0"/>
        <w:tabs>
          <w:tab w:val="clear" w:pos="850"/>
          <w:tab w:val="num" w:pos="927"/>
        </w:tabs>
        <w:rPr>
          <w:noProof/>
        </w:rPr>
      </w:pPr>
      <w:r>
        <w:rPr>
          <w:noProof/>
        </w:rPr>
        <w:t>the amending budget No 3/2018</w:t>
      </w:r>
      <w:r>
        <w:rPr>
          <w:rStyle w:val="FootnoteReference"/>
          <w:noProof/>
        </w:rPr>
        <w:footnoteReference w:id="6"/>
      </w:r>
      <w:r>
        <w:rPr>
          <w:noProof/>
        </w:rPr>
        <w:t>, adopted on 4 July 2018,</w:t>
      </w:r>
    </w:p>
    <w:p>
      <w:pPr>
        <w:pStyle w:val="Tiret0"/>
        <w:tabs>
          <w:tab w:val="clear" w:pos="850"/>
          <w:tab w:val="num" w:pos="927"/>
        </w:tabs>
        <w:rPr>
          <w:noProof/>
        </w:rPr>
      </w:pPr>
      <w:r>
        <w:rPr>
          <w:noProof/>
        </w:rPr>
        <w:t>the amending budget No 4/2018</w:t>
      </w:r>
      <w:r>
        <w:rPr>
          <w:rStyle w:val="FootnoteReference"/>
          <w:noProof/>
        </w:rPr>
        <w:footnoteReference w:id="7"/>
      </w:r>
      <w:r>
        <w:rPr>
          <w:noProof/>
        </w:rPr>
        <w:t>, adopted on 11 September 2018,</w:t>
      </w:r>
    </w:p>
    <w:p>
      <w:pPr>
        <w:pStyle w:val="Tiret0"/>
        <w:tabs>
          <w:tab w:val="clear" w:pos="850"/>
          <w:tab w:val="num" w:pos="927"/>
        </w:tabs>
        <w:rPr>
          <w:noProof/>
        </w:rPr>
      </w:pPr>
      <w:r>
        <w:rPr>
          <w:noProof/>
        </w:rPr>
        <w:t>the amending budget No 5/2018</w:t>
      </w:r>
      <w:r>
        <w:rPr>
          <w:rStyle w:val="FootnoteReference"/>
          <w:noProof/>
        </w:rPr>
        <w:footnoteReference w:id="8"/>
      </w:r>
      <w:r>
        <w:rPr>
          <w:noProof/>
        </w:rPr>
        <w:t xml:space="preserve"> adopted on [3 October 2018].</w:t>
      </w:r>
    </w:p>
    <w:p>
      <w:pPr>
        <w:pStyle w:val="Tiret0"/>
        <w:numPr>
          <w:ilvl w:val="0"/>
          <w:numId w:val="0"/>
        </w:numPr>
        <w:spacing w:after="600"/>
        <w:rPr>
          <w:noProof/>
        </w:rPr>
      </w:pPr>
      <w:r>
        <w:rPr>
          <w:noProof/>
        </w:rPr>
        <w:t>The European Commission hereby presents draft amending budget No 6 to the general budget 2018 to the European Parliament and to the Council.</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1"/>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OF CONTENTS</w:t>
      </w:r>
    </w:p>
    <w:sdt>
      <w:sdtPr>
        <w:rPr>
          <w:b w:val="0"/>
          <w:noProof/>
          <w:sz w:val="24"/>
          <w:lang w:eastAsia="en-GB"/>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525202225"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_Toc525202225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5202226" w:history="1">
            <w:r>
              <w:rPr>
                <w:rStyle w:val="Hyperlink"/>
                <w:smallCaps/>
                <w:noProof/>
                <w:lang w:eastAsia="de-DE"/>
              </w:rPr>
              <w:t>2.</w:t>
            </w:r>
            <w:r>
              <w:rPr>
                <w:rFonts w:asciiTheme="minorHAnsi" w:eastAsiaTheme="minorEastAsia" w:hAnsiTheme="minorHAnsi" w:cstheme="minorBidi"/>
                <w:b w:val="0"/>
                <w:bCs w:val="0"/>
                <w:caps w:val="0"/>
                <w:noProof/>
                <w:sz w:val="22"/>
                <w:szCs w:val="22"/>
              </w:rPr>
              <w:tab/>
            </w:r>
            <w:r>
              <w:rPr>
                <w:rStyle w:val="Hyperlink"/>
                <w:smallCaps/>
                <w:noProof/>
                <w:lang w:eastAsia="de-DE"/>
              </w:rPr>
              <w:t>Decrease of payment and commitment appropriations</w:t>
            </w:r>
            <w:r>
              <w:rPr>
                <w:noProof/>
                <w:webHidden/>
              </w:rPr>
              <w:tab/>
            </w:r>
            <w:r>
              <w:rPr>
                <w:noProof/>
                <w:webHidden/>
              </w:rPr>
              <w:fldChar w:fldCharType="begin"/>
            </w:r>
            <w:r>
              <w:rPr>
                <w:noProof/>
                <w:webHidden/>
              </w:rPr>
              <w:instrText xml:space="preserve"> PAGEREF _Toc525202226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5202227" w:history="1">
            <w:r>
              <w:rPr>
                <w:rStyle w:val="Hyperlink"/>
                <w:rFonts w:eastAsia="Calibri"/>
                <w:b/>
                <w:noProof/>
                <w:lang w:eastAsia="de-DE"/>
              </w:rPr>
              <w:t>2.1</w:t>
            </w:r>
            <w:r>
              <w:rPr>
                <w:rFonts w:asciiTheme="minorHAnsi" w:eastAsiaTheme="minorEastAsia" w:hAnsiTheme="minorHAnsi" w:cstheme="minorBidi"/>
                <w:smallCaps w:val="0"/>
                <w:noProof/>
                <w:sz w:val="22"/>
                <w:szCs w:val="22"/>
              </w:rPr>
              <w:tab/>
            </w:r>
            <w:r>
              <w:rPr>
                <w:rStyle w:val="Hyperlink"/>
                <w:rFonts w:eastAsia="Calibri"/>
                <w:b/>
                <w:noProof/>
                <w:lang w:eastAsia="de-DE"/>
              </w:rPr>
              <w:t>Sustainable Fisheries Agreements</w:t>
            </w:r>
            <w:r>
              <w:rPr>
                <w:noProof/>
                <w:webHidden/>
              </w:rPr>
              <w:tab/>
            </w:r>
            <w:r>
              <w:rPr>
                <w:noProof/>
                <w:webHidden/>
              </w:rPr>
              <w:fldChar w:fldCharType="begin"/>
            </w:r>
            <w:r>
              <w:rPr>
                <w:noProof/>
                <w:webHidden/>
              </w:rPr>
              <w:instrText xml:space="preserve"> PAGEREF _Toc525202227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5202228" w:history="1">
            <w:r>
              <w:rPr>
                <w:rStyle w:val="Hyperlink"/>
                <w:rFonts w:eastAsia="Calibri"/>
                <w:b/>
                <w:noProof/>
                <w:lang w:eastAsia="de-DE"/>
              </w:rPr>
              <w:t>2.2</w:t>
            </w:r>
            <w:r>
              <w:rPr>
                <w:rFonts w:asciiTheme="minorHAnsi" w:eastAsiaTheme="minorEastAsia" w:hAnsiTheme="minorHAnsi" w:cstheme="minorBidi"/>
                <w:smallCaps w:val="0"/>
                <w:noProof/>
                <w:sz w:val="22"/>
                <w:szCs w:val="22"/>
              </w:rPr>
              <w:tab/>
            </w:r>
            <w:r>
              <w:rPr>
                <w:rStyle w:val="Hyperlink"/>
                <w:rFonts w:eastAsia="Calibri"/>
                <w:b/>
                <w:noProof/>
                <w:lang w:eastAsia="de-DE"/>
              </w:rPr>
              <w:t>Decentralised agency – European Chemicals Agency (ECHA)</w:t>
            </w:r>
            <w:r>
              <w:rPr>
                <w:noProof/>
                <w:webHidden/>
              </w:rPr>
              <w:tab/>
            </w:r>
            <w:r>
              <w:rPr>
                <w:noProof/>
                <w:webHidden/>
              </w:rPr>
              <w:fldChar w:fldCharType="begin"/>
            </w:r>
            <w:r>
              <w:rPr>
                <w:noProof/>
                <w:webHidden/>
              </w:rPr>
              <w:instrText xml:space="preserve"> PAGEREF _Toc525202228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5202229" w:history="1">
            <w:r>
              <w:rPr>
                <w:rStyle w:val="Hyperlink"/>
                <w:rFonts w:eastAsia="Calibri"/>
                <w:b/>
                <w:noProof/>
                <w:lang w:eastAsia="de-DE"/>
              </w:rPr>
              <w:t>2.3</w:t>
            </w:r>
            <w:r>
              <w:rPr>
                <w:rFonts w:asciiTheme="minorHAnsi" w:eastAsiaTheme="minorEastAsia" w:hAnsiTheme="minorHAnsi" w:cstheme="minorBidi"/>
                <w:smallCaps w:val="0"/>
                <w:noProof/>
                <w:sz w:val="22"/>
                <w:szCs w:val="22"/>
              </w:rPr>
              <w:tab/>
            </w:r>
            <w:r>
              <w:rPr>
                <w:rStyle w:val="Hyperlink"/>
                <w:rFonts w:eastAsia="Calibri"/>
                <w:b/>
                <w:noProof/>
                <w:lang w:eastAsia="de-DE"/>
              </w:rPr>
              <w:t>European Agricultural Guarantee Fund (EAGF)</w:t>
            </w:r>
            <w:r>
              <w:rPr>
                <w:noProof/>
                <w:webHidden/>
              </w:rPr>
              <w:tab/>
            </w:r>
            <w:r>
              <w:rPr>
                <w:noProof/>
                <w:webHidden/>
              </w:rPr>
              <w:fldChar w:fldCharType="begin"/>
            </w:r>
            <w:r>
              <w:rPr>
                <w:noProof/>
                <w:webHidden/>
              </w:rPr>
              <w:instrText xml:space="preserve"> PAGEREF _Toc525202229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5202230" w:history="1">
            <w:r>
              <w:rPr>
                <w:rStyle w:val="Hyperlink"/>
                <w:rFonts w:eastAsia="Calibri"/>
                <w:b/>
                <w:noProof/>
                <w:lang w:eastAsia="de-DE"/>
              </w:rPr>
              <w:t>2.4</w:t>
            </w:r>
            <w:r>
              <w:rPr>
                <w:rFonts w:asciiTheme="minorHAnsi" w:eastAsiaTheme="minorEastAsia" w:hAnsiTheme="minorHAnsi" w:cstheme="minorBidi"/>
                <w:smallCaps w:val="0"/>
                <w:noProof/>
                <w:sz w:val="22"/>
                <w:szCs w:val="22"/>
              </w:rPr>
              <w:tab/>
            </w:r>
            <w:r>
              <w:rPr>
                <w:rStyle w:val="Hyperlink"/>
                <w:rFonts w:eastAsia="Calibri"/>
                <w:b/>
                <w:noProof/>
                <w:lang w:eastAsia="de-DE"/>
              </w:rPr>
              <w:t>European Agricultural Fund for Rural Development (EAFRD)</w:t>
            </w:r>
            <w:r>
              <w:rPr>
                <w:noProof/>
                <w:webHidden/>
              </w:rPr>
              <w:tab/>
            </w:r>
            <w:r>
              <w:rPr>
                <w:noProof/>
                <w:webHidden/>
              </w:rPr>
              <w:fldChar w:fldCharType="begin"/>
            </w:r>
            <w:r>
              <w:rPr>
                <w:noProof/>
                <w:webHidden/>
              </w:rPr>
              <w:instrText xml:space="preserve"> PAGEREF _Toc525202230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5202231" w:history="1">
            <w:r>
              <w:rPr>
                <w:rStyle w:val="Hyperlink"/>
                <w:smallCaps/>
                <w:noProof/>
                <w:lang w:eastAsia="de-DE"/>
              </w:rPr>
              <w:t>3.</w:t>
            </w:r>
            <w:r>
              <w:rPr>
                <w:rFonts w:asciiTheme="minorHAnsi" w:eastAsiaTheme="minorEastAsia" w:hAnsiTheme="minorHAnsi" w:cstheme="minorBidi"/>
                <w:b w:val="0"/>
                <w:bCs w:val="0"/>
                <w:caps w:val="0"/>
                <w:noProof/>
                <w:sz w:val="22"/>
                <w:szCs w:val="22"/>
              </w:rPr>
              <w:tab/>
            </w:r>
            <w:r>
              <w:rPr>
                <w:rStyle w:val="Hyperlink"/>
                <w:smallCaps/>
                <w:noProof/>
                <w:lang w:eastAsia="de-DE"/>
              </w:rPr>
              <w:t>Update of revenue</w:t>
            </w:r>
            <w:r>
              <w:rPr>
                <w:noProof/>
                <w:webHidden/>
              </w:rPr>
              <w:tab/>
            </w:r>
            <w:r>
              <w:rPr>
                <w:noProof/>
                <w:webHidden/>
              </w:rPr>
              <w:fldChar w:fldCharType="begin"/>
            </w:r>
            <w:r>
              <w:rPr>
                <w:noProof/>
                <w:webHidden/>
              </w:rPr>
              <w:instrText xml:space="preserve"> PAGEREF _Toc525202231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5202232" w:history="1">
            <w:r>
              <w:rPr>
                <w:rStyle w:val="Hyperlink"/>
                <w:rFonts w:eastAsia="Calibri"/>
                <w:b/>
                <w:noProof/>
                <w:lang w:eastAsia="de-DE"/>
              </w:rPr>
              <w:t>3.1</w:t>
            </w:r>
            <w:r>
              <w:rPr>
                <w:rFonts w:asciiTheme="minorHAnsi" w:eastAsiaTheme="minorEastAsia" w:hAnsiTheme="minorHAnsi" w:cstheme="minorBidi"/>
                <w:smallCaps w:val="0"/>
                <w:noProof/>
                <w:sz w:val="22"/>
                <w:szCs w:val="22"/>
              </w:rPr>
              <w:tab/>
            </w:r>
            <w:r>
              <w:rPr>
                <w:rStyle w:val="Hyperlink"/>
                <w:rFonts w:eastAsia="Calibri"/>
                <w:b/>
                <w:noProof/>
                <w:lang w:eastAsia="de-DE"/>
              </w:rPr>
              <w:t>Overall impact of DAB 6/2018 on the distribution of total own resources payments between Member States</w:t>
            </w:r>
            <w:r>
              <w:rPr>
                <w:noProof/>
                <w:webHidden/>
              </w:rPr>
              <w:tab/>
            </w:r>
            <w:r>
              <w:rPr>
                <w:noProof/>
                <w:webHidden/>
              </w:rPr>
              <w:fldChar w:fldCharType="begin"/>
            </w:r>
            <w:r>
              <w:rPr>
                <w:noProof/>
                <w:webHidden/>
              </w:rPr>
              <w:instrText xml:space="preserve"> PAGEREF _Toc525202232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5202233" w:history="1">
            <w:r>
              <w:rPr>
                <w:rStyle w:val="Hyperlink"/>
                <w:rFonts w:eastAsia="Calibri"/>
                <w:b/>
                <w:noProof/>
                <w:lang w:eastAsia="de-DE"/>
              </w:rPr>
              <w:t>3.2</w:t>
            </w:r>
            <w:r>
              <w:rPr>
                <w:rFonts w:asciiTheme="minorHAnsi" w:eastAsiaTheme="minorEastAsia" w:hAnsiTheme="minorHAnsi" w:cstheme="minorBidi"/>
                <w:smallCaps w:val="0"/>
                <w:noProof/>
                <w:sz w:val="22"/>
                <w:szCs w:val="22"/>
              </w:rPr>
              <w:tab/>
            </w:r>
            <w:r>
              <w:rPr>
                <w:rStyle w:val="Hyperlink"/>
                <w:rFonts w:eastAsia="Calibri"/>
                <w:b/>
                <w:noProof/>
                <w:lang w:eastAsia="de-DE"/>
              </w:rPr>
              <w:t>Revision of the forecast of TOR, VAT and GNI bases</w:t>
            </w:r>
            <w:r>
              <w:rPr>
                <w:noProof/>
                <w:webHidden/>
              </w:rPr>
              <w:tab/>
            </w:r>
            <w:r>
              <w:rPr>
                <w:noProof/>
                <w:webHidden/>
              </w:rPr>
              <w:fldChar w:fldCharType="begin"/>
            </w:r>
            <w:r>
              <w:rPr>
                <w:noProof/>
                <w:webHidden/>
              </w:rPr>
              <w:instrText xml:space="preserve"> PAGEREF _Toc525202233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5202234" w:history="1">
            <w:r>
              <w:rPr>
                <w:rStyle w:val="Hyperlink"/>
                <w:rFonts w:eastAsia="Calibri"/>
                <w:b/>
                <w:noProof/>
                <w:lang w:eastAsia="de-DE"/>
              </w:rPr>
              <w:t>3.3</w:t>
            </w:r>
            <w:r>
              <w:rPr>
                <w:rFonts w:asciiTheme="minorHAnsi" w:eastAsiaTheme="minorEastAsia" w:hAnsiTheme="minorHAnsi" w:cstheme="minorBidi"/>
                <w:smallCaps w:val="0"/>
                <w:noProof/>
                <w:sz w:val="22"/>
                <w:szCs w:val="22"/>
              </w:rPr>
              <w:tab/>
            </w:r>
            <w:r>
              <w:rPr>
                <w:rStyle w:val="Hyperlink"/>
                <w:rFonts w:eastAsia="Calibri"/>
                <w:b/>
                <w:noProof/>
                <w:lang w:eastAsia="de-DE"/>
              </w:rPr>
              <w:t>2017 and 2014 UK correction</w:t>
            </w:r>
            <w:r>
              <w:rPr>
                <w:noProof/>
                <w:webHidden/>
              </w:rPr>
              <w:tab/>
            </w:r>
            <w:r>
              <w:rPr>
                <w:noProof/>
                <w:webHidden/>
              </w:rPr>
              <w:fldChar w:fldCharType="begin"/>
            </w:r>
            <w:r>
              <w:rPr>
                <w:noProof/>
                <w:webHidden/>
              </w:rPr>
              <w:instrText xml:space="preserve"> PAGEREF _Toc525202234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5202235"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_Toc525202235 \h </w:instrText>
            </w:r>
            <w:r>
              <w:rPr>
                <w:noProof/>
                <w:webHidden/>
              </w:rPr>
            </w:r>
            <w:r>
              <w:rPr>
                <w:noProof/>
                <w:webHidden/>
              </w:rPr>
              <w:fldChar w:fldCharType="separate"/>
            </w:r>
            <w:r>
              <w:rPr>
                <w:noProof/>
                <w:webHidden/>
              </w:rPr>
              <w:t>11</w:t>
            </w:r>
            <w:r>
              <w:rPr>
                <w:noProof/>
                <w:webHidden/>
              </w:rPr>
              <w:fldChar w:fldCharType="end"/>
            </w:r>
          </w:hyperlink>
        </w:p>
        <w:p>
          <w:pPr>
            <w:ind w:left="709" w:hanging="709"/>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25202225"/>
      <w:bookmarkStart w:id="12" w:name="_Toc351469332"/>
      <w:bookmarkStart w:id="13" w:name="_Toc361649879"/>
      <w:r>
        <w:t>1.</w:t>
      </w:r>
      <w:r>
        <w:tab/>
        <w:t>Introduction</w:t>
      </w:r>
      <w:bookmarkEnd w:id="8"/>
      <w:bookmarkEnd w:id="9"/>
      <w:bookmarkEnd w:id="10"/>
      <w:bookmarkEnd w:id="11"/>
    </w:p>
    <w:p>
      <w:pPr>
        <w:pStyle w:val="ListDash"/>
        <w:rPr>
          <w:noProof/>
        </w:rPr>
      </w:pPr>
      <w:bookmarkStart w:id="14" w:name="_Toc462410050"/>
      <w:bookmarkStart w:id="15" w:name="_Toc430865947"/>
      <w:bookmarkStart w:id="16" w:name="_Toc430867525"/>
      <w:r>
        <w:rPr>
          <w:noProof/>
        </w:rPr>
        <w:t>The purpose of Draft Amending Budget (DAB) No 6 for the year 2018 is to update both the expenditure and the revenue sides of the budget to take account of the latest developments:</w:t>
      </w:r>
    </w:p>
    <w:p>
      <w:pPr>
        <w:pStyle w:val="Tiret0"/>
        <w:rPr>
          <w:noProof/>
        </w:rPr>
      </w:pPr>
      <w:r>
        <w:rPr>
          <w:noProof/>
        </w:rPr>
        <w:t>on the expenditure side, to release commitment and payment appropriations of budget lines for headings 1a "Competitiveness for growth and jobs" and 2 "Sustainable growth – natural resources";</w:t>
      </w:r>
    </w:p>
    <w:p>
      <w:pPr>
        <w:pStyle w:val="Tiret0"/>
        <w:rPr>
          <w:noProof/>
        </w:rPr>
      </w:pPr>
      <w:r>
        <w:rPr>
          <w:noProof/>
        </w:rPr>
        <w:t>on the revenue side, to revise the forecast of Traditional Own Resources (i.e. customs duties and sugar sector levies), value-added tax (VAT) and gross national income (GNI) bases, and to budget the relevant UK corrections and their financing, which all affect the distribution of own resources contributions from Member States to the EU budget.</w:t>
      </w:r>
    </w:p>
    <w:p>
      <w:pPr>
        <w:keepNext/>
        <w:tabs>
          <w:tab w:val="left" w:pos="850"/>
        </w:tabs>
        <w:spacing w:before="240" w:after="120"/>
        <w:ind w:left="851" w:hanging="851"/>
        <w:jc w:val="both"/>
        <w:outlineLvl w:val="0"/>
        <w:rPr>
          <w:b/>
          <w:smallCaps/>
          <w:noProof/>
          <w:highlight w:val="yellow"/>
          <w:lang w:eastAsia="de-DE"/>
        </w:rPr>
      </w:pPr>
      <w:bookmarkStart w:id="17" w:name="_Toc525202226"/>
      <w:r>
        <w:rPr>
          <w:b/>
          <w:smallCaps/>
          <w:noProof/>
          <w:lang w:eastAsia="de-DE"/>
        </w:rPr>
        <w:t>2.</w:t>
      </w:r>
      <w:r>
        <w:rPr>
          <w:b/>
          <w:smallCaps/>
          <w:noProof/>
          <w:lang w:eastAsia="de-DE"/>
        </w:rPr>
        <w:tab/>
        <w:t>Decrease of payment and commitment appropriations</w:t>
      </w:r>
      <w:bookmarkEnd w:id="17"/>
    </w:p>
    <w:p>
      <w:pPr>
        <w:spacing w:before="120" w:after="120"/>
        <w:jc w:val="both"/>
        <w:rPr>
          <w:noProof/>
          <w:lang w:eastAsia="de-DE"/>
        </w:rPr>
      </w:pPr>
      <w:bookmarkStart w:id="18" w:name="_Toc460335328"/>
      <w:bookmarkStart w:id="19" w:name="_Toc430865948"/>
      <w:bookmarkStart w:id="20" w:name="_Toc430867526"/>
      <w:bookmarkEnd w:id="14"/>
      <w:r>
        <w:rPr>
          <w:noProof/>
          <w:lang w:eastAsia="de-DE"/>
        </w:rPr>
        <w:t xml:space="preserve">The Commission proposes to adjust the level of payment appropriations for certain budget lines in order to align them more closely to the latest estimates of needs and working on the assumption that the rebalancing of payment appropriations between budget lines requested separately by the Commission in the so-called "global transfer" (DEC 22/2018) will be accepted by the European Parliament and the Council. </w:t>
      </w:r>
    </w:p>
    <w:p>
      <w:pPr>
        <w:spacing w:before="120" w:after="120"/>
        <w:jc w:val="both"/>
        <w:rPr>
          <w:noProof/>
          <w:lang w:eastAsia="de-DE"/>
        </w:rPr>
      </w:pPr>
      <w:r>
        <w:rPr>
          <w:noProof/>
          <w:lang w:eastAsia="de-DE"/>
        </w:rPr>
        <w:t>The reduction in the level of commitment and payment appropriations requested in this DAB (EUR 48,7 million and EUR 44,7 million, respectively) only concerns headings 1a and 2.</w:t>
      </w:r>
    </w:p>
    <w:p>
      <w:pPr>
        <w:spacing w:before="120" w:after="120"/>
        <w:jc w:val="both"/>
        <w:rPr>
          <w:noProof/>
          <w:lang w:eastAsia="de-DE"/>
        </w:rPr>
      </w:pPr>
      <w:r>
        <w:rPr>
          <w:noProof/>
          <w:lang w:eastAsia="de-DE"/>
        </w:rPr>
        <w:t>In the budget 2018, no margin remains available under heading 1a and the Global Margin for Commitments (GMC) is used for an amount of EUR 762,5 million. As a result of the reduction in commitment appropriations proposed in this DAB on this heading (see section 2.2 below), the amount of GMC used is reduced accordingly to reach EUR 760,6 million.</w:t>
      </w:r>
    </w:p>
    <w:p>
      <w:pPr>
        <w:keepNext/>
        <w:tabs>
          <w:tab w:val="left" w:pos="850"/>
        </w:tabs>
        <w:spacing w:before="360" w:after="120"/>
        <w:ind w:left="850" w:hanging="850"/>
        <w:jc w:val="both"/>
        <w:outlineLvl w:val="1"/>
        <w:rPr>
          <w:rFonts w:eastAsia="Calibri"/>
          <w:b/>
          <w:noProof/>
          <w:lang w:eastAsia="de-DE"/>
        </w:rPr>
      </w:pPr>
      <w:bookmarkStart w:id="21" w:name="_Toc525202227"/>
      <w:bookmarkStart w:id="22" w:name="_Toc494994373"/>
      <w:r>
        <w:rPr>
          <w:rFonts w:eastAsia="Calibri"/>
          <w:b/>
          <w:noProof/>
          <w:lang w:eastAsia="de-DE"/>
        </w:rPr>
        <w:t>2.1</w:t>
      </w:r>
      <w:r>
        <w:rPr>
          <w:rFonts w:eastAsia="Calibri"/>
          <w:b/>
          <w:noProof/>
          <w:lang w:eastAsia="de-DE"/>
        </w:rPr>
        <w:tab/>
        <w:t>Sustainable Fisheries Agreements</w:t>
      </w:r>
      <w:bookmarkEnd w:id="21"/>
    </w:p>
    <w:p>
      <w:pPr>
        <w:spacing w:before="120" w:after="120"/>
        <w:jc w:val="both"/>
        <w:rPr>
          <w:noProof/>
          <w:lang w:eastAsia="de-DE"/>
        </w:rPr>
      </w:pPr>
      <w:r>
        <w:rPr>
          <w:noProof/>
          <w:lang w:eastAsia="de-DE"/>
        </w:rPr>
        <w:t>On the basis of an updated analysis of the state of play of the negotiations for Sustainable Fisheries Partnership Agreements, EUR 46,6 million in commitment appropriations and EUR 43,3 million in payment appropriations may be released from the reserve line (budget article 40 02 41).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tcPr>
          <w:p>
            <w:pPr>
              <w:widowControl w:val="0"/>
              <w:spacing w:before="15" w:after="15"/>
              <w:ind w:right="-113"/>
              <w:jc w:val="both"/>
              <w:rPr>
                <w:noProof/>
                <w:sz w:val="20"/>
                <w:szCs w:val="20"/>
              </w:rPr>
            </w:pPr>
            <w:r>
              <w:rPr>
                <w:noProof/>
                <w:sz w:val="20"/>
                <w:szCs w:val="20"/>
              </w:rPr>
              <w:t>40 02 41</w:t>
            </w:r>
          </w:p>
        </w:tc>
        <w:tc>
          <w:tcPr>
            <w:tcW w:w="4961" w:type="dxa"/>
          </w:tcPr>
          <w:p>
            <w:pPr>
              <w:widowControl w:val="0"/>
              <w:tabs>
                <w:tab w:val="left" w:pos="1350"/>
              </w:tabs>
              <w:spacing w:before="15" w:after="15"/>
              <w:jc w:val="both"/>
              <w:rPr>
                <w:noProof/>
                <w:sz w:val="16"/>
                <w:szCs w:val="16"/>
              </w:rPr>
            </w:pPr>
            <w:r>
              <w:rPr>
                <w:noProof/>
                <w:sz w:val="16"/>
                <w:szCs w:val="16"/>
              </w:rPr>
              <w:t>Differentiated appropriations (</w:t>
            </w:r>
            <w:r>
              <w:rPr>
                <w:i/>
                <w:noProof/>
                <w:sz w:val="16"/>
                <w:szCs w:val="16"/>
              </w:rPr>
              <w:t>Reserve for budget article 11 03 01 – Establishing a governance framework for fishing activities carried out by Union fishing vessels in third country waters</w:t>
            </w:r>
            <w:r>
              <w:rPr>
                <w:noProof/>
                <w:sz w:val="16"/>
                <w:szCs w:val="16"/>
              </w:rPr>
              <w:t>)</w:t>
            </w:r>
          </w:p>
        </w:tc>
        <w:tc>
          <w:tcPr>
            <w:tcW w:w="1701" w:type="dxa"/>
          </w:tcPr>
          <w:p>
            <w:pPr>
              <w:widowControl w:val="0"/>
              <w:spacing w:before="15" w:after="15"/>
              <w:jc w:val="right"/>
              <w:rPr>
                <w:noProof/>
                <w:sz w:val="20"/>
                <w:szCs w:val="20"/>
              </w:rPr>
            </w:pPr>
            <w:r>
              <w:rPr>
                <w:noProof/>
                <w:sz w:val="20"/>
                <w:szCs w:val="20"/>
              </w:rPr>
              <w:t>-46 565 000</w:t>
            </w:r>
          </w:p>
        </w:tc>
        <w:tc>
          <w:tcPr>
            <w:tcW w:w="1701" w:type="dxa"/>
          </w:tcPr>
          <w:p>
            <w:pPr>
              <w:widowControl w:val="0"/>
              <w:spacing w:before="15" w:after="15"/>
              <w:jc w:val="right"/>
              <w:rPr>
                <w:noProof/>
                <w:sz w:val="20"/>
                <w:szCs w:val="20"/>
              </w:rPr>
            </w:pPr>
            <w:r>
              <w:rPr>
                <w:noProof/>
                <w:sz w:val="20"/>
                <w:szCs w:val="20"/>
              </w:rPr>
              <w:t>-43 302 703</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-46 565 000</w:t>
            </w:r>
          </w:p>
        </w:tc>
        <w:tc>
          <w:tcPr>
            <w:tcW w:w="1701" w:type="dxa"/>
            <w:shd w:val="clear" w:color="auto" w:fill="D9D9D9"/>
          </w:tcPr>
          <w:p>
            <w:pPr>
              <w:widowControl w:val="0"/>
              <w:spacing w:before="15" w:after="15"/>
              <w:jc w:val="right"/>
              <w:rPr>
                <w:b/>
                <w:noProof/>
                <w:sz w:val="20"/>
                <w:szCs w:val="20"/>
              </w:rPr>
            </w:pPr>
            <w:r>
              <w:rPr>
                <w:b/>
                <w:noProof/>
                <w:sz w:val="20"/>
                <w:szCs w:val="20"/>
              </w:rPr>
              <w:t>-43 302 703</w:t>
            </w:r>
          </w:p>
        </w:tc>
      </w:tr>
    </w:tbl>
    <w:p>
      <w:pPr>
        <w:keepNext/>
        <w:tabs>
          <w:tab w:val="left" w:pos="850"/>
        </w:tabs>
        <w:spacing w:before="360" w:after="120"/>
        <w:ind w:left="850" w:hanging="850"/>
        <w:jc w:val="both"/>
        <w:outlineLvl w:val="1"/>
        <w:rPr>
          <w:rFonts w:eastAsia="Calibri"/>
          <w:b/>
          <w:noProof/>
          <w:lang w:eastAsia="de-DE"/>
        </w:rPr>
      </w:pPr>
      <w:bookmarkStart w:id="23" w:name="_Toc525202228"/>
      <w:r>
        <w:rPr>
          <w:rFonts w:eastAsia="Calibri"/>
          <w:b/>
          <w:noProof/>
          <w:lang w:eastAsia="de-DE"/>
        </w:rPr>
        <w:t>2.2</w:t>
      </w:r>
      <w:r>
        <w:rPr>
          <w:rFonts w:eastAsia="Calibri"/>
          <w:b/>
          <w:noProof/>
          <w:lang w:eastAsia="de-DE"/>
        </w:rPr>
        <w:tab/>
      </w:r>
      <w:bookmarkEnd w:id="22"/>
      <w:r>
        <w:rPr>
          <w:rFonts w:eastAsia="Calibri"/>
          <w:b/>
          <w:noProof/>
          <w:lang w:eastAsia="de-DE"/>
        </w:rPr>
        <w:t>Decentralised agency – European Chemicals Agency (ECHA)</w:t>
      </w:r>
      <w:bookmarkEnd w:id="23"/>
    </w:p>
    <w:p>
      <w:pPr>
        <w:spacing w:before="120" w:after="240"/>
        <w:jc w:val="both"/>
        <w:rPr>
          <w:noProof/>
          <w:lang w:eastAsia="de-DE"/>
        </w:rPr>
      </w:pPr>
      <w:r>
        <w:rPr>
          <w:noProof/>
          <w:lang w:eastAsia="de-DE"/>
        </w:rPr>
        <w:t>The European Chemicals Agency (ECHA) in Helsinki carries out two types of fee-financed activities, related to Chemicals legislation under heading 1a and Biocides legislation under heading 2. Fee income actually received for these two activities in the course of 2018 has evolved in opposite directions: while fee income is above forecast in heading 1a, linked to substantial fees received by the registration deadline of May 2018, there is a significant drop in the number of applications for Union authorisations of biocidal products. The resulting shortfall in fee income in heading 2 is partly met by cost savings related to biocides activities. Nonetheless, a reinforcement of the EU balancing contribution under heading 2 is necessary, for an amount of EUR 1,9 million in commitment and payment appropriations, which is proposed to be offset by a corresponding reduction of the EU balancing contribution to the agency under heading 1a.</w:t>
      </w:r>
    </w:p>
    <w:p>
      <w:pPr>
        <w:rPr>
          <w:noProof/>
          <w:lang w:eastAsia="de-DE"/>
        </w:rPr>
      </w:pPr>
      <w:r>
        <w:rPr>
          <w:noProof/>
          <w:lang w:eastAsia="de-DE"/>
        </w:rPr>
        <w:br w:type="page"/>
      </w:r>
    </w:p>
    <w:p>
      <w:pPr>
        <w:spacing w:before="120" w:after="240"/>
        <w:jc w:val="both"/>
        <w:rPr>
          <w:noProof/>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tcPr>
          <w:p>
            <w:pPr>
              <w:widowControl w:val="0"/>
              <w:spacing w:before="15" w:after="15"/>
              <w:ind w:right="-113"/>
              <w:jc w:val="both"/>
              <w:rPr>
                <w:noProof/>
                <w:sz w:val="20"/>
                <w:szCs w:val="20"/>
              </w:rPr>
            </w:pPr>
            <w:r>
              <w:rPr>
                <w:noProof/>
                <w:sz w:val="20"/>
                <w:szCs w:val="20"/>
              </w:rPr>
              <w:t>02 03 03</w:t>
            </w:r>
          </w:p>
        </w:tc>
        <w:tc>
          <w:tcPr>
            <w:tcW w:w="4961" w:type="dxa"/>
          </w:tcPr>
          <w:p>
            <w:pPr>
              <w:widowControl w:val="0"/>
              <w:tabs>
                <w:tab w:val="left" w:pos="1350"/>
              </w:tabs>
              <w:spacing w:before="15" w:after="15"/>
              <w:jc w:val="both"/>
              <w:rPr>
                <w:noProof/>
                <w:sz w:val="16"/>
                <w:szCs w:val="16"/>
              </w:rPr>
            </w:pPr>
            <w:r>
              <w:rPr>
                <w:noProof/>
                <w:sz w:val="16"/>
                <w:szCs w:val="16"/>
              </w:rPr>
              <w:t>European Chemicals Agency — Chemicals legislation</w:t>
            </w:r>
          </w:p>
        </w:tc>
        <w:tc>
          <w:tcPr>
            <w:tcW w:w="1701" w:type="dxa"/>
          </w:tcPr>
          <w:p>
            <w:pPr>
              <w:widowControl w:val="0"/>
              <w:spacing w:before="15" w:after="15"/>
              <w:jc w:val="right"/>
              <w:rPr>
                <w:noProof/>
                <w:sz w:val="20"/>
                <w:szCs w:val="20"/>
                <w:highlight w:val="yellow"/>
              </w:rPr>
            </w:pPr>
            <w:r>
              <w:rPr>
                <w:noProof/>
                <w:sz w:val="20"/>
                <w:szCs w:val="20"/>
              </w:rPr>
              <w:t>-1 900 000</w:t>
            </w:r>
          </w:p>
        </w:tc>
        <w:tc>
          <w:tcPr>
            <w:tcW w:w="1701" w:type="dxa"/>
          </w:tcPr>
          <w:p>
            <w:pPr>
              <w:widowControl w:val="0"/>
              <w:spacing w:before="15" w:after="15"/>
              <w:jc w:val="right"/>
              <w:rPr>
                <w:noProof/>
                <w:sz w:val="20"/>
                <w:szCs w:val="20"/>
                <w:highlight w:val="yellow"/>
              </w:rPr>
            </w:pPr>
            <w:r>
              <w:rPr>
                <w:noProof/>
                <w:sz w:val="20"/>
                <w:szCs w:val="20"/>
              </w:rPr>
              <w:t>-1 900 000</w:t>
            </w:r>
          </w:p>
        </w:tc>
      </w:tr>
      <w:tr>
        <w:tc>
          <w:tcPr>
            <w:tcW w:w="1276" w:type="dxa"/>
          </w:tcPr>
          <w:p>
            <w:pPr>
              <w:widowControl w:val="0"/>
              <w:spacing w:before="15" w:after="15"/>
              <w:ind w:right="-113"/>
              <w:jc w:val="both"/>
              <w:rPr>
                <w:noProof/>
                <w:sz w:val="20"/>
                <w:szCs w:val="20"/>
              </w:rPr>
            </w:pPr>
            <w:r>
              <w:rPr>
                <w:noProof/>
                <w:sz w:val="20"/>
                <w:szCs w:val="20"/>
              </w:rPr>
              <w:t>17 04 07</w:t>
            </w:r>
          </w:p>
        </w:tc>
        <w:tc>
          <w:tcPr>
            <w:tcW w:w="4961" w:type="dxa"/>
          </w:tcPr>
          <w:p>
            <w:pPr>
              <w:widowControl w:val="0"/>
              <w:tabs>
                <w:tab w:val="left" w:pos="1350"/>
              </w:tabs>
              <w:spacing w:before="15" w:after="15"/>
              <w:jc w:val="both"/>
              <w:rPr>
                <w:noProof/>
                <w:sz w:val="16"/>
                <w:szCs w:val="16"/>
              </w:rPr>
            </w:pPr>
            <w:r>
              <w:rPr>
                <w:noProof/>
                <w:sz w:val="16"/>
                <w:szCs w:val="16"/>
              </w:rPr>
              <w:t>European Chemicals Agency — Activities in the field of biocides legislation</w:t>
            </w:r>
          </w:p>
        </w:tc>
        <w:tc>
          <w:tcPr>
            <w:tcW w:w="1701" w:type="dxa"/>
          </w:tcPr>
          <w:p>
            <w:pPr>
              <w:widowControl w:val="0"/>
              <w:spacing w:before="15" w:after="15"/>
              <w:jc w:val="right"/>
              <w:rPr>
                <w:noProof/>
                <w:sz w:val="20"/>
                <w:szCs w:val="20"/>
                <w:highlight w:val="yellow"/>
              </w:rPr>
            </w:pPr>
            <w:r>
              <w:rPr>
                <w:noProof/>
                <w:sz w:val="20"/>
                <w:szCs w:val="20"/>
              </w:rPr>
              <w:t>1 900 000</w:t>
            </w:r>
          </w:p>
        </w:tc>
        <w:tc>
          <w:tcPr>
            <w:tcW w:w="1701" w:type="dxa"/>
          </w:tcPr>
          <w:p>
            <w:pPr>
              <w:widowControl w:val="0"/>
              <w:spacing w:before="15" w:after="15"/>
              <w:jc w:val="right"/>
              <w:rPr>
                <w:noProof/>
                <w:sz w:val="20"/>
                <w:szCs w:val="20"/>
                <w:highlight w:val="yellow"/>
              </w:rPr>
            </w:pPr>
            <w:r>
              <w:rPr>
                <w:noProof/>
                <w:sz w:val="20"/>
                <w:szCs w:val="20"/>
              </w:rPr>
              <w:t>1 900 000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w:t>
            </w:r>
          </w:p>
        </w:tc>
        <w:tc>
          <w:tcPr>
            <w:tcW w:w="1701" w:type="dxa"/>
            <w:shd w:val="clear" w:color="auto" w:fill="D9D9D9"/>
          </w:tcPr>
          <w:p>
            <w:pPr>
              <w:widowControl w:val="0"/>
              <w:spacing w:before="15" w:after="15"/>
              <w:jc w:val="right"/>
              <w:rPr>
                <w:b/>
                <w:noProof/>
                <w:sz w:val="20"/>
                <w:szCs w:val="20"/>
              </w:rPr>
            </w:pPr>
            <w:r>
              <w:rPr>
                <w:b/>
                <w:noProof/>
                <w:sz w:val="20"/>
                <w:szCs w:val="20"/>
              </w:rPr>
              <w:t>-</w:t>
            </w:r>
          </w:p>
        </w:tc>
      </w:tr>
    </w:tbl>
    <w:p>
      <w:pPr>
        <w:keepNext/>
        <w:tabs>
          <w:tab w:val="left" w:pos="850"/>
        </w:tabs>
        <w:spacing w:before="360" w:after="120"/>
        <w:ind w:left="850" w:hanging="850"/>
        <w:jc w:val="both"/>
        <w:outlineLvl w:val="1"/>
        <w:rPr>
          <w:rFonts w:eastAsia="Calibri"/>
          <w:b/>
          <w:noProof/>
          <w:lang w:eastAsia="de-DE"/>
        </w:rPr>
      </w:pPr>
      <w:bookmarkStart w:id="24" w:name="_Toc461100993"/>
      <w:bookmarkStart w:id="25" w:name="_Toc525202229"/>
      <w:bookmarkEnd w:id="24"/>
      <w:r>
        <w:rPr>
          <w:rFonts w:eastAsia="Calibri"/>
          <w:b/>
          <w:noProof/>
          <w:lang w:eastAsia="de-DE"/>
        </w:rPr>
        <w:t>2.3</w:t>
      </w:r>
      <w:r>
        <w:rPr>
          <w:rFonts w:eastAsia="Calibri"/>
          <w:b/>
          <w:noProof/>
          <w:lang w:eastAsia="de-DE"/>
        </w:rPr>
        <w:tab/>
        <w:t>European Agricultural Guarantee Fund (EAGF)</w:t>
      </w:r>
      <w:bookmarkEnd w:id="25"/>
    </w:p>
    <w:p>
      <w:pPr>
        <w:autoSpaceDE w:val="0"/>
        <w:autoSpaceDN w:val="0"/>
        <w:adjustRightInd w:val="0"/>
        <w:spacing w:before="120" w:after="240"/>
        <w:jc w:val="both"/>
        <w:rPr>
          <w:noProof/>
        </w:rPr>
      </w:pPr>
      <w:r>
        <w:rPr>
          <w:noProof/>
        </w:rPr>
        <w:t>Further to some delays in recruiting IT service providers as well as the cancellation of some audits, it is proposed to decrease the level of commitment and payment appropriations of the budget item 05 01 04 01 and budget article 05 08 09.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tcPr>
          <w:p>
            <w:pPr>
              <w:widowControl w:val="0"/>
              <w:spacing w:before="15" w:after="15"/>
              <w:ind w:right="-113"/>
              <w:jc w:val="both"/>
              <w:rPr>
                <w:noProof/>
                <w:sz w:val="20"/>
                <w:szCs w:val="20"/>
              </w:rPr>
            </w:pPr>
            <w:r>
              <w:rPr>
                <w:noProof/>
                <w:sz w:val="20"/>
                <w:szCs w:val="20"/>
              </w:rPr>
              <w:t>05 01 04 01</w:t>
            </w:r>
          </w:p>
        </w:tc>
        <w:tc>
          <w:tcPr>
            <w:tcW w:w="4961" w:type="dxa"/>
            <w:vAlign w:val="center"/>
          </w:tcPr>
          <w:p>
            <w:pPr>
              <w:widowControl w:val="0"/>
              <w:tabs>
                <w:tab w:val="left" w:pos="1350"/>
              </w:tabs>
              <w:spacing w:before="15" w:after="15"/>
              <w:rPr>
                <w:noProof/>
                <w:sz w:val="16"/>
                <w:szCs w:val="16"/>
              </w:rPr>
            </w:pPr>
            <w:r>
              <w:rPr>
                <w:noProof/>
                <w:sz w:val="16"/>
                <w:szCs w:val="16"/>
              </w:rPr>
              <w:t>Support expenditure for the European Agricultural Guarantee Fund (EAGF) – Non-operational technical assistance</w:t>
            </w:r>
          </w:p>
        </w:tc>
        <w:tc>
          <w:tcPr>
            <w:tcW w:w="1701" w:type="dxa"/>
          </w:tcPr>
          <w:p>
            <w:pPr>
              <w:widowControl w:val="0"/>
              <w:spacing w:before="15" w:after="15"/>
              <w:jc w:val="right"/>
              <w:rPr>
                <w:noProof/>
                <w:sz w:val="20"/>
                <w:szCs w:val="20"/>
              </w:rPr>
            </w:pPr>
            <w:r>
              <w:rPr>
                <w:noProof/>
                <w:sz w:val="20"/>
                <w:szCs w:val="20"/>
              </w:rPr>
              <w:t>-400 000</w:t>
            </w:r>
          </w:p>
        </w:tc>
        <w:tc>
          <w:tcPr>
            <w:tcW w:w="1701" w:type="dxa"/>
          </w:tcPr>
          <w:p>
            <w:pPr>
              <w:widowControl w:val="0"/>
              <w:spacing w:before="15" w:after="15"/>
              <w:jc w:val="right"/>
              <w:rPr>
                <w:noProof/>
                <w:sz w:val="20"/>
                <w:szCs w:val="20"/>
              </w:rPr>
            </w:pPr>
            <w:r>
              <w:rPr>
                <w:noProof/>
                <w:sz w:val="20"/>
                <w:szCs w:val="20"/>
              </w:rPr>
              <w:t>-400 000</w:t>
            </w:r>
          </w:p>
        </w:tc>
      </w:tr>
      <w:tr>
        <w:tc>
          <w:tcPr>
            <w:tcW w:w="1276" w:type="dxa"/>
          </w:tcPr>
          <w:p>
            <w:pPr>
              <w:widowControl w:val="0"/>
              <w:spacing w:before="15" w:after="15"/>
              <w:ind w:right="-113"/>
              <w:jc w:val="both"/>
              <w:rPr>
                <w:noProof/>
                <w:sz w:val="20"/>
                <w:szCs w:val="20"/>
              </w:rPr>
            </w:pPr>
            <w:r>
              <w:rPr>
                <w:noProof/>
                <w:sz w:val="20"/>
                <w:szCs w:val="20"/>
              </w:rPr>
              <w:t>05 08 09</w:t>
            </w:r>
          </w:p>
        </w:tc>
        <w:tc>
          <w:tcPr>
            <w:tcW w:w="4961" w:type="dxa"/>
            <w:vAlign w:val="center"/>
          </w:tcPr>
          <w:p>
            <w:pPr>
              <w:widowControl w:val="0"/>
              <w:tabs>
                <w:tab w:val="left" w:pos="1350"/>
              </w:tabs>
              <w:spacing w:before="15" w:after="15"/>
              <w:rPr>
                <w:noProof/>
                <w:sz w:val="16"/>
                <w:szCs w:val="16"/>
              </w:rPr>
            </w:pPr>
            <w:r>
              <w:rPr>
                <w:noProof/>
                <w:sz w:val="16"/>
                <w:szCs w:val="16"/>
              </w:rPr>
              <w:t>European Agricultural Guarantee Fund (EAGF) – Operational technical assistance</w:t>
            </w:r>
          </w:p>
        </w:tc>
        <w:tc>
          <w:tcPr>
            <w:tcW w:w="1701" w:type="dxa"/>
          </w:tcPr>
          <w:p>
            <w:pPr>
              <w:widowControl w:val="0"/>
              <w:spacing w:before="15" w:after="15"/>
              <w:jc w:val="right"/>
              <w:rPr>
                <w:noProof/>
                <w:sz w:val="20"/>
                <w:szCs w:val="20"/>
              </w:rPr>
            </w:pPr>
            <w:r>
              <w:rPr>
                <w:noProof/>
                <w:sz w:val="20"/>
                <w:szCs w:val="20"/>
              </w:rPr>
              <w:t>-1 000 000</w:t>
            </w:r>
          </w:p>
        </w:tc>
        <w:tc>
          <w:tcPr>
            <w:tcW w:w="1701" w:type="dxa"/>
          </w:tcPr>
          <w:p>
            <w:pPr>
              <w:widowControl w:val="0"/>
              <w:spacing w:before="15" w:after="15"/>
              <w:jc w:val="right"/>
              <w:rPr>
                <w:noProof/>
                <w:sz w:val="20"/>
                <w:szCs w:val="20"/>
              </w:rPr>
            </w:pPr>
            <w:r>
              <w:rPr>
                <w:noProof/>
                <w:sz w:val="20"/>
                <w:szCs w:val="20"/>
              </w:rPr>
              <w:t>-1 000 000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-1 400 000</w:t>
            </w:r>
          </w:p>
        </w:tc>
        <w:tc>
          <w:tcPr>
            <w:tcW w:w="1701" w:type="dxa"/>
            <w:shd w:val="clear" w:color="auto" w:fill="D9D9D9"/>
          </w:tcPr>
          <w:p>
            <w:pPr>
              <w:widowControl w:val="0"/>
              <w:spacing w:before="15" w:after="15"/>
              <w:jc w:val="right"/>
              <w:rPr>
                <w:b/>
                <w:noProof/>
                <w:sz w:val="20"/>
                <w:szCs w:val="20"/>
              </w:rPr>
            </w:pPr>
            <w:r>
              <w:rPr>
                <w:b/>
                <w:noProof/>
                <w:sz w:val="20"/>
                <w:szCs w:val="20"/>
              </w:rPr>
              <w:t>-1 400 000</w:t>
            </w:r>
          </w:p>
        </w:tc>
      </w:tr>
    </w:tbl>
    <w:p>
      <w:pPr>
        <w:keepNext/>
        <w:tabs>
          <w:tab w:val="left" w:pos="850"/>
        </w:tabs>
        <w:spacing w:before="360" w:after="120"/>
        <w:ind w:left="850" w:hanging="850"/>
        <w:jc w:val="both"/>
        <w:outlineLvl w:val="1"/>
        <w:rPr>
          <w:rFonts w:eastAsia="Calibri"/>
          <w:b/>
          <w:noProof/>
          <w:lang w:eastAsia="de-DE"/>
        </w:rPr>
      </w:pPr>
      <w:bookmarkStart w:id="26" w:name="_Toc525202230"/>
      <w:r>
        <w:rPr>
          <w:rFonts w:eastAsia="Calibri"/>
          <w:b/>
          <w:noProof/>
          <w:lang w:eastAsia="de-DE"/>
        </w:rPr>
        <w:t>2.4</w:t>
      </w:r>
      <w:r>
        <w:rPr>
          <w:rFonts w:eastAsia="Calibri"/>
          <w:b/>
          <w:noProof/>
          <w:lang w:eastAsia="de-DE"/>
        </w:rPr>
        <w:tab/>
        <w:t>European Agricultural Fund for Rural Development (EAFRD)</w:t>
      </w:r>
      <w:bookmarkEnd w:id="26"/>
    </w:p>
    <w:p>
      <w:pPr>
        <w:autoSpaceDE w:val="0"/>
        <w:autoSpaceDN w:val="0"/>
        <w:adjustRightInd w:val="0"/>
        <w:spacing w:before="120" w:after="240"/>
        <w:jc w:val="both"/>
        <w:rPr>
          <w:noProof/>
        </w:rPr>
      </w:pPr>
      <w:r>
        <w:rPr>
          <w:noProof/>
        </w:rPr>
        <w:t>Given the postponements of planned actions/events in relation to the European networks for Rural Development and the European Innovation Partnership, it is proposed to decrease the level of commitment appropriations of the budget item 05 04 60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EUR</w:t>
            </w:r>
          </w:p>
        </w:tc>
      </w:tr>
      <w:t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tcPr>
          <w:p>
            <w:pPr>
              <w:widowControl w:val="0"/>
              <w:spacing w:before="15" w:after="15"/>
              <w:ind w:right="-113"/>
              <w:jc w:val="both"/>
              <w:rPr>
                <w:noProof/>
                <w:sz w:val="20"/>
                <w:szCs w:val="20"/>
              </w:rPr>
            </w:pPr>
            <w:r>
              <w:rPr>
                <w:noProof/>
                <w:sz w:val="20"/>
                <w:szCs w:val="20"/>
              </w:rPr>
              <w:t>05 04 60 02</w:t>
            </w:r>
          </w:p>
        </w:tc>
        <w:tc>
          <w:tcPr>
            <w:tcW w:w="4961" w:type="dxa"/>
          </w:tcPr>
          <w:p>
            <w:pPr>
              <w:widowControl w:val="0"/>
              <w:tabs>
                <w:tab w:val="left" w:pos="1350"/>
              </w:tabs>
              <w:spacing w:before="15" w:after="15"/>
              <w:jc w:val="both"/>
              <w:rPr>
                <w:noProof/>
                <w:sz w:val="16"/>
                <w:szCs w:val="16"/>
              </w:rPr>
            </w:pPr>
            <w:r>
              <w:rPr>
                <w:noProof/>
                <w:sz w:val="16"/>
                <w:szCs w:val="16"/>
              </w:rPr>
              <w:t>Operational technical assistance</w:t>
            </w:r>
          </w:p>
        </w:tc>
        <w:tc>
          <w:tcPr>
            <w:tcW w:w="1701" w:type="dxa"/>
          </w:tcPr>
          <w:p>
            <w:pPr>
              <w:widowControl w:val="0"/>
              <w:spacing w:before="15" w:after="15"/>
              <w:jc w:val="right"/>
              <w:rPr>
                <w:noProof/>
                <w:sz w:val="20"/>
                <w:szCs w:val="20"/>
              </w:rPr>
            </w:pPr>
            <w:r>
              <w:rPr>
                <w:noProof/>
                <w:sz w:val="20"/>
                <w:szCs w:val="20"/>
              </w:rPr>
              <w:t>-700 000</w:t>
            </w:r>
          </w:p>
        </w:tc>
        <w:tc>
          <w:tcPr>
            <w:tcW w:w="1701" w:type="dxa"/>
          </w:tcPr>
          <w:p>
            <w:pPr>
              <w:widowControl w:val="0"/>
              <w:spacing w:before="15" w:after="15"/>
              <w:jc w:val="right"/>
              <w:rPr>
                <w:noProof/>
                <w:sz w:val="20"/>
                <w:szCs w:val="20"/>
              </w:rPr>
            </w:pPr>
            <w:r>
              <w:rPr>
                <w:noProof/>
                <w:sz w:val="20"/>
                <w:szCs w:val="20"/>
              </w:rPr>
              <w:t>-</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-700 000</w:t>
            </w:r>
          </w:p>
        </w:tc>
        <w:tc>
          <w:tcPr>
            <w:tcW w:w="1701" w:type="dxa"/>
            <w:shd w:val="clear" w:color="auto" w:fill="D9D9D9"/>
          </w:tcPr>
          <w:p>
            <w:pPr>
              <w:widowControl w:val="0"/>
              <w:spacing w:before="15" w:after="15"/>
              <w:jc w:val="right"/>
              <w:rPr>
                <w:b/>
                <w:noProof/>
                <w:sz w:val="20"/>
                <w:szCs w:val="20"/>
              </w:rPr>
            </w:pPr>
            <w:r>
              <w:rPr>
                <w:b/>
                <w:noProof/>
                <w:sz w:val="20"/>
                <w:szCs w:val="20"/>
              </w:rPr>
              <w:t>-</w:t>
            </w:r>
          </w:p>
        </w:tc>
      </w:tr>
    </w:tbl>
    <w:p>
      <w:pPr>
        <w:keepNext/>
        <w:tabs>
          <w:tab w:val="left" w:pos="850"/>
        </w:tabs>
        <w:spacing w:before="240" w:after="120"/>
        <w:ind w:left="851" w:hanging="851"/>
        <w:jc w:val="both"/>
        <w:outlineLvl w:val="0"/>
        <w:rPr>
          <w:noProof/>
        </w:rPr>
      </w:pPr>
      <w:bookmarkStart w:id="27" w:name="_Toc494994377"/>
      <w:bookmarkStart w:id="28" w:name="_Toc525202231"/>
      <w:bookmarkEnd w:id="18"/>
      <w:bookmarkEnd w:id="19"/>
      <w:bookmarkEnd w:id="20"/>
      <w:r>
        <w:rPr>
          <w:b/>
          <w:smallCaps/>
          <w:noProof/>
          <w:lang w:eastAsia="de-DE"/>
        </w:rPr>
        <w:t>3.</w:t>
      </w:r>
      <w:r>
        <w:rPr>
          <w:b/>
          <w:smallCaps/>
          <w:noProof/>
          <w:lang w:eastAsia="de-DE"/>
        </w:rPr>
        <w:tab/>
        <w:t>Update of revenue</w:t>
      </w:r>
      <w:bookmarkEnd w:id="27"/>
      <w:bookmarkEnd w:id="28"/>
      <w:r>
        <w:rPr>
          <w:b/>
          <w:smallCaps/>
          <w:noProof/>
          <w:lang w:eastAsia="de-DE"/>
        </w:rPr>
        <w:t xml:space="preserve"> </w:t>
      </w:r>
    </w:p>
    <w:p>
      <w:pPr>
        <w:keepNext/>
        <w:tabs>
          <w:tab w:val="left" w:pos="850"/>
        </w:tabs>
        <w:spacing w:before="360" w:after="120"/>
        <w:ind w:left="850" w:hanging="850"/>
        <w:jc w:val="both"/>
        <w:outlineLvl w:val="1"/>
        <w:rPr>
          <w:rFonts w:eastAsia="Calibri"/>
          <w:b/>
          <w:noProof/>
          <w:lang w:eastAsia="de-DE"/>
        </w:rPr>
      </w:pPr>
      <w:bookmarkStart w:id="29" w:name="_Toc462410058"/>
      <w:bookmarkStart w:id="30" w:name="_Toc494994378"/>
      <w:bookmarkStart w:id="31" w:name="_Toc525202232"/>
      <w:r>
        <w:rPr>
          <w:rFonts w:eastAsia="Calibri"/>
          <w:b/>
          <w:noProof/>
          <w:lang w:eastAsia="de-DE"/>
        </w:rPr>
        <w:t>3.1</w:t>
      </w:r>
      <w:r>
        <w:rPr>
          <w:rFonts w:eastAsia="Calibri"/>
          <w:b/>
          <w:noProof/>
          <w:lang w:eastAsia="de-DE"/>
        </w:rPr>
        <w:tab/>
        <w:t>Overall impact of DAB 6/2018 on the distribution of total own resources payments between Member States</w:t>
      </w:r>
      <w:bookmarkEnd w:id="29"/>
      <w:bookmarkEnd w:id="30"/>
      <w:bookmarkEnd w:id="31"/>
    </w:p>
    <w:p>
      <w:pPr>
        <w:autoSpaceDE w:val="0"/>
        <w:autoSpaceDN w:val="0"/>
        <w:adjustRightInd w:val="0"/>
        <w:spacing w:before="120" w:after="240"/>
        <w:jc w:val="both"/>
        <w:rPr>
          <w:noProof/>
        </w:rPr>
      </w:pPr>
      <w:r>
        <w:rPr>
          <w:noProof/>
        </w:rPr>
        <w:t>Following the 172</w:t>
      </w:r>
      <w:r>
        <w:rPr>
          <w:noProof/>
          <w:vertAlign w:val="superscript"/>
        </w:rPr>
        <w:t>nd</w:t>
      </w:r>
      <w:r>
        <w:rPr>
          <w:noProof/>
        </w:rPr>
        <w:t xml:space="preserve"> meeting of the Advisory Committee on Own Resources (ACOR) of 18 May 2018, two adjustments of the revenue side of the budget are required. The first of these adjustments is an update of the estimates for Traditional Own Resources (TOR), as well as of the Value Added Tax (VAT) and Gross National Income (GNI) resources, which are updated to take account of more recent economic forecasts. The second adjustment on the revenue side is an update of the UK correction. These two adjustments are presented in sections 3.2 and 3.3 below.</w:t>
      </w:r>
    </w:p>
    <w:p>
      <w:pPr>
        <w:rPr>
          <w:noProof/>
        </w:rPr>
      </w:pPr>
      <w:r>
        <w:rPr>
          <w:noProof/>
        </w:rPr>
        <w:br w:type="page"/>
      </w:r>
    </w:p>
    <w:p>
      <w:pPr>
        <w:autoSpaceDE w:val="0"/>
        <w:autoSpaceDN w:val="0"/>
        <w:adjustRightInd w:val="0"/>
        <w:spacing w:before="120" w:after="240"/>
        <w:jc w:val="both"/>
        <w:rPr>
          <w:noProof/>
        </w:rPr>
      </w:pPr>
      <w:r>
        <w:rPr>
          <w:noProof/>
        </w:rPr>
        <w:t>The overall impact of both the expenditure and the revenue adjustments of this DAB is shown in the summary table below. This table also shows the distribution of total own resources payments between Member States: as budgeted in the 2018 budget, as adjusted in amending budget (AB) 4/2018</w:t>
      </w:r>
      <w:r>
        <w:rPr>
          <w:rStyle w:val="FootnoteReference"/>
          <w:noProof/>
          <w:sz w:val="20"/>
          <w:szCs w:val="20"/>
          <w:lang w:eastAsia="de-DE"/>
        </w:rPr>
        <w:footnoteReference w:id="9"/>
      </w:r>
      <w:r>
        <w:rPr>
          <w:noProof/>
        </w:rPr>
        <w:t>, and finally in the present DAB.</w:t>
      </w:r>
    </w:p>
    <w:p>
      <w:pPr>
        <w:jc w:val="center"/>
        <w:rPr>
          <w:b/>
          <w:noProof/>
        </w:rPr>
      </w:pPr>
      <w:r>
        <w:rPr>
          <w:b/>
          <w:noProof/>
        </w:rPr>
        <w:t>Distribution of total own resources payments by Member States (in million EUR)</w:t>
      </w:r>
    </w:p>
    <w:p>
      <w:pPr>
        <w:rPr>
          <w:b/>
          <w:noProof/>
        </w:rPr>
      </w:pPr>
    </w:p>
    <w:tbl>
      <w:tblPr>
        <w:tblW w:w="5440" w:type="dxa"/>
        <w:jc w:val="center"/>
        <w:tblLook w:val="04A0" w:firstRow="1" w:lastRow="0" w:firstColumn="1" w:lastColumn="0" w:noHBand="0" w:noVBand="1"/>
      </w:tblPr>
      <w:tblGrid>
        <w:gridCol w:w="960"/>
        <w:gridCol w:w="1460"/>
        <w:gridCol w:w="1520"/>
        <w:gridCol w:w="1500"/>
      </w:tblGrid>
      <w:tr>
        <w:trPr>
          <w:trHeight w:val="375"/>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rPr>
            </w:pPr>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Budget 2018</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AB 4/2018</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bCs/>
                <w:noProof/>
                <w:color w:val="000000"/>
                <w:sz w:val="20"/>
              </w:rPr>
              <w:t>DAB 6/2018</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r>
      <w:tr>
        <w:trPr>
          <w:trHeight w:val="209"/>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BE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6 213,5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6 201,5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5 932,0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BG</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519,3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518,0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535,3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CZ</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1 787,1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1 782,3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1 941,3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DK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2 754,8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2 746,6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2 735,6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DE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29 560,3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29 468,7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29 579,3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232,3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231,7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241,5</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2 299,5 </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2 293,0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2 401,4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1 743,0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1 737,9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1 701,8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ES</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11 870,8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11 838,5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11 831,1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FR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21 933,3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21 869,0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22 182,5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HR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470,1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468,8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479,9</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16 586,9 </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16 539,8 </w:t>
            </w:r>
          </w:p>
        </w:tc>
        <w:tc>
          <w:tcPr>
            <w:tcW w:w="1500" w:type="dxa"/>
            <w:tcBorders>
              <w:top w:val="nil"/>
              <w:left w:val="nil"/>
              <w:bottom w:val="single" w:sz="4" w:space="0" w:color="auto"/>
              <w:right w:val="single" w:sz="4" w:space="0" w:color="auto"/>
            </w:tcBorders>
            <w:shd w:val="clear" w:color="auto" w:fill="FFFFFF" w:themeFill="background1"/>
            <w:noWrap/>
            <w:vAlign w:val="center"/>
          </w:tcPr>
          <w:p>
            <w:pPr>
              <w:jc w:val="right"/>
              <w:rPr>
                <w:noProof/>
                <w:sz w:val="20"/>
                <w:highlight w:val="yellow"/>
              </w:rPr>
            </w:pPr>
            <w:r>
              <w:rPr>
                <w:noProof/>
                <w:sz w:val="20"/>
                <w:szCs w:val="20"/>
              </w:rPr>
              <w:t>16 714,2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CY</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182,2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181,7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195,0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LV</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281,8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281,1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274,0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434,1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433,0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439,4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LU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363,0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361,9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363,6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HU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1,199,6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1 196,3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1 223,7</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103,6 </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103,3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110,6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NL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7 378,4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7 358,6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7 331,7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AT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3 228,2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3 218,2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3 353,1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PL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4 645,3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4 632,7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4 779,7</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1 824,8 </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1 819,6 </w:t>
            </w:r>
          </w:p>
        </w:tc>
        <w:tc>
          <w:tcPr>
            <w:tcW w:w="1500" w:type="dxa"/>
            <w:tcBorders>
              <w:top w:val="nil"/>
              <w:left w:val="nil"/>
              <w:bottom w:val="single" w:sz="4" w:space="0" w:color="auto"/>
              <w:right w:val="single" w:sz="4" w:space="0" w:color="auto"/>
            </w:tcBorders>
            <w:shd w:val="clear" w:color="auto" w:fill="FFFFFF" w:themeFill="background1"/>
            <w:noWrap/>
            <w:vAlign w:val="center"/>
          </w:tcPr>
          <w:p>
            <w:pPr>
              <w:jc w:val="right"/>
              <w:rPr>
                <w:noProof/>
                <w:sz w:val="20"/>
                <w:highlight w:val="yellow"/>
              </w:rPr>
            </w:pPr>
            <w:r>
              <w:rPr>
                <w:noProof/>
                <w:sz w:val="20"/>
                <w:szCs w:val="20"/>
              </w:rPr>
              <w:t>1 865,3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RO</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1 706,0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1 701,0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1 803,3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443,9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442,8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456,8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813,5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811,2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 829,9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FI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2 062,3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2 056,2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2 132,1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SE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4 042,0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4 028,5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4 013,0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bCs/>
                <w:noProof/>
                <w:color w:val="000000"/>
                <w:sz w:val="20"/>
              </w:rPr>
              <w:t>UK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18 152,6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18 086,7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szCs w:val="20"/>
              </w:rPr>
              <w:t>16 916,5</w:t>
            </w:r>
          </w:p>
        </w:tc>
      </w:tr>
      <w:tr>
        <w:trPr>
          <w:trHeight w:val="315"/>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rPr>
            </w:pPr>
            <w:r>
              <w:rPr>
                <w:b/>
                <w:bCs/>
                <w:noProof/>
                <w:color w:val="000000"/>
                <w:sz w:val="20"/>
              </w:rPr>
              <w:t>EU</w:t>
            </w:r>
          </w:p>
        </w:tc>
        <w:tc>
          <w:tcPr>
            <w:tcW w:w="146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rPr>
            </w:pPr>
            <w:r>
              <w:rPr>
                <w:b/>
                <w:bCs/>
                <w:noProof/>
                <w:sz w:val="20"/>
              </w:rPr>
              <w:t>142 832,3</w:t>
            </w:r>
          </w:p>
        </w:tc>
        <w:tc>
          <w:tcPr>
            <w:tcW w:w="152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rPr>
            </w:pPr>
            <w:r>
              <w:rPr>
                <w:b/>
                <w:bCs/>
                <w:noProof/>
                <w:sz w:val="20"/>
              </w:rPr>
              <w:t>142 408,4</w:t>
            </w:r>
          </w:p>
        </w:tc>
        <w:tc>
          <w:tcPr>
            <w:tcW w:w="1500" w:type="dxa"/>
            <w:tcBorders>
              <w:top w:val="single" w:sz="4" w:space="0" w:color="auto"/>
              <w:left w:val="nil"/>
              <w:bottom w:val="single" w:sz="8" w:space="0" w:color="auto"/>
              <w:right w:val="single" w:sz="4" w:space="0" w:color="auto"/>
            </w:tcBorders>
            <w:shd w:val="clear" w:color="auto" w:fill="FFFFFF" w:themeFill="background1"/>
            <w:vAlign w:val="center"/>
          </w:tcPr>
          <w:p>
            <w:pPr>
              <w:jc w:val="right"/>
              <w:rPr>
                <w:b/>
                <w:bCs/>
                <w:noProof/>
                <w:sz w:val="20"/>
                <w:highlight w:val="yellow"/>
              </w:rPr>
            </w:pPr>
            <w:r>
              <w:rPr>
                <w:b/>
                <w:bCs/>
                <w:noProof/>
                <w:sz w:val="20"/>
                <w:szCs w:val="20"/>
              </w:rPr>
              <w:t>142 363,7</w:t>
            </w:r>
          </w:p>
        </w:tc>
      </w:tr>
    </w:tbl>
    <w:p>
      <w:pPr>
        <w:rPr>
          <w:rFonts w:eastAsia="Calibri"/>
          <w:b/>
          <w:noProof/>
          <w:lang w:eastAsia="de-DE"/>
        </w:rPr>
      </w:pPr>
      <w:bookmarkStart w:id="32" w:name="_Toc462410059"/>
      <w:bookmarkStart w:id="33" w:name="_Toc525202233"/>
      <w:r>
        <w:rPr>
          <w:rFonts w:eastAsia="Calibri"/>
          <w:b/>
          <w:noProof/>
          <w:lang w:eastAsia="de-DE"/>
        </w:rPr>
        <w:br w:type="page"/>
      </w:r>
    </w:p>
    <w:p>
      <w:pPr>
        <w:keepNext/>
        <w:tabs>
          <w:tab w:val="left" w:pos="850"/>
        </w:tabs>
        <w:spacing w:before="360" w:after="120"/>
        <w:ind w:left="850" w:hanging="850"/>
        <w:jc w:val="both"/>
        <w:outlineLvl w:val="1"/>
        <w:rPr>
          <w:rFonts w:eastAsia="Calibri"/>
          <w:b/>
          <w:noProof/>
          <w:lang w:eastAsia="de-DE"/>
        </w:rPr>
      </w:pPr>
      <w:r>
        <w:rPr>
          <w:rFonts w:eastAsia="Calibri"/>
          <w:b/>
          <w:noProof/>
          <w:lang w:eastAsia="de-DE"/>
        </w:rPr>
        <w:t>3.2</w:t>
      </w:r>
      <w:r>
        <w:rPr>
          <w:rFonts w:eastAsia="Calibri"/>
          <w:b/>
          <w:noProof/>
          <w:lang w:eastAsia="de-DE"/>
        </w:rPr>
        <w:tab/>
        <w:t>Revision of the forecast of TOR, VAT and GNI bases</w:t>
      </w:r>
      <w:bookmarkEnd w:id="32"/>
      <w:bookmarkEnd w:id="33"/>
    </w:p>
    <w:p>
      <w:pPr>
        <w:spacing w:before="120" w:after="120"/>
        <w:jc w:val="both"/>
        <w:rPr>
          <w:noProof/>
        </w:rPr>
      </w:pPr>
      <w:r>
        <w:rPr>
          <w:noProof/>
        </w:rPr>
        <w:t xml:space="preserve">According to established practice, the Commission proposes to revise the financing of the budget on the basis of more recent economic forecasts, agreed with the Member States at the ACOR meeting. </w:t>
      </w:r>
    </w:p>
    <w:p>
      <w:pPr>
        <w:spacing w:before="120" w:after="120"/>
        <w:jc w:val="both"/>
        <w:rPr>
          <w:noProof/>
        </w:rPr>
      </w:pPr>
      <w:r>
        <w:rPr>
          <w:noProof/>
        </w:rPr>
        <w:t>The revision concerns the forecast of Traditional Own Resources (TOR) to be paid to the budget in 2018, as well as the forecast of the 2018 VAT and GNI bases. The forecast in the 2018 Budget was established at the 169</w:t>
      </w:r>
      <w:r>
        <w:rPr>
          <w:noProof/>
          <w:vertAlign w:val="superscript"/>
        </w:rPr>
        <w:t>th</w:t>
      </w:r>
      <w:r>
        <w:rPr>
          <w:noProof/>
        </w:rPr>
        <w:t xml:space="preserve"> ACOR meeting on 19 May 2017. The revision in the present DAB takes into account the agreed forecasts of the 172</w:t>
      </w:r>
      <w:r>
        <w:rPr>
          <w:noProof/>
          <w:vertAlign w:val="superscript"/>
        </w:rPr>
        <w:t>nd</w:t>
      </w:r>
      <w:r>
        <w:rPr>
          <w:noProof/>
        </w:rPr>
        <w:t xml:space="preserve"> ACOR meeting held on 18 May 2018. The use of an updated forecast of own resources improves the accuracy of the revenue forecasts and hence of the payments that Member States are asked to make to the EU budget during the budgetary year.</w:t>
      </w:r>
    </w:p>
    <w:p>
      <w:pPr>
        <w:spacing w:before="120" w:after="120"/>
        <w:jc w:val="both"/>
        <w:rPr>
          <w:noProof/>
        </w:rPr>
      </w:pPr>
      <w:r>
        <w:rPr>
          <w:noProof/>
        </w:rPr>
        <w:t>As compared to the forecast agreed in May 2017, the forecast for 2018 has been revised as follows:</w:t>
      </w:r>
    </w:p>
    <w:p>
      <w:pPr>
        <w:numPr>
          <w:ilvl w:val="0"/>
          <w:numId w:val="2"/>
        </w:numPr>
        <w:spacing w:before="120" w:after="240"/>
        <w:jc w:val="both"/>
        <w:rPr>
          <w:noProof/>
          <w:lang w:eastAsia="de-DE"/>
        </w:rPr>
      </w:pPr>
      <w:r>
        <w:rPr>
          <w:noProof/>
        </w:rPr>
        <w:t xml:space="preserve">Total 2018 net customs duties are now forecast at EUR 20 164,6 million (after deduction of 20 % in collection costs), which represents a decrease of 11,73 % relative to the forecast of EUR 22 844,0 million included in the Budget 2018. The Commission compared the results of the traditional ACOR forecasting methodology (based on the Spring 2018 macroeconomic forecast) with the results of the extrapolation based on the latest outturn data for collected customs duties (January – April 2018). Since the difference between the two methods was relatively significant, the traditional ACOR updated TOR forecast was fully adjusted to the extrapolation method forecast. </w:t>
      </w:r>
      <w:r>
        <w:rPr>
          <w:noProof/>
          <w:lang w:eastAsia="de-DE"/>
        </w:rPr>
        <w:t xml:space="preserve">However, </w:t>
      </w:r>
      <w:r>
        <w:rPr>
          <w:noProof/>
          <w:lang w:val="en" w:eastAsia="de-DE"/>
        </w:rPr>
        <w:t xml:space="preserve">taking also into account the cashed amounts after the ACOR meeting (May – August 2018), and based </w:t>
      </w:r>
      <w:r>
        <w:rPr>
          <w:noProof/>
          <w:lang w:eastAsia="de-DE"/>
        </w:rPr>
        <w:t xml:space="preserve">on the same extrapolation method, the Commission has now further updated its estimate for net </w:t>
      </w:r>
      <w:r>
        <w:rPr>
          <w:noProof/>
          <w:lang w:val="en" w:eastAsia="de-DE"/>
        </w:rPr>
        <w:t>customs duties in 2018.</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5"/>
        <w:gridCol w:w="2846"/>
        <w:gridCol w:w="2846"/>
      </w:tblGrid>
      <w:tr>
        <w:trPr>
          <w:trHeight w:val="625"/>
          <w:jc w:val="center"/>
        </w:trPr>
        <w:tc>
          <w:tcPr>
            <w:tcW w:w="2225" w:type="dxa"/>
            <w:shd w:val="clear" w:color="auto" w:fill="D9D9D9" w:themeFill="background1" w:themeFillShade="D9"/>
            <w:vAlign w:val="center"/>
          </w:tcPr>
          <w:p>
            <w:pPr>
              <w:spacing w:before="60" w:after="60"/>
              <w:jc w:val="center"/>
              <w:rPr>
                <w:b/>
                <w:noProof/>
                <w:sz w:val="20"/>
                <w:szCs w:val="20"/>
                <w:lang w:eastAsia="de-DE"/>
              </w:rPr>
            </w:pPr>
            <w:r>
              <w:rPr>
                <w:b/>
                <w:noProof/>
                <w:sz w:val="20"/>
                <w:szCs w:val="20"/>
                <w:lang w:eastAsia="de-DE"/>
              </w:rPr>
              <w:t>Forecast</w:t>
            </w:r>
          </w:p>
        </w:tc>
        <w:tc>
          <w:tcPr>
            <w:tcW w:w="2846" w:type="dxa"/>
            <w:shd w:val="clear" w:color="auto" w:fill="D9D9D9" w:themeFill="background1" w:themeFillShade="D9"/>
            <w:vAlign w:val="center"/>
          </w:tcPr>
          <w:p>
            <w:pPr>
              <w:spacing w:before="60" w:after="60"/>
              <w:jc w:val="center"/>
              <w:rPr>
                <w:b/>
                <w:noProof/>
                <w:sz w:val="20"/>
                <w:szCs w:val="20"/>
                <w:lang w:eastAsia="de-DE"/>
              </w:rPr>
            </w:pPr>
            <w:r>
              <w:rPr>
                <w:b/>
                <w:noProof/>
                <w:sz w:val="20"/>
                <w:szCs w:val="20"/>
                <w:lang w:eastAsia="de-DE"/>
              </w:rPr>
              <w:t>Amount in EUR million</w:t>
            </w:r>
          </w:p>
        </w:tc>
        <w:tc>
          <w:tcPr>
            <w:tcW w:w="2846" w:type="dxa"/>
            <w:shd w:val="clear" w:color="auto" w:fill="D9D9D9" w:themeFill="background1" w:themeFillShade="D9"/>
            <w:vAlign w:val="center"/>
          </w:tcPr>
          <w:p>
            <w:pPr>
              <w:spacing w:before="60" w:after="60"/>
              <w:jc w:val="center"/>
              <w:rPr>
                <w:b/>
                <w:noProof/>
                <w:sz w:val="20"/>
                <w:szCs w:val="20"/>
                <w:lang w:eastAsia="de-DE"/>
              </w:rPr>
            </w:pPr>
            <w:r>
              <w:rPr>
                <w:b/>
                <w:noProof/>
                <w:sz w:val="20"/>
                <w:szCs w:val="20"/>
                <w:lang w:eastAsia="de-DE"/>
              </w:rPr>
              <w:t>Difference with previous forecast</w:t>
            </w:r>
          </w:p>
        </w:tc>
      </w:tr>
      <w:tr>
        <w:trPr>
          <w:trHeight w:val="305"/>
          <w:jc w:val="center"/>
        </w:trPr>
        <w:tc>
          <w:tcPr>
            <w:tcW w:w="2225" w:type="dxa"/>
            <w:vAlign w:val="center"/>
          </w:tcPr>
          <w:p>
            <w:pPr>
              <w:spacing w:before="60" w:after="60"/>
              <w:jc w:val="center"/>
              <w:rPr>
                <w:noProof/>
                <w:sz w:val="20"/>
                <w:szCs w:val="20"/>
                <w:lang w:eastAsia="de-DE"/>
              </w:rPr>
            </w:pPr>
            <w:r>
              <w:rPr>
                <w:noProof/>
                <w:sz w:val="20"/>
                <w:szCs w:val="20"/>
                <w:lang w:eastAsia="de-DE"/>
              </w:rPr>
              <w:t>Budget 2018</w:t>
            </w:r>
          </w:p>
        </w:tc>
        <w:tc>
          <w:tcPr>
            <w:tcW w:w="2846" w:type="dxa"/>
            <w:vAlign w:val="center"/>
          </w:tcPr>
          <w:p>
            <w:pPr>
              <w:spacing w:before="60" w:after="60"/>
              <w:jc w:val="center"/>
              <w:rPr>
                <w:noProof/>
                <w:sz w:val="20"/>
                <w:szCs w:val="20"/>
                <w:lang w:eastAsia="de-DE"/>
              </w:rPr>
            </w:pPr>
            <w:r>
              <w:rPr>
                <w:noProof/>
                <w:sz w:val="20"/>
                <w:szCs w:val="20"/>
                <w:lang w:eastAsia="de-DE"/>
              </w:rPr>
              <w:t>22 844,0</w:t>
            </w:r>
          </w:p>
        </w:tc>
        <w:tc>
          <w:tcPr>
            <w:tcW w:w="2846" w:type="dxa"/>
            <w:vAlign w:val="center"/>
          </w:tcPr>
          <w:p>
            <w:pPr>
              <w:spacing w:before="60" w:after="60"/>
              <w:jc w:val="center"/>
              <w:rPr>
                <w:noProof/>
                <w:sz w:val="20"/>
                <w:szCs w:val="20"/>
                <w:lang w:eastAsia="de-DE"/>
              </w:rPr>
            </w:pPr>
          </w:p>
        </w:tc>
      </w:tr>
      <w:tr>
        <w:trPr>
          <w:jc w:val="center"/>
        </w:trPr>
        <w:tc>
          <w:tcPr>
            <w:tcW w:w="2225" w:type="dxa"/>
            <w:vAlign w:val="center"/>
          </w:tcPr>
          <w:p>
            <w:pPr>
              <w:spacing w:before="60" w:after="60"/>
              <w:jc w:val="center"/>
              <w:rPr>
                <w:noProof/>
                <w:sz w:val="20"/>
                <w:szCs w:val="20"/>
                <w:lang w:eastAsia="de-DE"/>
              </w:rPr>
            </w:pPr>
            <w:r>
              <w:rPr>
                <w:noProof/>
                <w:sz w:val="20"/>
                <w:szCs w:val="20"/>
                <w:lang w:eastAsia="de-DE"/>
              </w:rPr>
              <w:t>ACOR May 2018</w:t>
            </w:r>
          </w:p>
        </w:tc>
        <w:tc>
          <w:tcPr>
            <w:tcW w:w="2846" w:type="dxa"/>
            <w:vAlign w:val="center"/>
          </w:tcPr>
          <w:p>
            <w:pPr>
              <w:spacing w:before="60" w:after="60"/>
              <w:jc w:val="center"/>
              <w:rPr>
                <w:noProof/>
                <w:sz w:val="20"/>
                <w:szCs w:val="20"/>
                <w:lang w:eastAsia="de-DE"/>
              </w:rPr>
            </w:pPr>
            <w:r>
              <w:rPr>
                <w:noProof/>
                <w:sz w:val="20"/>
                <w:szCs w:val="20"/>
                <w:lang w:eastAsia="de-DE"/>
              </w:rPr>
              <w:t>20 501,6</w:t>
            </w:r>
          </w:p>
        </w:tc>
        <w:tc>
          <w:tcPr>
            <w:tcW w:w="2846" w:type="dxa"/>
            <w:vAlign w:val="center"/>
          </w:tcPr>
          <w:p>
            <w:pPr>
              <w:spacing w:before="60" w:after="60"/>
              <w:jc w:val="center"/>
              <w:rPr>
                <w:noProof/>
                <w:sz w:val="20"/>
                <w:szCs w:val="20"/>
                <w:lang w:eastAsia="de-DE"/>
              </w:rPr>
            </w:pPr>
            <w:r>
              <w:rPr>
                <w:noProof/>
                <w:sz w:val="20"/>
                <w:szCs w:val="20"/>
                <w:lang w:eastAsia="de-DE"/>
              </w:rPr>
              <w:t>-2 342,4</w:t>
            </w:r>
          </w:p>
        </w:tc>
      </w:tr>
      <w:tr>
        <w:trPr>
          <w:jc w:val="center"/>
        </w:trPr>
        <w:tc>
          <w:tcPr>
            <w:tcW w:w="2225" w:type="dxa"/>
            <w:vAlign w:val="center"/>
          </w:tcPr>
          <w:p>
            <w:pPr>
              <w:spacing w:before="60" w:after="60"/>
              <w:jc w:val="center"/>
              <w:rPr>
                <w:noProof/>
                <w:sz w:val="20"/>
                <w:szCs w:val="20"/>
                <w:lang w:eastAsia="de-DE"/>
              </w:rPr>
            </w:pPr>
            <w:r>
              <w:rPr>
                <w:noProof/>
                <w:sz w:val="20"/>
                <w:szCs w:val="20"/>
                <w:lang w:eastAsia="de-DE"/>
              </w:rPr>
              <w:t>DAB 6/2018</w:t>
            </w:r>
          </w:p>
        </w:tc>
        <w:tc>
          <w:tcPr>
            <w:tcW w:w="2846" w:type="dxa"/>
            <w:vAlign w:val="center"/>
          </w:tcPr>
          <w:p>
            <w:pPr>
              <w:spacing w:before="60" w:after="60"/>
              <w:jc w:val="center"/>
              <w:rPr>
                <w:noProof/>
                <w:sz w:val="20"/>
                <w:szCs w:val="20"/>
                <w:lang w:eastAsia="de-DE"/>
              </w:rPr>
            </w:pPr>
            <w:r>
              <w:rPr>
                <w:noProof/>
                <w:sz w:val="20"/>
                <w:szCs w:val="20"/>
                <w:lang w:eastAsia="de-DE"/>
              </w:rPr>
              <w:t>20 164,6</w:t>
            </w:r>
          </w:p>
        </w:tc>
        <w:tc>
          <w:tcPr>
            <w:tcW w:w="2846" w:type="dxa"/>
            <w:vAlign w:val="center"/>
          </w:tcPr>
          <w:p>
            <w:pPr>
              <w:spacing w:before="60" w:after="60"/>
              <w:jc w:val="center"/>
              <w:rPr>
                <w:noProof/>
                <w:sz w:val="20"/>
                <w:szCs w:val="20"/>
                <w:lang w:eastAsia="de-DE"/>
              </w:rPr>
            </w:pPr>
            <w:r>
              <w:rPr>
                <w:noProof/>
                <w:sz w:val="20"/>
                <w:szCs w:val="20"/>
                <w:lang w:eastAsia="de-DE"/>
              </w:rPr>
              <w:t>-337,0</w:t>
            </w:r>
          </w:p>
        </w:tc>
      </w:tr>
    </w:tbl>
    <w:p>
      <w:pPr>
        <w:numPr>
          <w:ilvl w:val="0"/>
          <w:numId w:val="2"/>
        </w:numPr>
        <w:spacing w:before="240" w:after="120"/>
        <w:jc w:val="both"/>
        <w:rPr>
          <w:noProof/>
          <w:lang w:eastAsia="de-DE"/>
        </w:rPr>
      </w:pPr>
      <w:r>
        <w:rPr>
          <w:noProof/>
          <w:lang w:val="en" w:eastAsia="de-DE"/>
        </w:rPr>
        <w:t xml:space="preserve">The Court of Justice’s </w:t>
      </w:r>
      <w:r>
        <w:rPr>
          <w:noProof/>
          <w:lang w:eastAsia="de-DE"/>
        </w:rPr>
        <w:t>judgment case C-585/15 (the “Raffinerie Tirlemontoise” case), annulled Regulations (EC) No 2267/2000 and (EC) No 1993/2001. Council Regulation (EU) 2018/264 of 19 February 2018 establishes the revised production levies and the coefficient for calculating the additional levy in the sugar sector for the 1999/2000 marketing year, and the production levies in the sugar sector for the 2000/2001 marketing year.</w:t>
      </w:r>
    </w:p>
    <w:p>
      <w:pPr>
        <w:spacing w:before="120" w:after="120"/>
        <w:ind w:left="283"/>
        <w:jc w:val="both"/>
        <w:rPr>
          <w:noProof/>
          <w:lang w:eastAsia="de-DE"/>
        </w:rPr>
      </w:pPr>
      <w:r>
        <w:rPr>
          <w:noProof/>
          <w:lang w:eastAsia="de-DE"/>
        </w:rPr>
        <w:t>As a result, an estimated amount of EUR 93,0 million (net amount) will be reimbursed to the Member States concerning overpaid sugar levies. This reimbursement is expected to be made by year-end. Therefore, the Commission proposes to budget the reimbursement under Article 110 (production levies related to the marketing year 2005/2006 and previous years) of the revenue side of the budget.</w:t>
      </w:r>
    </w:p>
    <w:p>
      <w:pPr>
        <w:numPr>
          <w:ilvl w:val="0"/>
          <w:numId w:val="2"/>
        </w:numPr>
        <w:spacing w:before="120" w:after="120"/>
        <w:jc w:val="both"/>
        <w:rPr>
          <w:noProof/>
          <w:lang w:eastAsia="de-DE"/>
        </w:rPr>
      </w:pPr>
      <w:r>
        <w:rPr>
          <w:noProof/>
          <w:lang w:eastAsia="de-DE"/>
        </w:rPr>
        <w:t xml:space="preserve">The total 2018 EU uncapped VAT base is now forecast at EUR 6 695 538,5 million, which represents a decrease of -0,53 % compared to the May 2017 forecast of EUR 6 731 265,9 million. The total 2018 EU </w:t>
      </w:r>
      <w:r>
        <w:rPr>
          <w:i/>
          <w:noProof/>
          <w:lang w:eastAsia="de-DE"/>
        </w:rPr>
        <w:t>capped</w:t>
      </w:r>
      <w:r>
        <w:rPr>
          <w:noProof/>
          <w:lang w:eastAsia="de-DE"/>
        </w:rPr>
        <w:t xml:space="preserve"> VAT base</w:t>
      </w:r>
      <w:r>
        <w:rPr>
          <w:noProof/>
          <w:vertAlign w:val="superscript"/>
          <w:lang w:eastAsia="de-DE"/>
        </w:rPr>
        <w:footnoteReference w:id="10"/>
      </w:r>
      <w:r>
        <w:rPr>
          <w:noProof/>
          <w:lang w:eastAsia="de-DE"/>
        </w:rPr>
        <w:t xml:space="preserve"> is forecast at EUR 6 676 686,2 million, which represents a decrease of -0,52% compared to the May 2017 forecast of EUR 6 </w:t>
      </w:r>
      <w:r>
        <w:rPr>
          <w:noProof/>
        </w:rPr>
        <w:t>711 411</w:t>
      </w:r>
      <w:r>
        <w:rPr>
          <w:noProof/>
          <w:lang w:eastAsia="de-DE"/>
        </w:rPr>
        <w:t>,1 million.</w:t>
      </w:r>
    </w:p>
    <w:p>
      <w:pPr>
        <w:numPr>
          <w:ilvl w:val="0"/>
          <w:numId w:val="2"/>
        </w:numPr>
        <w:spacing w:before="120" w:after="120"/>
        <w:jc w:val="both"/>
        <w:rPr>
          <w:noProof/>
          <w:lang w:eastAsia="de-DE"/>
        </w:rPr>
      </w:pPr>
      <w:r>
        <w:rPr>
          <w:noProof/>
          <w:lang w:eastAsia="de-DE"/>
        </w:rPr>
        <w:t>The total 2018 EU GNI base is forecast at EUR 15 871 050,2 million, which is an increase (+0,78 %) compared to the May 2017 forecast of EUR 15 747 670,0 million.</w:t>
      </w:r>
    </w:p>
    <w:p>
      <w:pPr>
        <w:spacing w:before="120" w:after="120"/>
        <w:jc w:val="both"/>
        <w:rPr>
          <w:noProof/>
        </w:rPr>
      </w:pPr>
      <w:r>
        <w:rPr>
          <w:noProof/>
        </w:rPr>
        <w:t>The exchange rates of 29 December 2017 have been used for converting the forecast VAT and GNI bases in national currency into euro (for the nine Member States that are not members of the euro area). This avoids distortions since it is this rate that is used to convert budgeted own resources payments from euro into national currency when the amounts are called in (as stipulated in Article 10a(1) of Council Regulation No 609/2014).</w:t>
      </w:r>
    </w:p>
    <w:p>
      <w:pPr>
        <w:spacing w:before="120" w:after="120"/>
        <w:jc w:val="both"/>
        <w:rPr>
          <w:noProof/>
        </w:rPr>
      </w:pPr>
      <w:r>
        <w:rPr>
          <w:noProof/>
        </w:rPr>
        <w:t>The revised forecasts of TOR, uncapped VAT bases and GNI bases for 2018, are set out in the following table:</w:t>
      </w:r>
    </w:p>
    <w:p>
      <w:pPr>
        <w:keepNext/>
        <w:jc w:val="center"/>
        <w:rPr>
          <w:b/>
          <w:i/>
          <w:noProof/>
        </w:rPr>
      </w:pPr>
      <w:r>
        <w:rPr>
          <w:b/>
          <w:noProof/>
        </w:rPr>
        <w:t>Revised forecasts of TOR, VAT and GNI bases for 2018</w:t>
      </w:r>
      <w:r>
        <w:rPr>
          <w:b/>
          <w:i/>
          <w:noProof/>
        </w:rPr>
        <w:t xml:space="preserve"> (in million EUR)</w:t>
      </w:r>
    </w:p>
    <w:tbl>
      <w:tblPr>
        <w:tblW w:w="0" w:type="auto"/>
        <w:jc w:val="center"/>
        <w:tblLayout w:type="fixed"/>
        <w:tblLook w:val="0000" w:firstRow="0" w:lastRow="0" w:firstColumn="0" w:lastColumn="0" w:noHBand="0" w:noVBand="0"/>
      </w:tblPr>
      <w:tblGrid>
        <w:gridCol w:w="829"/>
        <w:gridCol w:w="1404"/>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34"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Sugar</w:t>
            </w:r>
          </w:p>
          <w:p>
            <w:pPr>
              <w:keepNext/>
              <w:autoSpaceDE w:val="0"/>
              <w:autoSpaceDN w:val="0"/>
              <w:adjustRightInd w:val="0"/>
              <w:jc w:val="center"/>
              <w:rPr>
                <w:b/>
                <w:bCs/>
                <w:noProof/>
                <w:color w:val="000000"/>
                <w:sz w:val="20"/>
              </w:rPr>
            </w:pPr>
            <w:r>
              <w:rPr>
                <w:b/>
                <w:bCs/>
                <w:noProof/>
                <w:color w:val="000000"/>
                <w:sz w:val="20"/>
              </w:rPr>
              <w:t>levies</w:t>
            </w:r>
          </w:p>
          <w:p>
            <w:pPr>
              <w:keepNext/>
              <w:autoSpaceDE w:val="0"/>
              <w:autoSpaceDN w:val="0"/>
              <w:adjustRightInd w:val="0"/>
              <w:jc w:val="center"/>
              <w:rPr>
                <w:b/>
                <w:bCs/>
                <w:noProof/>
                <w:color w:val="000000"/>
                <w:sz w:val="20"/>
              </w:rPr>
            </w:pPr>
            <w:r>
              <w:rPr>
                <w:b/>
                <w:bCs/>
                <w:i/>
                <w:iCs/>
                <w:noProof/>
                <w:color w:val="000000"/>
                <w:sz w:val="20"/>
              </w:rPr>
              <w:t xml:space="preserve">(80%)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Customs duties</w:t>
            </w:r>
          </w:p>
          <w:p>
            <w:pPr>
              <w:keepNext/>
              <w:autoSpaceDE w:val="0"/>
              <w:autoSpaceDN w:val="0"/>
              <w:adjustRightInd w:val="0"/>
              <w:jc w:val="center"/>
              <w:rPr>
                <w:b/>
                <w:bCs/>
                <w:i/>
                <w:iCs/>
                <w:noProof/>
                <w:color w:val="000000"/>
                <w:sz w:val="20"/>
              </w:rPr>
            </w:pPr>
            <w:r>
              <w:rPr>
                <w:b/>
                <w:bCs/>
                <w:i/>
                <w:iCs/>
                <w:noProof/>
                <w:color w:val="000000"/>
                <w:sz w:val="20"/>
              </w:rPr>
              <w:t>(80%)</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Uncapped VAT bases</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GNI bases</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bCs/>
                <w:i/>
                <w:iCs/>
                <w:noProof/>
                <w:color w:val="000000"/>
                <w:sz w:val="20"/>
              </w:rPr>
              <w:t>Capped</w:t>
            </w:r>
          </w:p>
          <w:p>
            <w:pPr>
              <w:keepNext/>
              <w:autoSpaceDE w:val="0"/>
              <w:autoSpaceDN w:val="0"/>
              <w:adjustRightInd w:val="0"/>
              <w:jc w:val="center"/>
              <w:rPr>
                <w:b/>
                <w:bCs/>
                <w:i/>
                <w:iCs/>
                <w:noProof/>
                <w:color w:val="000000"/>
                <w:sz w:val="20"/>
              </w:rPr>
            </w:pPr>
            <w:r>
              <w:rPr>
                <w:b/>
                <w:bCs/>
                <w:i/>
                <w:iCs/>
                <w:noProof/>
                <w:color w:val="000000"/>
                <w:sz w:val="20"/>
              </w:rPr>
              <w:t>VAT bases</w:t>
            </w:r>
            <w:r>
              <w:rPr>
                <w:b/>
                <w:bCs/>
                <w:i/>
                <w:iCs/>
                <w:noProof/>
                <w:color w:val="000000"/>
                <w:sz w:val="20"/>
                <w:vertAlign w:val="superscript"/>
              </w:rPr>
              <w:footnoteReference w:id="11"/>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- 5,7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2 090,5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192 420,2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452 469,9</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192 420,2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75,2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25 520,9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52 909,9</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25 520,9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260,9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83 389,2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197 318,5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83 389,2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336,1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113 888,9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304 009,8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113 888,9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- 28,4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4 036,0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1 394 449,9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3 459 748,4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1 394 449,9</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sz w:val="20"/>
              </w:rPr>
              <w:t xml:space="preserve"> 30,0</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12 105,4</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24 232,9</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12 105,4</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282,7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86 665,6</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255 025,2</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bottom"/>
          </w:tcPr>
          <w:p>
            <w:pPr>
              <w:jc w:val="right"/>
              <w:rPr>
                <w:noProof/>
                <w:color w:val="000000"/>
                <w:sz w:val="20"/>
              </w:rPr>
            </w:pPr>
            <w:r>
              <w:rPr>
                <w:noProof/>
                <w:color w:val="000000"/>
                <w:sz w:val="20"/>
              </w:rPr>
              <w:t>86 665,6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158,0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72 214,4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183 573,7</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72 214,4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1 518,6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520 432,1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1 210 798,4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520 432,1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- 26,9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1 623,0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1 053 145,8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2 409 104,3</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1 053 145,8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41,3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30 897,0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50 176,7</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25 088,4</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- 9,2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1 821,2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686 348,0</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1 775 333,9</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rPr>
              <w:t>686 348,0</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21,4</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13 076,7</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19 832,7</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9 916,4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34,1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11 487,9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28 465,5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11 487,9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78,8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17 514,0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42 597,6</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17 514,0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27 693,1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39 171,3</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19 585,7</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 xml:space="preserve"> 145,6</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53 323,9</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126 897,4</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rPr>
              <w:t>53 323,9</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11,7</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7 430,8</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11 309,9</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5 655,0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- 6,5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2 437,3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311 915,0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764 707,6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311 915,0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215,3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171 017,2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387 050,1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171 017,2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648,8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206 768,9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485 536,5</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206 768,9</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155,1</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97 465,1</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196 157,5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97 465,1</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160,2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73 124,7</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196 940,5</w:t>
            </w:r>
          </w:p>
        </w:tc>
        <w:tc>
          <w:tcPr>
            <w:tcW w:w="1404" w:type="dxa"/>
            <w:tcBorders>
              <w:top w:val="dotted" w:sz="6" w:space="0" w:color="auto"/>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73 124,7</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65,8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20 783,1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45 497,7</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bottom"/>
          </w:tcPr>
          <w:p>
            <w:pPr>
              <w:jc w:val="right"/>
              <w:rPr>
                <w:noProof/>
                <w:color w:val="000000"/>
                <w:sz w:val="20"/>
              </w:rPr>
            </w:pPr>
            <w:r>
              <w:rPr>
                <w:noProof/>
                <w:color w:val="000000"/>
                <w:sz w:val="20"/>
              </w:rPr>
              <w:t>20 783,1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91,3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30 752,0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89 215,0</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30 752,0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138,1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98 780,8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234 697,1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98 780,8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519,3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214 417,0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497 268,8</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214 417,0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- 4,4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3 146,8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1 068 510,9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2 331 003,4</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1 068 510,9</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EU-28</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sz w:val="20"/>
              </w:rPr>
              <w:t>- 93,0</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sz w:val="20"/>
              </w:rPr>
              <w:t>20 164,6</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rPr>
              <w:t>6 695 538,5</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bCs/>
                <w:noProof/>
                <w:color w:val="000000"/>
                <w:sz w:val="20"/>
              </w:rPr>
              <w:t>15 871 050,2</w:t>
            </w:r>
          </w:p>
        </w:tc>
        <w:tc>
          <w:tcPr>
            <w:tcW w:w="1404" w:type="dxa"/>
            <w:tcBorders>
              <w:top w:val="single" w:sz="12" w:space="0" w:color="auto"/>
              <w:left w:val="single" w:sz="2" w:space="0" w:color="000000"/>
              <w:bottom w:val="single" w:sz="12" w:space="0" w:color="auto"/>
              <w:right w:val="single" w:sz="12" w:space="0" w:color="auto"/>
            </w:tcBorders>
            <w:vAlign w:val="bottom"/>
          </w:tcPr>
          <w:p>
            <w:pPr>
              <w:jc w:val="right"/>
              <w:rPr>
                <w:b/>
                <w:bCs/>
                <w:noProof/>
                <w:color w:val="000000"/>
                <w:sz w:val="20"/>
              </w:rPr>
            </w:pPr>
            <w:r>
              <w:rPr>
                <w:b/>
                <w:bCs/>
                <w:noProof/>
                <w:color w:val="000000"/>
                <w:sz w:val="20"/>
              </w:rPr>
              <w:t>6 676 686,2</w:t>
            </w:r>
          </w:p>
        </w:tc>
      </w:tr>
    </w:tbl>
    <w:p>
      <w:pPr>
        <w:rPr>
          <w:rFonts w:eastAsia="Calibri"/>
          <w:b/>
          <w:noProof/>
          <w:lang w:eastAsia="de-DE"/>
        </w:rPr>
      </w:pPr>
      <w:bookmarkStart w:id="35" w:name="_Toc421699312"/>
      <w:bookmarkStart w:id="36" w:name="_Toc461544621"/>
      <w:bookmarkStart w:id="37" w:name="_Toc462410060"/>
      <w:bookmarkStart w:id="38" w:name="_Toc525202234"/>
      <w:bookmarkStart w:id="39" w:name="_Toc390436796"/>
      <w:bookmarkStart w:id="40" w:name="_Toc420941901"/>
      <w:bookmarkStart w:id="41" w:name="_Toc294673193"/>
      <w:bookmarkStart w:id="42" w:name="_Toc357005413"/>
      <w:bookmarkStart w:id="43" w:name="_Toc358885561"/>
      <w:bookmarkEnd w:id="34"/>
      <w:r>
        <w:rPr>
          <w:rFonts w:eastAsia="Calibri"/>
          <w:b/>
          <w:noProof/>
          <w:lang w:eastAsia="de-DE"/>
        </w:rPr>
        <w:br w:type="page"/>
      </w:r>
    </w:p>
    <w:p>
      <w:pPr>
        <w:keepNext/>
        <w:tabs>
          <w:tab w:val="left" w:pos="850"/>
        </w:tabs>
        <w:spacing w:before="360" w:after="120"/>
        <w:ind w:left="850" w:hanging="850"/>
        <w:jc w:val="both"/>
        <w:outlineLvl w:val="1"/>
        <w:rPr>
          <w:rFonts w:eastAsia="Calibri"/>
          <w:b/>
          <w:noProof/>
          <w:lang w:eastAsia="de-DE"/>
        </w:rPr>
      </w:pPr>
      <w:r>
        <w:rPr>
          <w:rFonts w:eastAsia="Calibri"/>
          <w:b/>
          <w:noProof/>
          <w:lang w:eastAsia="de-DE"/>
        </w:rPr>
        <w:t>3.3</w:t>
      </w:r>
      <w:r>
        <w:rPr>
          <w:rFonts w:eastAsia="Calibri"/>
          <w:b/>
          <w:noProof/>
          <w:lang w:eastAsia="de-DE"/>
        </w:rPr>
        <w:tab/>
        <w:t>2017 and 2014 UK correction</w:t>
      </w:r>
      <w:bookmarkEnd w:id="35"/>
      <w:bookmarkEnd w:id="36"/>
      <w:bookmarkEnd w:id="37"/>
      <w:bookmarkEnd w:id="38"/>
    </w:p>
    <w:p>
      <w:pPr>
        <w:tabs>
          <w:tab w:val="left" w:pos="850"/>
        </w:tabs>
        <w:rPr>
          <w:bCs/>
          <w:i/>
          <w:noProof/>
        </w:rPr>
      </w:pPr>
      <w:bookmarkStart w:id="44" w:name="_Toc294673194"/>
      <w:bookmarkStart w:id="45" w:name="_Toc357005414"/>
      <w:bookmarkStart w:id="46" w:name="_Toc390436797"/>
      <w:bookmarkStart w:id="47" w:name="_Toc420941902"/>
      <w:bookmarkStart w:id="48" w:name="_Toc461544622"/>
      <w:bookmarkEnd w:id="39"/>
      <w:bookmarkEnd w:id="40"/>
      <w:r>
        <w:rPr>
          <w:bCs/>
          <w:i/>
          <w:noProof/>
        </w:rPr>
        <w:t>3.3.1</w:t>
      </w:r>
      <w:r>
        <w:rPr>
          <w:bCs/>
          <w:i/>
          <w:noProof/>
        </w:rPr>
        <w:tab/>
        <w:t>Introduction</w:t>
      </w:r>
      <w:bookmarkEnd w:id="44"/>
      <w:bookmarkEnd w:id="45"/>
      <w:bookmarkEnd w:id="46"/>
      <w:bookmarkEnd w:id="47"/>
      <w:bookmarkEnd w:id="48"/>
    </w:p>
    <w:p>
      <w:pPr>
        <w:spacing w:before="120" w:after="120"/>
        <w:jc w:val="both"/>
        <w:rPr>
          <w:noProof/>
        </w:rPr>
      </w:pPr>
      <w:r>
        <w:rPr>
          <w:noProof/>
        </w:rPr>
        <w:t>The correction of budgetary imbalances in favour of the United Kingdom (UK correction), to be budgeted in the present DAB, concerns two years: 2014 and 2017.</w:t>
      </w:r>
    </w:p>
    <w:p>
      <w:pPr>
        <w:jc w:val="both"/>
        <w:rPr>
          <w:noProof/>
          <w:lang w:eastAsia="de-DE"/>
        </w:rPr>
      </w:pPr>
      <w:r>
        <w:rPr>
          <w:noProof/>
        </w:rPr>
        <w:t>The 2014 and 2017 UK correction is subject to the rules of Council Decision 2014/335/EU, Euratom on the system of own resources</w:t>
      </w:r>
      <w:r>
        <w:rPr>
          <w:rStyle w:val="FootnoteReference"/>
          <w:noProof/>
        </w:rPr>
        <w:footnoteReference w:id="12"/>
      </w:r>
      <w:r>
        <w:rPr>
          <w:noProof/>
        </w:rPr>
        <w:t xml:space="preserve"> of the European Union and its accompanying working document, the </w:t>
      </w:r>
      <w:r>
        <w:rPr>
          <w:i/>
          <w:noProof/>
        </w:rPr>
        <w:t>2014 Calculation Method</w:t>
      </w:r>
      <w:r>
        <w:rPr>
          <w:noProof/>
          <w:vertAlign w:val="superscript"/>
        </w:rPr>
        <w:footnoteReference w:id="13"/>
      </w:r>
      <w:r>
        <w:rPr>
          <w:noProof/>
        </w:rPr>
        <w:t xml:space="preserve">. Pursuant to the rules of this Decision, the net TOR "windfall gains" of the UK resulting from the increase since 2001 in the percentage of TOR retained by Member States as a compensation for their collection costs are neutralised and the allocated expenditure is adjusted by </w:t>
      </w:r>
      <w:r>
        <w:rPr>
          <w:noProof/>
          <w:lang w:eastAsia="de-DE"/>
        </w:rPr>
        <w:t xml:space="preserve">the total allocated expenditure in Member States that have acceded to the EU after 30 April 2004, except for agricultural direct payments and market-related expenditure as well as that part of the rural development expenditure originating from the EAGGF, Guarantee section. </w:t>
      </w:r>
    </w:p>
    <w:p>
      <w:pPr>
        <w:spacing w:before="120" w:after="120"/>
        <w:jc w:val="both"/>
        <w:rPr>
          <w:noProof/>
        </w:rPr>
      </w:pPr>
      <w:r>
        <w:rPr>
          <w:noProof/>
        </w:rPr>
        <w:t>Furthermore, the share of Austria, Germany, the Netherlands and Sweden in the financing of the UK correction is reduced to one fourth of their normal share for both, 2014 and 2017 corrections. The reduction is financed by the other Member States, excluding the UK.</w:t>
      </w:r>
    </w:p>
    <w:p>
      <w:pPr>
        <w:spacing w:before="120" w:after="120"/>
        <w:jc w:val="both"/>
        <w:rPr>
          <w:noProof/>
        </w:rPr>
      </w:pPr>
      <w:r>
        <w:rPr>
          <w:noProof/>
        </w:rPr>
        <w:t xml:space="preserve">In the present DAB, the calculation and financing of the </w:t>
      </w:r>
      <w:r>
        <w:rPr>
          <w:i/>
          <w:noProof/>
        </w:rPr>
        <w:t>1</w:t>
      </w:r>
      <w:r>
        <w:rPr>
          <w:i/>
          <w:noProof/>
          <w:vertAlign w:val="superscript"/>
        </w:rPr>
        <w:t>st</w:t>
      </w:r>
      <w:r>
        <w:rPr>
          <w:i/>
          <w:noProof/>
        </w:rPr>
        <w:t xml:space="preserve"> update</w:t>
      </w:r>
      <w:r>
        <w:rPr>
          <w:noProof/>
        </w:rPr>
        <w:t xml:space="preserve"> </w:t>
      </w:r>
      <w:r>
        <w:rPr>
          <w:i/>
          <w:noProof/>
        </w:rPr>
        <w:t>of the 2017</w:t>
      </w:r>
      <w:r>
        <w:rPr>
          <w:noProof/>
        </w:rPr>
        <w:t xml:space="preserve"> UK correction and the </w:t>
      </w:r>
      <w:r>
        <w:rPr>
          <w:i/>
          <w:noProof/>
        </w:rPr>
        <w:t>definitive amount</w:t>
      </w:r>
      <w:r>
        <w:rPr>
          <w:noProof/>
        </w:rPr>
        <w:t xml:space="preserve"> </w:t>
      </w:r>
      <w:r>
        <w:rPr>
          <w:i/>
          <w:noProof/>
        </w:rPr>
        <w:t>of the 2014</w:t>
      </w:r>
      <w:r>
        <w:rPr>
          <w:noProof/>
        </w:rPr>
        <w:t xml:space="preserve"> UK correction are entered.</w:t>
      </w:r>
    </w:p>
    <w:p>
      <w:pPr>
        <w:spacing w:before="120" w:after="120"/>
        <w:jc w:val="both"/>
        <w:rPr>
          <w:noProof/>
        </w:rPr>
      </w:pPr>
      <w:r>
        <w:rPr>
          <w:noProof/>
        </w:rPr>
        <w:t xml:space="preserve">The difference between the </w:t>
      </w:r>
      <w:r>
        <w:rPr>
          <w:i/>
          <w:noProof/>
        </w:rPr>
        <w:t>definitive amount</w:t>
      </w:r>
      <w:r>
        <w:rPr>
          <w:noProof/>
        </w:rPr>
        <w:t xml:space="preserve"> </w:t>
      </w:r>
      <w:r>
        <w:rPr>
          <w:i/>
          <w:iCs/>
          <w:noProof/>
        </w:rPr>
        <w:t>of the 2014 UK correction</w:t>
      </w:r>
      <w:r>
        <w:rPr>
          <w:noProof/>
        </w:rPr>
        <w:t xml:space="preserve"> and the amount previously budgeted (the 2</w:t>
      </w:r>
      <w:r>
        <w:rPr>
          <w:i/>
          <w:noProof/>
          <w:vertAlign w:val="superscript"/>
        </w:rPr>
        <w:t>nd</w:t>
      </w:r>
      <w:r>
        <w:rPr>
          <w:noProof/>
        </w:rPr>
        <w:t xml:space="preserve"> </w:t>
      </w:r>
      <w:r>
        <w:rPr>
          <w:i/>
          <w:noProof/>
        </w:rPr>
        <w:t>update</w:t>
      </w:r>
      <w:r>
        <w:rPr>
          <w:noProof/>
        </w:rPr>
        <w:t xml:space="preserve"> entered in AB 5/2016) is entered in chapter 35 (Result of the definitive calculation of the financing of the correction of budgetary imbalances for the United Kingdom) of the present DAB.</w:t>
      </w:r>
    </w:p>
    <w:p>
      <w:pPr>
        <w:spacing w:before="120" w:after="120"/>
        <w:jc w:val="both"/>
        <w:rPr>
          <w:noProof/>
        </w:rPr>
      </w:pPr>
      <w:r>
        <w:rPr>
          <w:noProof/>
        </w:rPr>
        <w:t xml:space="preserve">The </w:t>
      </w:r>
      <w:r>
        <w:rPr>
          <w:i/>
          <w:noProof/>
        </w:rPr>
        <w:t>1st update</w:t>
      </w:r>
      <w:r>
        <w:rPr>
          <w:noProof/>
        </w:rPr>
        <w:t xml:space="preserve"> </w:t>
      </w:r>
      <w:r>
        <w:rPr>
          <w:i/>
          <w:noProof/>
        </w:rPr>
        <w:t>amount</w:t>
      </w:r>
      <w:r>
        <w:rPr>
          <w:noProof/>
        </w:rPr>
        <w:t xml:space="preserve"> </w:t>
      </w:r>
      <w:r>
        <w:rPr>
          <w:i/>
          <w:iCs/>
          <w:noProof/>
        </w:rPr>
        <w:t>of the 2017 UK correction</w:t>
      </w:r>
      <w:r>
        <w:rPr>
          <w:noProof/>
        </w:rPr>
        <w:t xml:space="preserve"> is entered in chapter 15 (Correction of budgetary imbalances) of the present DAB, replacing the previously budgeted </w:t>
      </w:r>
      <w:r>
        <w:rPr>
          <w:i/>
          <w:noProof/>
        </w:rPr>
        <w:t>provisional amount</w:t>
      </w:r>
      <w:r>
        <w:rPr>
          <w:noProof/>
        </w:rPr>
        <w:t>.</w:t>
      </w:r>
    </w:p>
    <w:p>
      <w:pPr>
        <w:tabs>
          <w:tab w:val="left" w:pos="850"/>
        </w:tabs>
        <w:spacing w:before="120" w:after="120"/>
        <w:rPr>
          <w:bCs/>
          <w:i/>
          <w:noProof/>
        </w:rPr>
      </w:pPr>
      <w:bookmarkStart w:id="49" w:name="_Toc231879704"/>
      <w:bookmarkStart w:id="50" w:name="_Toc293417236"/>
      <w:bookmarkStart w:id="51" w:name="_Toc294673195"/>
      <w:bookmarkStart w:id="52" w:name="_Toc357005415"/>
      <w:bookmarkStart w:id="53" w:name="_Toc390436798"/>
      <w:bookmarkStart w:id="54" w:name="_Toc420941903"/>
      <w:bookmarkStart w:id="55" w:name="_Toc461544623"/>
      <w:r>
        <w:rPr>
          <w:bCs/>
          <w:i/>
          <w:noProof/>
        </w:rPr>
        <w:t>3.3.2</w:t>
      </w:r>
      <w:r>
        <w:rPr>
          <w:bCs/>
          <w:i/>
          <w:noProof/>
        </w:rPr>
        <w:tab/>
        <w:t>Calculation of the corrections</w:t>
      </w:r>
      <w:bookmarkEnd w:id="49"/>
      <w:bookmarkEnd w:id="50"/>
      <w:bookmarkEnd w:id="51"/>
      <w:bookmarkEnd w:id="52"/>
      <w:bookmarkEnd w:id="53"/>
      <w:bookmarkEnd w:id="54"/>
      <w:bookmarkEnd w:id="55"/>
    </w:p>
    <w:p>
      <w:pPr>
        <w:spacing w:before="120" w:after="120"/>
        <w:jc w:val="both"/>
        <w:rPr>
          <w:noProof/>
        </w:rPr>
      </w:pPr>
      <w:r>
        <w:rPr>
          <w:noProof/>
        </w:rPr>
        <w:t xml:space="preserve">The update of the corrections for 2014 and 2017 stems mainly from the update of the VAT and GNI bases as communicated by Member States in autumn 2017. In addition the update of the correction for 2017 also takes into account the allocated expenditure of 2017. </w:t>
      </w:r>
    </w:p>
    <w:p>
      <w:pPr>
        <w:tabs>
          <w:tab w:val="left" w:pos="851"/>
        </w:tabs>
        <w:spacing w:before="120" w:after="120"/>
        <w:rPr>
          <w:bCs/>
          <w:noProof/>
          <w:szCs w:val="28"/>
          <w:u w:val="single"/>
          <w:lang w:eastAsia="de-DE"/>
        </w:rPr>
      </w:pPr>
      <w:bookmarkStart w:id="56" w:name="_Toc231879705"/>
      <w:r>
        <w:rPr>
          <w:bCs/>
          <w:noProof/>
          <w:szCs w:val="28"/>
          <w:u w:val="single"/>
          <w:lang w:eastAsia="de-DE"/>
        </w:rPr>
        <w:t>3.3.2.1</w:t>
      </w:r>
      <w:r>
        <w:rPr>
          <w:bCs/>
          <w:noProof/>
          <w:szCs w:val="28"/>
          <w:u w:val="single"/>
          <w:lang w:eastAsia="de-DE"/>
        </w:rPr>
        <w:tab/>
        <w:t>2017 UK correction</w:t>
      </w:r>
    </w:p>
    <w:bookmarkEnd w:id="56"/>
    <w:p>
      <w:pPr>
        <w:spacing w:before="120" w:after="120"/>
        <w:jc w:val="both"/>
        <w:rPr>
          <w:noProof/>
        </w:rPr>
      </w:pPr>
      <w:r>
        <w:rPr>
          <w:noProof/>
        </w:rPr>
        <w:t xml:space="preserve">The following table summarises the changes between the </w:t>
      </w:r>
      <w:r>
        <w:rPr>
          <w:i/>
          <w:noProof/>
        </w:rPr>
        <w:t>provisional amount</w:t>
      </w:r>
      <w:r>
        <w:rPr>
          <w:noProof/>
        </w:rPr>
        <w:t xml:space="preserve"> of the 2017 UK correction entered in Budget 2018 and the </w:t>
      </w:r>
      <w:r>
        <w:rPr>
          <w:i/>
          <w:noProof/>
        </w:rPr>
        <w:t>1</w:t>
      </w:r>
      <w:r>
        <w:rPr>
          <w:i/>
          <w:noProof/>
          <w:vertAlign w:val="superscript"/>
        </w:rPr>
        <w:t>st</w:t>
      </w:r>
      <w:r>
        <w:rPr>
          <w:i/>
          <w:noProof/>
        </w:rPr>
        <w:t xml:space="preserve"> update</w:t>
      </w:r>
      <w:r>
        <w:rPr>
          <w:noProof/>
        </w:rPr>
        <w:t xml:space="preserve"> of the 2017 UK correction to be entered in the present DAB.</w:t>
      </w:r>
    </w:p>
    <w:p>
      <w:pPr>
        <w:rPr>
          <w:noProof/>
        </w:rPr>
      </w:pPr>
      <w:r>
        <w:rPr>
          <w:noProof/>
        </w:rPr>
        <w:br w:type="page"/>
      </w:r>
    </w:p>
    <w:p>
      <w:pPr>
        <w:spacing w:before="120" w:after="120"/>
        <w:jc w:val="both"/>
        <w:rPr>
          <w:noProof/>
        </w:rPr>
      </w:pP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2017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2017 UK correction</w:t>
            </w:r>
          </w:p>
          <w:p>
            <w:pPr>
              <w:autoSpaceDE w:val="0"/>
              <w:autoSpaceDN w:val="0"/>
              <w:adjustRightInd w:val="0"/>
              <w:jc w:val="center"/>
              <w:rPr>
                <w:noProof/>
                <w:color w:val="000000"/>
                <w:sz w:val="20"/>
              </w:rPr>
            </w:pPr>
            <w:r>
              <w:rPr>
                <w:b/>
                <w:noProof/>
                <w:color w:val="000000"/>
                <w:sz w:val="20"/>
              </w:rPr>
              <w:t>PROVISIONAL</w:t>
            </w:r>
          </w:p>
          <w:p>
            <w:pPr>
              <w:autoSpaceDE w:val="0"/>
              <w:autoSpaceDN w:val="0"/>
              <w:adjustRightInd w:val="0"/>
              <w:jc w:val="center"/>
              <w:rPr>
                <w:b/>
                <w:noProof/>
                <w:color w:val="000000"/>
                <w:sz w:val="20"/>
              </w:rPr>
            </w:pPr>
            <w:r>
              <w:rPr>
                <w:b/>
                <w:noProof/>
                <w:color w:val="000000"/>
                <w:sz w:val="20"/>
              </w:rPr>
              <w:t>Budget 2018</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2017 UK correction</w:t>
            </w:r>
          </w:p>
          <w:p>
            <w:pPr>
              <w:autoSpaceDE w:val="0"/>
              <w:autoSpaceDN w:val="0"/>
              <w:adjustRightInd w:val="0"/>
              <w:jc w:val="center"/>
              <w:rPr>
                <w:b/>
                <w:bCs/>
                <w:noProof/>
                <w:color w:val="000000"/>
                <w:sz w:val="20"/>
              </w:rPr>
            </w:pPr>
            <w:r>
              <w:rPr>
                <w:b/>
                <w:noProof/>
                <w:color w:val="000000"/>
                <w:sz w:val="20"/>
              </w:rPr>
              <w:t>1st UPDATE</w:t>
            </w:r>
          </w:p>
          <w:p>
            <w:pPr>
              <w:autoSpaceDE w:val="0"/>
              <w:autoSpaceDN w:val="0"/>
              <w:adjustRightInd w:val="0"/>
              <w:jc w:val="center"/>
              <w:rPr>
                <w:b/>
                <w:noProof/>
                <w:color w:val="000000"/>
                <w:sz w:val="20"/>
              </w:rPr>
            </w:pPr>
            <w:r>
              <w:rPr>
                <w:b/>
                <w:noProof/>
                <w:color w:val="000000"/>
                <w:sz w:val="20"/>
              </w:rPr>
              <w:t xml:space="preserve">DAB </w:t>
            </w:r>
            <w:r>
              <w:rPr>
                <w:b/>
                <w:noProof/>
                <w:sz w:val="20"/>
              </w:rPr>
              <w:t>6</w:t>
            </w:r>
            <w:r>
              <w:rPr>
                <w:b/>
                <w:noProof/>
                <w:color w:val="000000"/>
                <w:sz w:val="20"/>
              </w:rPr>
              <w:t>/2018</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Difference</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17,1194%</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16,2266%</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-0,8928%</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7,4429%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7,0114%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-0,4315%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9,6765%</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9,2152%</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-0,4613%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118 550 222 885</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110 827 970 366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- 7 722 252 519</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Enlargement-related expenditure</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25 135 292 635</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20 962 713 989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- 4 172 578 647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25 135 292 635</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20 962 713 989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- 4 172 578 647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93 414 930 250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89 865 256 377</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- 3 549 673 872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5 965 942 623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5 465 655 078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- 500 287 545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1 019 406 910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548 929 008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- 470 477 902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4 946 535 713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4 916 726 069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- 29 809 643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- 45 769 948</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- 17 211 574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+ 28 558 374</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4 992 305 660</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4 933 937 643</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- 58 368 017</w:t>
            </w:r>
          </w:p>
        </w:tc>
      </w:tr>
    </w:tbl>
    <w:p>
      <w:pPr>
        <w:tabs>
          <w:tab w:val="num" w:pos="851"/>
        </w:tabs>
        <w:spacing w:before="120" w:after="120"/>
        <w:jc w:val="both"/>
        <w:rPr>
          <w:noProof/>
        </w:rPr>
      </w:pPr>
      <w:r>
        <w:rPr>
          <w:noProof/>
        </w:rPr>
        <w:t xml:space="preserve">The </w:t>
      </w:r>
      <w:r>
        <w:rPr>
          <w:i/>
          <w:noProof/>
        </w:rPr>
        <w:t>1</w:t>
      </w:r>
      <w:r>
        <w:rPr>
          <w:i/>
          <w:noProof/>
          <w:vertAlign w:val="superscript"/>
        </w:rPr>
        <w:t>st</w:t>
      </w:r>
      <w:r>
        <w:rPr>
          <w:i/>
          <w:noProof/>
        </w:rPr>
        <w:t xml:space="preserve"> update</w:t>
      </w:r>
      <w:r>
        <w:rPr>
          <w:noProof/>
        </w:rPr>
        <w:t xml:space="preserve"> of the 2017 UK correction is around EUR 58 million lower as compared to the </w:t>
      </w:r>
      <w:r>
        <w:rPr>
          <w:i/>
          <w:noProof/>
        </w:rPr>
        <w:t>provisional amount</w:t>
      </w:r>
      <w:r>
        <w:rPr>
          <w:noProof/>
        </w:rPr>
        <w:t xml:space="preserve"> of the 2017 UK correction entered in Budget 2018.</w:t>
      </w:r>
    </w:p>
    <w:p>
      <w:pPr>
        <w:tabs>
          <w:tab w:val="left" w:pos="851"/>
        </w:tabs>
        <w:rPr>
          <w:bCs/>
          <w:noProof/>
          <w:szCs w:val="28"/>
          <w:u w:val="single"/>
          <w:lang w:eastAsia="de-DE"/>
        </w:rPr>
      </w:pPr>
      <w:r>
        <w:rPr>
          <w:bCs/>
          <w:noProof/>
          <w:szCs w:val="28"/>
          <w:u w:val="single"/>
          <w:lang w:eastAsia="de-DE"/>
        </w:rPr>
        <w:t>3.3.2.2</w:t>
      </w:r>
      <w:r>
        <w:rPr>
          <w:bCs/>
          <w:noProof/>
          <w:szCs w:val="28"/>
          <w:u w:val="single"/>
          <w:lang w:eastAsia="de-DE"/>
        </w:rPr>
        <w:tab/>
        <w:t>2014 UK correction</w:t>
      </w:r>
    </w:p>
    <w:p>
      <w:pPr>
        <w:spacing w:before="120" w:after="120"/>
        <w:jc w:val="both"/>
        <w:rPr>
          <w:noProof/>
        </w:rPr>
      </w:pPr>
      <w:r>
        <w:rPr>
          <w:noProof/>
        </w:rPr>
        <w:t xml:space="preserve">The following table summarises the changes between the </w:t>
      </w:r>
      <w:r>
        <w:rPr>
          <w:i/>
          <w:noProof/>
        </w:rPr>
        <w:t>2</w:t>
      </w:r>
      <w:r>
        <w:rPr>
          <w:i/>
          <w:noProof/>
          <w:vertAlign w:val="superscript"/>
        </w:rPr>
        <w:t>nd</w:t>
      </w:r>
      <w:r>
        <w:rPr>
          <w:i/>
          <w:noProof/>
        </w:rPr>
        <w:t xml:space="preserve"> update</w:t>
      </w:r>
      <w:r>
        <w:rPr>
          <w:noProof/>
        </w:rPr>
        <w:t xml:space="preserve"> of the 2014 UK correction entered in Amending Budget 5/2016 and the </w:t>
      </w:r>
      <w:r>
        <w:rPr>
          <w:i/>
          <w:noProof/>
        </w:rPr>
        <w:t>definitive amount</w:t>
      </w:r>
      <w:r>
        <w:rPr>
          <w:noProof/>
        </w:rPr>
        <w:t xml:space="preserve"> of the 2014 UK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2014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bCs/>
                <w:noProof/>
                <w:sz w:val="20"/>
              </w:rPr>
              <w:t>2014 UK correction</w:t>
            </w:r>
            <w:r>
              <w:rPr>
                <w:b/>
                <w:bCs/>
                <w:noProof/>
                <w:sz w:val="20"/>
              </w:rPr>
              <w:br/>
              <w:t>2</w:t>
            </w:r>
            <w:r>
              <w:rPr>
                <w:b/>
                <w:bCs/>
                <w:noProof/>
                <w:sz w:val="20"/>
                <w:vertAlign w:val="superscript"/>
              </w:rPr>
              <w:t>nd</w:t>
            </w:r>
            <w:r>
              <w:rPr>
                <w:b/>
                <w:bCs/>
                <w:noProof/>
                <w:sz w:val="20"/>
              </w:rPr>
              <w:t xml:space="preserve"> UPDATE </w:t>
            </w:r>
            <w:r>
              <w:rPr>
                <w:b/>
                <w:bCs/>
                <w:noProof/>
                <w:sz w:val="20"/>
              </w:rPr>
              <w:br/>
              <w:t>AB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bCs/>
                <w:noProof/>
                <w:sz w:val="20"/>
              </w:rPr>
              <w:t>2014 UK correction</w:t>
            </w:r>
            <w:r>
              <w:rPr>
                <w:b/>
                <w:bCs/>
                <w:noProof/>
                <w:sz w:val="20"/>
              </w:rPr>
              <w:br/>
              <w:t>DEFINITIVE</w:t>
            </w:r>
            <w:r>
              <w:rPr>
                <w:b/>
                <w:bCs/>
                <w:noProof/>
                <w:sz w:val="20"/>
              </w:rPr>
              <w:br/>
              <w:t>DAB 6/2018</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bCs/>
                <w:i/>
                <w:iCs/>
                <w:noProof/>
                <w:sz w:val="20"/>
              </w:rPr>
              <w:t>Difference</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17,4319%</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17,3737%</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+ 0,0582%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7,4180%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7,4180%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+ 0,0000%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10,0139%</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9,9557%</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+ 0,0582%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128 669 838 650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128 669 838 650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Enlargement-related expenditure</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33 342 488 843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33 342 488 843</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33 342 488 843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33 342 488 843</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95 327 349 807</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95 327 349 807</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6 300 352 079</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6 263 729 054</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- 36 623 025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1 162 878 038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1 023 430 934</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- 139 447 104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5 137 474 040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5 240 298 119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+ 102 824 079</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-28 189 034</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-26 930 139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+ 1 258 896</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5 165 663 075</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5 267 228 258</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+101 565 183</w:t>
            </w:r>
          </w:p>
        </w:tc>
      </w:tr>
    </w:tbl>
    <w:p>
      <w:pPr>
        <w:spacing w:before="120" w:after="120"/>
        <w:jc w:val="both"/>
        <w:rPr>
          <w:noProof/>
        </w:rPr>
      </w:pPr>
      <w:r>
        <w:rPr>
          <w:noProof/>
        </w:rPr>
        <w:t xml:space="preserve">The </w:t>
      </w:r>
      <w:r>
        <w:rPr>
          <w:i/>
          <w:noProof/>
        </w:rPr>
        <w:t>definitive amount</w:t>
      </w:r>
      <w:r>
        <w:rPr>
          <w:noProof/>
        </w:rPr>
        <w:t xml:space="preserve"> of the 2014 UK correction is EUR 102 million higher than the </w:t>
      </w:r>
      <w:r>
        <w:rPr>
          <w:i/>
          <w:noProof/>
        </w:rPr>
        <w:t>2</w:t>
      </w:r>
      <w:r>
        <w:rPr>
          <w:i/>
          <w:noProof/>
          <w:vertAlign w:val="superscript"/>
        </w:rPr>
        <w:t>nd</w:t>
      </w:r>
      <w:r>
        <w:rPr>
          <w:i/>
          <w:noProof/>
        </w:rPr>
        <w:t xml:space="preserve"> update</w:t>
      </w:r>
      <w:r>
        <w:rPr>
          <w:noProof/>
        </w:rPr>
        <w:t xml:space="preserve"> of the 2014 UK correction entered in AB 5/2016 mainly due to the updates of the VAT and GNI bases as communicated by Member States in autumn 2017.</w:t>
      </w:r>
    </w:p>
    <w:p>
      <w:pPr>
        <w:rPr>
          <w:bCs/>
          <w:i/>
          <w:noProof/>
        </w:rPr>
      </w:pPr>
      <w:bookmarkStart w:id="57" w:name="_Toc231879708"/>
      <w:bookmarkStart w:id="58" w:name="_Toc293417237"/>
      <w:bookmarkStart w:id="59" w:name="_Toc294673196"/>
      <w:bookmarkStart w:id="60" w:name="_Toc357005416"/>
      <w:bookmarkStart w:id="61" w:name="_Toc390436799"/>
      <w:bookmarkStart w:id="62" w:name="_Toc420941904"/>
      <w:bookmarkStart w:id="63" w:name="_Toc461544624"/>
      <w:r>
        <w:rPr>
          <w:bCs/>
          <w:i/>
          <w:noProof/>
        </w:rPr>
        <w:br w:type="page"/>
      </w:r>
    </w:p>
    <w:p>
      <w:pPr>
        <w:tabs>
          <w:tab w:val="left" w:pos="850"/>
        </w:tabs>
        <w:spacing w:before="120" w:after="120"/>
        <w:ind w:left="851" w:hanging="851"/>
        <w:rPr>
          <w:bCs/>
          <w:i/>
          <w:noProof/>
        </w:rPr>
      </w:pPr>
      <w:r>
        <w:rPr>
          <w:bCs/>
          <w:i/>
          <w:noProof/>
        </w:rPr>
        <w:t>3.3.3</w:t>
      </w:r>
      <w:r>
        <w:rPr>
          <w:bCs/>
          <w:i/>
          <w:noProof/>
        </w:rPr>
        <w:tab/>
        <w:t>Entry in the DAB 6/2018 of the 1st update of the 2017 UK correction and definitive amount of the 2014 UK correction</w:t>
      </w:r>
      <w:bookmarkEnd w:id="57"/>
      <w:bookmarkEnd w:id="58"/>
      <w:bookmarkEnd w:id="59"/>
      <w:bookmarkEnd w:id="60"/>
      <w:bookmarkEnd w:id="61"/>
      <w:bookmarkEnd w:id="62"/>
      <w:bookmarkEnd w:id="63"/>
      <w:r>
        <w:rPr>
          <w:bCs/>
          <w:i/>
          <w:noProof/>
        </w:rPr>
        <w:t xml:space="preserve"> </w:t>
      </w:r>
    </w:p>
    <w:p>
      <w:pPr>
        <w:tabs>
          <w:tab w:val="left" w:pos="851"/>
        </w:tabs>
        <w:spacing w:before="120" w:after="120"/>
        <w:rPr>
          <w:bCs/>
          <w:noProof/>
          <w:szCs w:val="28"/>
          <w:u w:val="single"/>
          <w:lang w:eastAsia="de-DE"/>
        </w:rPr>
      </w:pPr>
      <w:bookmarkStart w:id="64" w:name="_Toc231879709"/>
      <w:r>
        <w:rPr>
          <w:bCs/>
          <w:noProof/>
          <w:szCs w:val="28"/>
          <w:u w:val="single"/>
          <w:lang w:eastAsia="de-DE"/>
        </w:rPr>
        <w:t>3.3.3.1</w:t>
      </w:r>
      <w:r>
        <w:rPr>
          <w:bCs/>
          <w:noProof/>
          <w:szCs w:val="28"/>
          <w:u w:val="single"/>
          <w:lang w:eastAsia="de-DE"/>
        </w:rPr>
        <w:tab/>
        <w:t>2014 UK correction (chapter 35)</w:t>
      </w:r>
    </w:p>
    <w:p>
      <w:pPr>
        <w:spacing w:before="120" w:after="120"/>
        <w:jc w:val="both"/>
        <w:rPr>
          <w:noProof/>
        </w:rPr>
      </w:pPr>
      <w:r>
        <w:rPr>
          <w:noProof/>
        </w:rPr>
        <w:t xml:space="preserve">The amount of the UK correction to be budgeted in chapter 35 of the present DAB is the difference between the </w:t>
      </w:r>
      <w:r>
        <w:rPr>
          <w:i/>
          <w:noProof/>
        </w:rPr>
        <w:t>definitive amount</w:t>
      </w:r>
      <w:r>
        <w:rPr>
          <w:noProof/>
        </w:rPr>
        <w:t xml:space="preserve"> of the 2014 UK correction (i.e. EUR 5 267 228 258) and the </w:t>
      </w:r>
      <w:r>
        <w:rPr>
          <w:i/>
          <w:noProof/>
        </w:rPr>
        <w:t>2</w:t>
      </w:r>
      <w:r>
        <w:rPr>
          <w:i/>
          <w:noProof/>
          <w:vertAlign w:val="superscript"/>
        </w:rPr>
        <w:t>nd</w:t>
      </w:r>
      <w:r>
        <w:rPr>
          <w:i/>
          <w:noProof/>
        </w:rPr>
        <w:t xml:space="preserve"> update</w:t>
      </w:r>
      <w:r>
        <w:rPr>
          <w:noProof/>
        </w:rPr>
        <w:t xml:space="preserve"> of the 2014 UK correction (i.e. EUR 5 165 663 075 entered in AB 5/2016) amounting to EUR 101 565 183.</w:t>
      </w:r>
    </w:p>
    <w:p>
      <w:pPr>
        <w:spacing w:before="120" w:after="240"/>
        <w:jc w:val="both"/>
        <w:rPr>
          <w:noProof/>
        </w:rPr>
      </w:pPr>
      <w:r>
        <w:rPr>
          <w:noProof/>
        </w:rPr>
        <w:t>This amount is to be financed along the revised 2014 GNI bases as known at the end of 2017. The budgeting of this amount in chapter 35 is summarised below:</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bCs/>
                <w:noProof/>
                <w:sz w:val="20"/>
              </w:rPr>
              <w:t>2014 UK correction — Chapter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1 189 588</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396 101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1 314 590</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1 450 317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4 774 050</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287 498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6 637 880</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1 144 795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4 827 592</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1 225 444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79 593</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3 032 377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17 082 160</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904 421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1 707 571</w:t>
            </w:r>
          </w:p>
        </w:tc>
        <w:tc>
          <w:tcPr>
            <w:tcW w:w="809" w:type="dxa"/>
            <w:tcBorders>
              <w:top w:val="nil"/>
              <w:left w:val="nil"/>
              <w:bottom w:val="nil"/>
              <w:right w:val="nil"/>
            </w:tcBorders>
            <w:shd w:val="clear" w:color="auto" w:fill="auto"/>
            <w:noWrap/>
          </w:tcPr>
          <w:p>
            <w:pPr>
              <w:jc w:val="center"/>
              <w:rPr>
                <w:b/>
                <w:noProof/>
                <w:sz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lang w:val="es-ES"/>
              </w:rPr>
            </w:pPr>
            <w:r>
              <w:rPr>
                <w:noProof/>
                <w:sz w:val="20"/>
                <w:lang w:val="es-ES"/>
              </w:rPr>
              <w:t>974 427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lang w:val="es-ES"/>
              </w:rPr>
            </w:pPr>
            <w:r>
              <w:rPr>
                <w:b/>
                <w:noProof/>
                <w:color w:val="000000"/>
                <w:sz w:val="20"/>
                <w:lang w:val="es-ES"/>
              </w:rPr>
              <w:t>ES</w:t>
            </w:r>
          </w:p>
        </w:tc>
        <w:tc>
          <w:tcPr>
            <w:tcW w:w="1383" w:type="dxa"/>
            <w:tcBorders>
              <w:top w:val="nil"/>
              <w:left w:val="nil"/>
              <w:bottom w:val="nil"/>
              <w:right w:val="nil"/>
            </w:tcBorders>
            <w:shd w:val="clear" w:color="auto" w:fill="auto"/>
            <w:noWrap/>
            <w:vAlign w:val="center"/>
          </w:tcPr>
          <w:p>
            <w:pPr>
              <w:jc w:val="right"/>
              <w:rPr>
                <w:noProof/>
                <w:sz w:val="20"/>
                <w:lang w:val="es-ES"/>
              </w:rPr>
            </w:pPr>
            <w:r>
              <w:rPr>
                <w:noProof/>
                <w:sz w:val="20"/>
                <w:lang w:val="es-ES"/>
              </w:rPr>
              <w:t>6 540 304</w:t>
            </w:r>
          </w:p>
        </w:tc>
        <w:tc>
          <w:tcPr>
            <w:tcW w:w="809" w:type="dxa"/>
            <w:tcBorders>
              <w:top w:val="nil"/>
              <w:left w:val="nil"/>
              <w:bottom w:val="nil"/>
              <w:right w:val="nil"/>
            </w:tcBorders>
            <w:shd w:val="clear" w:color="auto" w:fill="auto"/>
            <w:noWrap/>
          </w:tcPr>
          <w:p>
            <w:pPr>
              <w:jc w:val="center"/>
              <w:rPr>
                <w:b/>
                <w:noProof/>
                <w:sz w:val="20"/>
                <w:lang w:val="es-ES"/>
              </w:rPr>
            </w:pPr>
            <w:r>
              <w:rPr>
                <w:b/>
                <w:noProof/>
                <w:sz w:val="20"/>
                <w:lang w:val="es-ES"/>
              </w:rPr>
              <w:t>SI</w:t>
            </w:r>
          </w:p>
        </w:tc>
        <w:tc>
          <w:tcPr>
            <w:tcW w:w="1479" w:type="dxa"/>
            <w:tcBorders>
              <w:top w:val="nil"/>
              <w:left w:val="nil"/>
              <w:bottom w:val="nil"/>
              <w:right w:val="single" w:sz="8" w:space="0" w:color="auto"/>
            </w:tcBorders>
            <w:shd w:val="clear" w:color="auto" w:fill="auto"/>
            <w:noWrap/>
            <w:vAlign w:val="center"/>
          </w:tcPr>
          <w:p>
            <w:pPr>
              <w:jc w:val="right"/>
              <w:rPr>
                <w:noProof/>
                <w:sz w:val="20"/>
                <w:lang w:val="es-ES"/>
              </w:rPr>
            </w:pPr>
            <w:r>
              <w:rPr>
                <w:noProof/>
                <w:sz w:val="20"/>
                <w:lang w:val="es-ES"/>
              </w:rPr>
              <w:t>-64 803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lang w:val="es-ES"/>
              </w:rPr>
            </w:pPr>
            <w:r>
              <w:rPr>
                <w:b/>
                <w:noProof/>
                <w:color w:val="000000"/>
                <w:sz w:val="20"/>
                <w:lang w:val="es-ES"/>
              </w:rPr>
              <w:t>FR</w:t>
            </w:r>
          </w:p>
        </w:tc>
        <w:tc>
          <w:tcPr>
            <w:tcW w:w="1383" w:type="dxa"/>
            <w:tcBorders>
              <w:top w:val="nil"/>
              <w:left w:val="nil"/>
              <w:bottom w:val="nil"/>
              <w:right w:val="nil"/>
            </w:tcBorders>
            <w:shd w:val="clear" w:color="auto" w:fill="auto"/>
            <w:noWrap/>
            <w:vAlign w:val="center"/>
          </w:tcPr>
          <w:p>
            <w:pPr>
              <w:jc w:val="right"/>
              <w:rPr>
                <w:noProof/>
                <w:sz w:val="20"/>
                <w:lang w:val="es-ES"/>
              </w:rPr>
            </w:pPr>
            <w:r>
              <w:rPr>
                <w:noProof/>
                <w:sz w:val="20"/>
                <w:lang w:val="es-ES"/>
              </w:rPr>
              <w:t>23 264 515</w:t>
            </w:r>
          </w:p>
        </w:tc>
        <w:tc>
          <w:tcPr>
            <w:tcW w:w="809" w:type="dxa"/>
            <w:tcBorders>
              <w:top w:val="nil"/>
              <w:left w:val="nil"/>
              <w:bottom w:val="nil"/>
              <w:right w:val="nil"/>
            </w:tcBorders>
            <w:shd w:val="clear" w:color="auto" w:fill="auto"/>
            <w:noWrap/>
          </w:tcPr>
          <w:p>
            <w:pPr>
              <w:jc w:val="center"/>
              <w:rPr>
                <w:b/>
                <w:noProof/>
                <w:sz w:val="20"/>
                <w:lang w:val="es-ES"/>
              </w:rPr>
            </w:pPr>
            <w:r>
              <w:rPr>
                <w:b/>
                <w:noProof/>
                <w:sz w:val="20"/>
                <w:lang w:val="es-ES"/>
              </w:rPr>
              <w:t>SK</w:t>
            </w:r>
          </w:p>
        </w:tc>
        <w:tc>
          <w:tcPr>
            <w:tcW w:w="1479" w:type="dxa"/>
            <w:tcBorders>
              <w:top w:val="nil"/>
              <w:left w:val="nil"/>
              <w:bottom w:val="nil"/>
              <w:right w:val="single" w:sz="8" w:space="0" w:color="auto"/>
            </w:tcBorders>
            <w:shd w:val="clear" w:color="auto" w:fill="auto"/>
            <w:noWrap/>
            <w:vAlign w:val="center"/>
          </w:tcPr>
          <w:p>
            <w:pPr>
              <w:jc w:val="right"/>
              <w:rPr>
                <w:noProof/>
                <w:sz w:val="20"/>
                <w:lang w:val="es-ES"/>
              </w:rPr>
            </w:pPr>
            <w:r>
              <w:rPr>
                <w:noProof/>
                <w:sz w:val="20"/>
                <w:lang w:val="es-ES"/>
              </w:rPr>
              <w:t>1 838 327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lang w:val="es-ES"/>
              </w:rPr>
            </w:pPr>
            <w:r>
              <w:rPr>
                <w:b/>
                <w:noProof/>
                <w:color w:val="000000"/>
                <w:sz w:val="20"/>
                <w:lang w:val="es-ES"/>
              </w:rPr>
              <w:t>HR</w:t>
            </w:r>
          </w:p>
        </w:tc>
        <w:tc>
          <w:tcPr>
            <w:tcW w:w="1383" w:type="dxa"/>
            <w:tcBorders>
              <w:top w:val="nil"/>
              <w:left w:val="nil"/>
              <w:bottom w:val="nil"/>
              <w:right w:val="nil"/>
            </w:tcBorders>
            <w:shd w:val="clear" w:color="auto" w:fill="auto"/>
            <w:noWrap/>
            <w:vAlign w:val="center"/>
          </w:tcPr>
          <w:p>
            <w:pPr>
              <w:jc w:val="right"/>
              <w:rPr>
                <w:noProof/>
                <w:sz w:val="20"/>
                <w:lang w:val="es-ES"/>
              </w:rPr>
            </w:pPr>
            <w:r>
              <w:rPr>
                <w:noProof/>
                <w:sz w:val="20"/>
                <w:lang w:val="es-ES"/>
              </w:rPr>
              <w:t>827 042</w:t>
            </w:r>
          </w:p>
        </w:tc>
        <w:tc>
          <w:tcPr>
            <w:tcW w:w="809" w:type="dxa"/>
            <w:tcBorders>
              <w:top w:val="nil"/>
              <w:left w:val="nil"/>
              <w:bottom w:val="nil"/>
              <w:right w:val="nil"/>
            </w:tcBorders>
            <w:shd w:val="clear" w:color="auto" w:fill="auto"/>
            <w:noWrap/>
          </w:tcPr>
          <w:p>
            <w:pPr>
              <w:jc w:val="center"/>
              <w:rPr>
                <w:b/>
                <w:noProof/>
                <w:sz w:val="20"/>
                <w:lang w:val="es-ES"/>
              </w:rPr>
            </w:pPr>
            <w:r>
              <w:rPr>
                <w:b/>
                <w:noProof/>
                <w:sz w:val="20"/>
                <w:lang w:val="es-ES"/>
              </w:rPr>
              <w:t>FI</w:t>
            </w:r>
          </w:p>
        </w:tc>
        <w:tc>
          <w:tcPr>
            <w:tcW w:w="1479" w:type="dxa"/>
            <w:tcBorders>
              <w:top w:val="nil"/>
              <w:left w:val="nil"/>
              <w:bottom w:val="nil"/>
              <w:right w:val="single" w:sz="8" w:space="0" w:color="auto"/>
            </w:tcBorders>
            <w:shd w:val="clear" w:color="auto" w:fill="auto"/>
            <w:noWrap/>
            <w:vAlign w:val="center"/>
          </w:tcPr>
          <w:p>
            <w:pPr>
              <w:jc w:val="right"/>
              <w:rPr>
                <w:noProof/>
                <w:sz w:val="20"/>
                <w:lang w:val="es-ES"/>
              </w:rPr>
            </w:pPr>
            <w:r>
              <w:rPr>
                <w:noProof/>
                <w:sz w:val="20"/>
                <w:lang w:val="es-ES"/>
              </w:rPr>
              <w:t>2 716 018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lang w:val="es-ES"/>
              </w:rPr>
            </w:pPr>
            <w:r>
              <w:rPr>
                <w:b/>
                <w:noProof/>
                <w:sz w:val="20"/>
                <w:lang w:val="es-ES"/>
              </w:rPr>
              <w:t>IT</w:t>
            </w:r>
          </w:p>
        </w:tc>
        <w:tc>
          <w:tcPr>
            <w:tcW w:w="1383" w:type="dxa"/>
            <w:tcBorders>
              <w:top w:val="nil"/>
              <w:left w:val="nil"/>
              <w:bottom w:val="nil"/>
              <w:right w:val="nil"/>
            </w:tcBorders>
            <w:shd w:val="clear" w:color="auto" w:fill="auto"/>
            <w:noWrap/>
            <w:vAlign w:val="center"/>
          </w:tcPr>
          <w:p>
            <w:pPr>
              <w:jc w:val="right"/>
              <w:rPr>
                <w:noProof/>
                <w:sz w:val="20"/>
                <w:lang w:val="es-ES"/>
              </w:rPr>
            </w:pPr>
            <w:r>
              <w:rPr>
                <w:noProof/>
                <w:sz w:val="20"/>
                <w:lang w:val="es-ES"/>
              </w:rPr>
              <w:t>17 952 849</w:t>
            </w:r>
          </w:p>
        </w:tc>
        <w:tc>
          <w:tcPr>
            <w:tcW w:w="809" w:type="dxa"/>
            <w:tcBorders>
              <w:top w:val="nil"/>
              <w:left w:val="nil"/>
              <w:bottom w:val="nil"/>
              <w:right w:val="nil"/>
            </w:tcBorders>
            <w:shd w:val="clear" w:color="auto" w:fill="auto"/>
            <w:noWrap/>
          </w:tcPr>
          <w:p>
            <w:pPr>
              <w:jc w:val="center"/>
              <w:rPr>
                <w:b/>
                <w:noProof/>
                <w:sz w:val="20"/>
                <w:lang w:val="es-ES"/>
              </w:rPr>
            </w:pPr>
            <w:r>
              <w:rPr>
                <w:b/>
                <w:noProof/>
                <w:sz w:val="20"/>
                <w:lang w:val="es-ES"/>
              </w:rPr>
              <w:t>SE</w:t>
            </w:r>
          </w:p>
        </w:tc>
        <w:tc>
          <w:tcPr>
            <w:tcW w:w="1479" w:type="dxa"/>
            <w:tcBorders>
              <w:top w:val="nil"/>
              <w:left w:val="nil"/>
              <w:bottom w:val="nil"/>
              <w:right w:val="single" w:sz="8" w:space="0" w:color="auto"/>
            </w:tcBorders>
            <w:shd w:val="clear" w:color="auto" w:fill="auto"/>
            <w:noWrap/>
            <w:vAlign w:val="center"/>
          </w:tcPr>
          <w:p>
            <w:pPr>
              <w:jc w:val="right"/>
              <w:rPr>
                <w:noProof/>
                <w:sz w:val="20"/>
                <w:lang w:val="es-ES"/>
              </w:rPr>
            </w:pPr>
            <w:r>
              <w:rPr>
                <w:noProof/>
                <w:sz w:val="20"/>
                <w:lang w:val="es-ES"/>
              </w:rPr>
              <w:t>793 690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lang w:val="es-ES"/>
              </w:rPr>
            </w:pPr>
            <w:r>
              <w:rPr>
                <w:b/>
                <w:noProof/>
                <w:sz w:val="20"/>
                <w:lang w:val="es-ES"/>
              </w:rPr>
              <w:t>CY</w:t>
            </w:r>
          </w:p>
        </w:tc>
        <w:tc>
          <w:tcPr>
            <w:tcW w:w="1383" w:type="dxa"/>
            <w:tcBorders>
              <w:top w:val="nil"/>
              <w:left w:val="nil"/>
              <w:bottom w:val="nil"/>
              <w:right w:val="nil"/>
            </w:tcBorders>
            <w:shd w:val="clear" w:color="auto" w:fill="auto"/>
            <w:noWrap/>
            <w:vAlign w:val="center"/>
          </w:tcPr>
          <w:p>
            <w:pPr>
              <w:jc w:val="right"/>
              <w:rPr>
                <w:noProof/>
                <w:sz w:val="20"/>
                <w:lang w:val="es-ES"/>
              </w:rPr>
            </w:pPr>
            <w:r>
              <w:rPr>
                <w:noProof/>
                <w:sz w:val="20"/>
                <w:lang w:val="es-ES"/>
              </w:rPr>
              <w:t>552 558</w:t>
            </w:r>
          </w:p>
        </w:tc>
        <w:tc>
          <w:tcPr>
            <w:tcW w:w="809" w:type="dxa"/>
            <w:tcBorders>
              <w:top w:val="nil"/>
              <w:left w:val="nil"/>
              <w:bottom w:val="nil"/>
              <w:right w:val="nil"/>
            </w:tcBorders>
            <w:shd w:val="clear" w:color="auto" w:fill="auto"/>
            <w:noWrap/>
          </w:tcPr>
          <w:p>
            <w:pPr>
              <w:jc w:val="center"/>
              <w:rPr>
                <w:b/>
                <w:noProof/>
                <w:sz w:val="20"/>
                <w:lang w:val="es-ES"/>
              </w:rPr>
            </w:pPr>
          </w:p>
        </w:tc>
        <w:tc>
          <w:tcPr>
            <w:tcW w:w="1479" w:type="dxa"/>
            <w:tcBorders>
              <w:top w:val="nil"/>
              <w:left w:val="nil"/>
              <w:bottom w:val="nil"/>
              <w:right w:val="single" w:sz="8" w:space="0" w:color="auto"/>
            </w:tcBorders>
            <w:shd w:val="clear" w:color="auto" w:fill="auto"/>
            <w:noWrap/>
            <w:vAlign w:val="center"/>
          </w:tcPr>
          <w:p>
            <w:pPr>
              <w:jc w:val="right"/>
              <w:rPr>
                <w:noProof/>
                <w:sz w:val="20"/>
                <w:lang w:val="es-ES"/>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lang w:val="es-ES"/>
              </w:rPr>
            </w:pPr>
            <w:r>
              <w:rPr>
                <w:b/>
                <w:noProof/>
                <w:sz w:val="20"/>
                <w:lang w:val="es-ES"/>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lang w:val="es-ES"/>
              </w:rPr>
              <w:t xml:space="preserve">-273 </w:t>
            </w:r>
            <w:r>
              <w:rPr>
                <w:noProof/>
                <w:sz w:val="20"/>
              </w:rPr>
              <w:t>682</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- 101 565 183</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389 961</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spacing w:before="120" w:after="120"/>
        <w:rPr>
          <w:bCs/>
          <w:noProof/>
          <w:szCs w:val="28"/>
          <w:u w:val="single"/>
          <w:lang w:eastAsia="de-DE"/>
        </w:rPr>
      </w:pPr>
      <w:r>
        <w:rPr>
          <w:bCs/>
          <w:noProof/>
          <w:szCs w:val="28"/>
          <w:u w:val="single"/>
          <w:lang w:eastAsia="de-DE"/>
        </w:rPr>
        <w:t>1.3.3.2</w:t>
      </w:r>
      <w:r>
        <w:rPr>
          <w:bCs/>
          <w:noProof/>
          <w:szCs w:val="28"/>
          <w:u w:val="single"/>
          <w:lang w:eastAsia="de-DE"/>
        </w:rPr>
        <w:tab/>
        <w:t>2017 UK correction (chapter 15)</w:t>
      </w:r>
    </w:p>
    <w:bookmarkEnd w:id="64"/>
    <w:p>
      <w:pPr>
        <w:spacing w:before="120" w:after="120"/>
        <w:jc w:val="both"/>
        <w:rPr>
          <w:noProof/>
        </w:rPr>
      </w:pPr>
      <w:r>
        <w:rPr>
          <w:noProof/>
        </w:rPr>
        <w:t xml:space="preserve">The </w:t>
      </w:r>
      <w:r>
        <w:rPr>
          <w:i/>
          <w:noProof/>
        </w:rPr>
        <w:t>1</w:t>
      </w:r>
      <w:r>
        <w:rPr>
          <w:i/>
          <w:noProof/>
          <w:vertAlign w:val="superscript"/>
        </w:rPr>
        <w:t xml:space="preserve">st </w:t>
      </w:r>
      <w:r>
        <w:rPr>
          <w:i/>
          <w:noProof/>
        </w:rPr>
        <w:t>update</w:t>
      </w:r>
      <w:r>
        <w:rPr>
          <w:noProof/>
        </w:rPr>
        <w:t xml:space="preserve"> of the 2017 UK correction corresponds to EUR 4 933 937 643 and is EUR 58 368 017 million lower than the amount entered in Budget 2018 (EUR 4 992 305 660).</w:t>
      </w:r>
    </w:p>
    <w:p>
      <w:pPr>
        <w:spacing w:before="120" w:after="240"/>
        <w:jc w:val="both"/>
        <w:rPr>
          <w:noProof/>
        </w:rPr>
      </w:pPr>
      <w:r>
        <w:rPr>
          <w:noProof/>
        </w:rPr>
        <w:t>This amount is to be financed along the revised 2018 GNI bases of the present DAB. The budgeting of this amount in chapter 15 is summarised below:</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rPr>
            </w:pPr>
            <w:r>
              <w:rPr>
                <w:b/>
                <w:bCs/>
                <w:noProof/>
                <w:sz w:val="20"/>
              </w:rPr>
              <w:t>2017 UK correction – chapter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rPr>
            </w:pPr>
            <w:r>
              <w:rPr>
                <w:noProof/>
                <w:sz w:val="20"/>
              </w:rPr>
              <w:t>239 806 867</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20 760 600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28 041 992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67 255 010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104 577 854</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5 994 192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161 123 729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69 664 080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315 179 541</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35 259 868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12 843 320</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257 332 005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135 162 127</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103 962 530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97 293 176</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104 377 516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641 717 317</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24 113 562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1 276 813 669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47 283 520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26 593 409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124 388 332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940 918 412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45 300 679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10 511 235</w:t>
            </w:r>
          </w:p>
        </w:tc>
        <w:tc>
          <w:tcPr>
            <w:tcW w:w="793" w:type="dxa"/>
            <w:vMerge w:val="restart"/>
            <w:tcBorders>
              <w:top w:val="nil"/>
              <w:left w:val="nil"/>
              <w:right w:val="nil"/>
            </w:tcBorders>
            <w:shd w:val="clear" w:color="auto" w:fill="auto"/>
            <w:noWrap/>
            <w:vAlign w:val="center"/>
          </w:tcPr>
          <w:p>
            <w:pPr>
              <w:jc w:val="center"/>
              <w:rPr>
                <w:b/>
                <w:bCs/>
                <w:noProof/>
                <w:sz w:val="20"/>
              </w:rPr>
            </w:pPr>
            <w:r>
              <w:rPr>
                <w:b/>
                <w:bCs/>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- 4 933 937 643</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15 086 578</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22 576 523</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bCs/>
                <w:noProof/>
                <w:sz w:val="20"/>
              </w:rPr>
              <w:t xml:space="preserve">Total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bCs/>
                <w:noProof/>
                <w:sz w:val="20"/>
              </w:rPr>
              <w:t>0</w:t>
            </w:r>
          </w:p>
        </w:tc>
      </w:tr>
      <w:bookmarkEnd w:id="41"/>
      <w:bookmarkEnd w:id="42"/>
      <w:bookmarkEnd w:id="43"/>
    </w:tbl>
    <w:p>
      <w:pPr>
        <w:autoSpaceDE w:val="0"/>
        <w:autoSpaceDN w:val="0"/>
        <w:adjustRightInd w:val="0"/>
        <w:spacing w:before="120" w:after="240"/>
        <w:jc w:val="both"/>
        <w:rPr>
          <w:noProof/>
        </w:rPr>
      </w:pPr>
    </w:p>
    <w:p>
      <w:pPr>
        <w:pStyle w:val="ManualHeading1"/>
        <w:pageBreakBefore/>
      </w:pPr>
      <w:bookmarkStart w:id="65" w:name="_Toc525202235"/>
      <w:r>
        <w:t>4.</w:t>
      </w:r>
      <w:r>
        <w:tab/>
        <w:t>Summary table by MFF heading</w:t>
      </w:r>
      <w:bookmarkEnd w:id="65"/>
    </w:p>
    <w:tbl>
      <w:tblPr>
        <w:tblW w:w="10980" w:type="dxa"/>
        <w:jc w:val="center"/>
        <w:tblLook w:val="04A0" w:firstRow="1" w:lastRow="0" w:firstColumn="1" w:lastColumn="0" w:noHBand="0" w:noVBand="1"/>
      </w:tblPr>
      <w:tblGrid>
        <w:gridCol w:w="357"/>
        <w:gridCol w:w="2541"/>
        <w:gridCol w:w="1347"/>
        <w:gridCol w:w="1347"/>
        <w:gridCol w:w="1347"/>
        <w:gridCol w:w="1347"/>
        <w:gridCol w:w="1347"/>
        <w:gridCol w:w="1347"/>
      </w:tblGrid>
      <w:tr>
        <w:trPr>
          <w:trHeight w:val="210"/>
          <w:jc w:val="center"/>
        </w:trPr>
        <w:tc>
          <w:tcPr>
            <w:tcW w:w="282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2"/>
          <w:bookmarkEnd w:id="13"/>
          <w:bookmarkEnd w:id="15"/>
          <w:bookmarkEnd w:id="16"/>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2018</w:t>
            </w:r>
          </w:p>
        </w:tc>
        <w:tc>
          <w:tcPr>
            <w:tcW w:w="272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Amending Budget 6/2018</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2018</w:t>
            </w:r>
          </w:p>
        </w:tc>
      </w:tr>
      <w:tr>
        <w:trPr>
          <w:trHeight w:val="210"/>
          <w:jc w:val="center"/>
        </w:trPr>
        <w:tc>
          <w:tcPr>
            <w:tcW w:w="282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AB 1-5/2018)</w:t>
            </w:r>
          </w:p>
        </w:tc>
        <w:tc>
          <w:tcPr>
            <w:tcW w:w="272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AB 1-5 &amp; DAB 6/2018)</w:t>
            </w:r>
          </w:p>
        </w:tc>
      </w:tr>
      <w:tr>
        <w:trPr>
          <w:trHeight w:val="210"/>
          <w:jc w:val="center"/>
        </w:trPr>
        <w:tc>
          <w:tcPr>
            <w:tcW w:w="282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56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66 624 486 101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77 531 797 652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66 622 586 101</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1 111 797 652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56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20 097 167 844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21 999 552 724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20 095 267 844</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760 552 724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56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46 527 318 257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46 527 318 257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56 083 793 633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- 46 765 000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- 42 802 703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59 238 558 122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56 040 990 930</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1 028 441 878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43 188 677 466</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- 1 400 000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- 1 400 000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43 233 116 899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43 187 277 466</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EAGF 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929 233 101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2 980 707 175</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2 980 707 175</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8 906 075 154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8 906 075 154</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9 666 318 627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9 666 318 627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7 580 725 627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7 580 725 627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82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144 261 380 690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- 48 665 000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- 44 702 703</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159 997 953 011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144 216 677 987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678 340 197</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678 340 197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- 1 900 000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1 355 640 063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154 565 000 000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154 565 000 000</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82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10 981 959 507</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1 390 928 251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11 026 662 210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551 238 311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551 238 311</w:t>
            </w:r>
          </w:p>
        </w:tc>
      </w:tr>
      <w:tr>
        <w:trPr>
          <w:trHeight w:val="225"/>
          <w:jc w:val="center"/>
        </w:trPr>
        <w:tc>
          <w:tcPr>
            <w:tcW w:w="282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160 745 158 322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144 812 619 001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- 48 665 000</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- 44 702 703</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160 696 493 322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144 767 916 298</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06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711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lang w:val="pl-PL"/>
        </w:rPr>
        <w:t xml:space="preserve"> </w:t>
      </w:r>
      <w:r>
        <w:rPr>
          <w:lang w:val="pl-PL"/>
        </w:rPr>
        <w:tab/>
      </w:r>
      <w:r>
        <w:rPr>
          <w:sz w:val="18"/>
          <w:szCs w:val="18"/>
          <w:lang w:val="pl-PL"/>
        </w:rPr>
        <w:t>OJ L 193, 30.7.2018, p. 1.</w:t>
      </w:r>
    </w:p>
  </w:footnote>
  <w:footnote w:id="3">
    <w:p>
      <w:pPr>
        <w:pStyle w:val="FootnoteText"/>
        <w:rPr>
          <w:lang w:val="pl-PL"/>
        </w:rPr>
      </w:pPr>
      <w:r>
        <w:rPr>
          <w:rStyle w:val="FootnoteReference"/>
        </w:rPr>
        <w:footnoteRef/>
      </w:r>
      <w:r>
        <w:rPr>
          <w:lang w:val="pl-PL"/>
        </w:rPr>
        <w:t xml:space="preserve"> </w:t>
      </w:r>
      <w:r>
        <w:rPr>
          <w:lang w:val="pl-PL"/>
        </w:rPr>
        <w:tab/>
      </w:r>
      <w:r>
        <w:rPr>
          <w:sz w:val="18"/>
          <w:szCs w:val="18"/>
          <w:lang w:val="pl-PL"/>
        </w:rPr>
        <w:t>OJ L 57, 28.2.2018, p. 1.</w:t>
      </w:r>
    </w:p>
  </w:footnote>
  <w:footnote w:id="4">
    <w:p>
      <w:pPr>
        <w:pStyle w:val="FootnoteText"/>
        <w:rPr>
          <w:lang w:val="pl-PL"/>
        </w:rPr>
      </w:pPr>
      <w:r>
        <w:rPr>
          <w:rStyle w:val="FootnoteReference"/>
        </w:rPr>
        <w:footnoteRef/>
      </w:r>
      <w:r>
        <w:rPr>
          <w:lang w:val="pl-PL"/>
        </w:rPr>
        <w:t xml:space="preserve"> </w:t>
      </w:r>
      <w:r>
        <w:rPr>
          <w:lang w:val="pl-PL"/>
        </w:rPr>
        <w:tab/>
      </w:r>
      <w:r>
        <w:rPr>
          <w:sz w:val="18"/>
          <w:szCs w:val="18"/>
          <w:lang w:val="pl-PL"/>
        </w:rPr>
        <w:t>OJ L 191, 27.7.2018, p. 1..</w:t>
      </w:r>
    </w:p>
  </w:footnote>
  <w:footnote w:id="5">
    <w:p>
      <w:pPr>
        <w:pStyle w:val="FootnoteText"/>
        <w:rPr>
          <w:lang w:val="pt-PT"/>
        </w:rPr>
      </w:pPr>
      <w:r>
        <w:rPr>
          <w:rStyle w:val="FootnoteReference"/>
        </w:rPr>
        <w:footnoteRef/>
      </w:r>
      <w:r>
        <w:rPr>
          <w:lang w:val="pt-PT"/>
        </w:rPr>
        <w:t xml:space="preserve"> </w:t>
      </w:r>
      <w:r>
        <w:rPr>
          <w:lang w:val="pt-PT"/>
        </w:rPr>
        <w:tab/>
      </w:r>
      <w:r>
        <w:rPr>
          <w:sz w:val="18"/>
          <w:szCs w:val="18"/>
          <w:lang w:val="pt-PT"/>
        </w:rPr>
        <w:t>OJ L XXX, XX.XX.2018 [COM(2018) 227].</w:t>
      </w:r>
    </w:p>
  </w:footnote>
  <w:footnote w:id="6">
    <w:p>
      <w:pPr>
        <w:pStyle w:val="FootnoteText"/>
        <w:rPr>
          <w:lang w:val="pt-PT"/>
        </w:rPr>
      </w:pPr>
      <w:r>
        <w:rPr>
          <w:rStyle w:val="FootnoteReference"/>
        </w:rPr>
        <w:footnoteRef/>
      </w:r>
      <w:r>
        <w:rPr>
          <w:lang w:val="pt-PT"/>
        </w:rPr>
        <w:t xml:space="preserve"> </w:t>
      </w:r>
      <w:r>
        <w:rPr>
          <w:lang w:val="pt-PT"/>
        </w:rPr>
        <w:tab/>
      </w:r>
      <w:r>
        <w:rPr>
          <w:sz w:val="18"/>
          <w:szCs w:val="18"/>
          <w:lang w:val="pt-PT"/>
        </w:rPr>
        <w:t>OJ L XXX, XX.XX.2018 [COM(2018)</w:t>
      </w:r>
      <w:r>
        <w:rPr>
          <w:lang w:val="pt-PT"/>
        </w:rPr>
        <w:t xml:space="preserve"> </w:t>
      </w:r>
      <w:r>
        <w:rPr>
          <w:sz w:val="18"/>
          <w:szCs w:val="18"/>
          <w:lang w:val="pt-PT"/>
        </w:rPr>
        <w:t>310]</w:t>
      </w:r>
      <w:r>
        <w:rPr>
          <w:lang w:val="pt-PT"/>
        </w:rPr>
        <w:t>.</w:t>
      </w:r>
    </w:p>
  </w:footnote>
  <w:footnote w:id="7">
    <w:p>
      <w:pPr>
        <w:pStyle w:val="FootnoteText"/>
        <w:rPr>
          <w:lang w:val="pt-PT"/>
        </w:rPr>
      </w:pPr>
      <w:r>
        <w:rPr>
          <w:rStyle w:val="FootnoteReference"/>
        </w:rPr>
        <w:footnoteRef/>
      </w:r>
      <w:r>
        <w:rPr>
          <w:lang w:val="pt-PT"/>
        </w:rPr>
        <w:t xml:space="preserve"> </w:t>
      </w:r>
      <w:r>
        <w:rPr>
          <w:lang w:val="pt-PT"/>
        </w:rPr>
        <w:tab/>
      </w:r>
      <w:r>
        <w:rPr>
          <w:sz w:val="18"/>
          <w:szCs w:val="18"/>
          <w:lang w:val="pt-PT"/>
        </w:rPr>
        <w:t>OJ L XXX, XX.XX.2018 [COM(2018)</w:t>
      </w:r>
      <w:r>
        <w:rPr>
          <w:lang w:val="pt-PT"/>
        </w:rPr>
        <w:t xml:space="preserve"> </w:t>
      </w:r>
      <w:r>
        <w:rPr>
          <w:sz w:val="18"/>
          <w:szCs w:val="18"/>
          <w:lang w:val="pt-PT"/>
        </w:rPr>
        <w:t>361]</w:t>
      </w:r>
      <w:r>
        <w:rPr>
          <w:lang w:val="pt-PT"/>
        </w:rPr>
        <w:t>.</w:t>
      </w:r>
    </w:p>
  </w:footnote>
  <w:footnote w:id="8">
    <w:p>
      <w:pPr>
        <w:pStyle w:val="FootnoteText"/>
        <w:rPr>
          <w:lang w:val="pt-PT"/>
        </w:rPr>
      </w:pPr>
      <w:r>
        <w:rPr>
          <w:rStyle w:val="FootnoteReference"/>
        </w:rPr>
        <w:footnoteRef/>
      </w:r>
      <w:r>
        <w:rPr>
          <w:lang w:val="pt-PT"/>
        </w:rPr>
        <w:t xml:space="preserve"> </w:t>
      </w:r>
      <w:r>
        <w:rPr>
          <w:lang w:val="pt-PT"/>
        </w:rPr>
        <w:tab/>
      </w:r>
      <w:r>
        <w:rPr>
          <w:sz w:val="18"/>
          <w:szCs w:val="18"/>
          <w:lang w:val="pt-PT"/>
        </w:rPr>
        <w:t>OJ L XXX, XX.XX.2018 [COM(2018)</w:t>
      </w:r>
      <w:r>
        <w:rPr>
          <w:lang w:val="pt-PT"/>
        </w:rPr>
        <w:t xml:space="preserve"> </w:t>
      </w:r>
      <w:r>
        <w:rPr>
          <w:sz w:val="18"/>
          <w:szCs w:val="18"/>
          <w:lang w:val="pt-PT"/>
        </w:rPr>
        <w:t>537]</w:t>
      </w:r>
      <w:r>
        <w:rPr>
          <w:lang w:val="pt-PT"/>
        </w:rPr>
        <w:t>.</w:t>
      </w:r>
    </w:p>
  </w:footnote>
  <w:footnote w:id="9">
    <w:p>
      <w:pPr>
        <w:pStyle w:val="FootnoteText"/>
      </w:pPr>
      <w:r>
        <w:rPr>
          <w:rStyle w:val="FootnoteReference"/>
        </w:rPr>
        <w:footnoteRef/>
      </w:r>
      <w:r>
        <w:t xml:space="preserve"> </w:t>
      </w:r>
      <w:r>
        <w:tab/>
        <w:t>Amending budget No 5/2018 (COM(2018) 537) adopted by the European Parliament on 3 October 2018 has no effect on revenue.</w:t>
      </w:r>
    </w:p>
  </w:footnote>
  <w:footnote w:id="10">
    <w:p>
      <w:pPr>
        <w:pStyle w:val="FootnoteText"/>
        <w:rPr>
          <w:sz w:val="18"/>
          <w:szCs w:val="18"/>
        </w:rPr>
      </w:pPr>
      <w:r>
        <w:rPr>
          <w:rStyle w:val="FootnoteReference"/>
          <w:sz w:val="18"/>
          <w:szCs w:val="18"/>
        </w:rPr>
        <w:footnoteRef/>
      </w:r>
      <w:r>
        <w:rPr>
          <w:sz w:val="18"/>
          <w:szCs w:val="18"/>
        </w:rPr>
        <w:t xml:space="preserve"> </w:t>
      </w:r>
      <w:r>
        <w:rPr>
          <w:sz w:val="18"/>
          <w:szCs w:val="18"/>
        </w:rPr>
        <w:tab/>
      </w:r>
      <w:r>
        <w:t>In accordance with Council Decision 2014/335, if the VAT base of a Member State exceeds 50 % of its GNI, then it is capped at this 50 %. For DAB 6/2018, four Member States will have their VAT base capped at 50 % of GNI: Croatia, Cyprus, Luxembourg, Malta.</w:t>
      </w:r>
    </w:p>
  </w:footnote>
  <w:footnote w:id="11">
    <w:p>
      <w:pPr>
        <w:pStyle w:val="FootnoteText"/>
        <w:rPr>
          <w:rStyle w:val="FootnoteReference"/>
          <w:sz w:val="18"/>
          <w:szCs w:val="18"/>
        </w:rPr>
      </w:pPr>
      <w:r>
        <w:rPr>
          <w:rStyle w:val="FootnoteReference"/>
          <w:sz w:val="18"/>
          <w:szCs w:val="18"/>
        </w:rPr>
        <w:footnoteRef/>
      </w:r>
      <w:r>
        <w:rPr>
          <w:rStyle w:val="FootnoteReference"/>
          <w:sz w:val="18"/>
          <w:szCs w:val="18"/>
        </w:rPr>
        <w:t>.</w:t>
      </w:r>
      <w:r>
        <w:rPr>
          <w:rStyle w:val="FootnoteReference"/>
          <w:sz w:val="18"/>
          <w:szCs w:val="18"/>
        </w:rPr>
        <w:tab/>
      </w:r>
      <w:r>
        <w:t>The amounts highlighted in grey result from the capped VAT bases, as explained in footnote 9 above.</w:t>
      </w:r>
    </w:p>
  </w:footnote>
  <w:footnote w:id="12">
    <w:p>
      <w:pPr>
        <w:pStyle w:val="FootnoteText"/>
        <w:rPr>
          <w:sz w:val="18"/>
          <w:szCs w:val="18"/>
        </w:rPr>
      </w:pPr>
      <w:r>
        <w:rPr>
          <w:rStyle w:val="FootnoteReference"/>
        </w:rPr>
        <w:footnoteRef/>
      </w:r>
      <w:r>
        <w:tab/>
        <w:t>OJ L 168, 7.6.2014, p. 105-111.</w:t>
      </w:r>
    </w:p>
  </w:footnote>
  <w:footnote w:id="13">
    <w:p>
      <w:pPr>
        <w:pStyle w:val="FootnoteText"/>
        <w:rPr>
          <w:sz w:val="18"/>
          <w:szCs w:val="18"/>
        </w:rPr>
      </w:pPr>
      <w:r>
        <w:rPr>
          <w:rStyle w:val="FootnoteReference"/>
        </w:rPr>
        <w:footnoteRef/>
      </w:r>
      <w:r>
        <w:tab/>
        <w:t>Commission working document of 14 May 2014 "Calculation, financing, payment and entry in the budget of the correction of budgetary imbalances in favour of the United Kingdom ("the correction") in accordance with Articles 4 and 5 of Council Decision 2014/335/EC, Euratom on the system of own resources of the European Union”</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32265D7"/>
    <w:multiLevelType w:val="hybridMultilevel"/>
    <w:tmpl w:val="63E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8BE211A"/>
    <w:multiLevelType w:val="hybridMultilevel"/>
    <w:tmpl w:val="31B8D126"/>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BC3E06"/>
    <w:multiLevelType w:val="hybridMultilevel"/>
    <w:tmpl w:val="745C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642108"/>
    <w:multiLevelType w:val="multilevel"/>
    <w:tmpl w:val="33D02A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6">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20">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9AD6263"/>
    <w:multiLevelType w:val="hybridMultilevel"/>
    <w:tmpl w:val="9356C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7"/>
  </w:num>
  <w:num w:numId="4">
    <w:abstractNumId w:val="18"/>
  </w:num>
  <w:num w:numId="5">
    <w:abstractNumId w:val="12"/>
  </w:num>
  <w:num w:numId="6">
    <w:abstractNumId w:val="24"/>
  </w:num>
  <w:num w:numId="7">
    <w:abstractNumId w:val="8"/>
  </w:num>
  <w:num w:numId="8">
    <w:abstractNumId w:val="25"/>
  </w:num>
  <w:num w:numId="9">
    <w:abstractNumId w:val="0"/>
  </w:num>
  <w:num w:numId="10">
    <w:abstractNumId w:val="1"/>
  </w:num>
  <w:num w:numId="11">
    <w:abstractNumId w:val="14"/>
  </w:num>
  <w:num w:numId="12">
    <w:abstractNumId w:val="19"/>
  </w:num>
  <w:num w:numId="13">
    <w:abstractNumId w:val="20"/>
  </w:num>
  <w:num w:numId="14">
    <w:abstractNumId w:val="19"/>
  </w:num>
  <w:num w:numId="15">
    <w:abstractNumId w:val="19"/>
  </w:num>
  <w:num w:numId="16">
    <w:abstractNumId w:val="19"/>
  </w:num>
  <w:num w:numId="17">
    <w:abstractNumId w:val="6"/>
  </w:num>
  <w:num w:numId="18">
    <w:abstractNumId w:val="21"/>
  </w:num>
  <w:num w:numId="19">
    <w:abstractNumId w:val="29"/>
  </w:num>
  <w:num w:numId="20">
    <w:abstractNumId w:val="24"/>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num>
  <w:num w:numId="25">
    <w:abstractNumId w:val="24"/>
  </w:num>
  <w:num w:numId="26">
    <w:abstractNumId w:val="24"/>
  </w:num>
  <w:num w:numId="27">
    <w:abstractNumId w:val="30"/>
  </w:num>
  <w:num w:numId="28">
    <w:abstractNumId w:val="4"/>
  </w:num>
  <w:num w:numId="29">
    <w:abstractNumId w:val="4"/>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4"/>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4"/>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4"/>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22"/>
  </w:num>
  <w:num w:numId="34">
    <w:abstractNumId w:val="5"/>
  </w:num>
  <w:num w:numId="35">
    <w:abstractNumId w:val="13"/>
  </w:num>
  <w:num w:numId="36">
    <w:abstractNumId w:val="15"/>
  </w:num>
  <w:num w:numId="37">
    <w:abstractNumId w:val="23"/>
  </w:num>
  <w:num w:numId="38">
    <w:abstractNumId w:val="31"/>
  </w:num>
  <w:num w:numId="39">
    <w:abstractNumId w:val="16"/>
  </w:num>
  <w:num w:numId="40">
    <w:abstractNumId w:val="11"/>
  </w:num>
  <w:num w:numId="41">
    <w:abstractNumId w:val="9"/>
  </w:num>
  <w:num w:numId="42">
    <w:abstractNumId w:val="26"/>
  </w:num>
  <w:num w:numId="43">
    <w:abstractNumId w:val="28"/>
  </w:num>
  <w:num w:numId="44">
    <w:abstractNumId w:val="3"/>
  </w:num>
  <w:num w:numId="45">
    <w:abstractNumId w:val="15"/>
  </w:num>
  <w:num w:numId="46">
    <w:abstractNumId w:val="15"/>
  </w:num>
  <w:num w:numId="47">
    <w:abstractNumId w:val="10"/>
  </w:num>
  <w:num w:numId="48">
    <w:abstractNumId w:val="7"/>
  </w:num>
  <w:num w:numId="4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25D48C-B44C-4D0C-89B6-4367AC3C4AE7"/>
    <w:docVar w:name="LW_COVERPAGE_TYPE" w:val="1"/>
    <w:docVar w:name="LW_CROSSREFERENCE" w:val="&lt;UNUSED&gt;"/>
    <w:docVar w:name="LW_DocType" w:val="NORMAL"/>
    <w:docVar w:name="LW_EMISSION" w:val="12.10.2018"/>
    <w:docVar w:name="LW_EMISSION_ISODATE" w:val="2018-10-12"/>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duction of payment and commitment appropriations in line with updated forecasts of expenditure and update of revenue (own resources)"/>
    <w:docVar w:name="LW_TITRE.OBJ.CP_PREVIOUS" w:val="&lt;UNUSED&gt;"/>
    <w:docVar w:name="LW_TYPE.DOC.CP" w:val="DRAFT AMENDING BUDGET No 6_x000b_TO THE GENERAL BUDGET 2018"/>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lang w:eastAsia="de-DE"/>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lang w:eastAsia="en-US"/>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lang w:eastAsia="en-US"/>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lang w:eastAsia="en-US"/>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lang w:eastAsia="en-US"/>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character" w:customStyle="1" w:styleId="FooterChar">
    <w:name w:val="Footer Char"/>
    <w:basedOn w:val="DefaultParagraphFont"/>
    <w:link w:val="Footer"/>
    <w:rPr>
      <w:rFonts w:eastAsiaTheme="minorHAnsi"/>
      <w:sz w:val="24"/>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en-US"/>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en-US"/>
    </w:rPr>
  </w:style>
  <w:style w:type="character" w:customStyle="1" w:styleId="Heading7Char">
    <w:name w:val="Heading 7 Char"/>
    <w:basedOn w:val="DefaultParagraphFont"/>
    <w:link w:val="Heading7"/>
    <w:uiPriority w:val="99"/>
    <w:rPr>
      <w:rFonts w:ascii="Arial" w:eastAsiaTheme="majorEastAsia" w:hAnsi="Arial" w:cs="Arial"/>
      <w:sz w:val="22"/>
      <w:lang w:eastAsia="en-US"/>
    </w:rPr>
  </w:style>
  <w:style w:type="character" w:customStyle="1" w:styleId="Heading8Char">
    <w:name w:val="Heading 8 Char"/>
    <w:basedOn w:val="DefaultParagraphFont"/>
    <w:link w:val="Heading8"/>
    <w:uiPriority w:val="99"/>
    <w:rPr>
      <w:rFonts w:ascii="Arial" w:eastAsiaTheme="majorEastAsia" w:hAnsi="Arial" w:cs="Arial"/>
      <w:i/>
      <w:iCs/>
      <w:sz w:val="22"/>
      <w:lang w:eastAsia="en-US"/>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en-U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de-DE"/>
    </w:rPr>
  </w:style>
  <w:style w:type="paragraph" w:styleId="Caption">
    <w:name w:val="caption"/>
    <w:basedOn w:val="Normal"/>
    <w:next w:val="Normal"/>
    <w:semiHidden/>
    <w:unhideWhenUsed/>
    <w:qFormat/>
    <w:pPr>
      <w:spacing w:after="200"/>
    </w:pPr>
    <w:rPr>
      <w:b/>
      <w:bCs/>
      <w:color w:val="4F81BD" w:themeColor="accent1"/>
      <w:sz w:val="18"/>
      <w:szCs w:val="18"/>
      <w:lang w:eastAsia="en-US"/>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customStyle="1" w:styleId="agbullets">
    <w:name w:val="ag_bullets"/>
    <w:basedOn w:val="Normal"/>
    <w:qFormat/>
    <w:pPr>
      <w:numPr>
        <w:numId w:val="48"/>
      </w:numPr>
    </w:pPr>
    <w:rPr>
      <w:sz w:val="22"/>
      <w:szCs w:val="20"/>
      <w:lang w:eastAsia="en-US"/>
    </w:rPr>
  </w:style>
  <w:style w:type="paragraph" w:customStyle="1" w:styleId="agtabbullets">
    <w:name w:val="ag_tab_bullets"/>
    <w:basedOn w:val="Normal"/>
    <w:qFormat/>
    <w:pPr>
      <w:numPr>
        <w:numId w:val="49"/>
      </w:numPr>
      <w:jc w:val="both"/>
    </w:pPr>
    <w:rPr>
      <w:sz w:val="18"/>
      <w:szCs w:val="20"/>
      <w:lang w:eastAsia="en-US"/>
    </w:rPr>
  </w:style>
  <w:style w:type="paragraph" w:customStyle="1" w:styleId="agfootnote">
    <w:name w:val="ag_footnote"/>
    <w:basedOn w:val="Normal"/>
    <w:qFormat/>
    <w:pPr>
      <w:spacing w:after="120"/>
      <w:jc w:val="both"/>
    </w:pPr>
    <w:rPr>
      <w:sz w:val="16"/>
      <w:szCs w:val="20"/>
      <w:lang w:eastAsia="en-US"/>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lang w:eastAsia="de-DE"/>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lang w:eastAsia="en-US"/>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lang w:eastAsia="en-US"/>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lang w:eastAsia="en-US"/>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lang w:eastAsia="en-US"/>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character" w:customStyle="1" w:styleId="FooterChar">
    <w:name w:val="Footer Char"/>
    <w:basedOn w:val="DefaultParagraphFont"/>
    <w:link w:val="Footer"/>
    <w:rPr>
      <w:rFonts w:eastAsiaTheme="minorHAnsi"/>
      <w:sz w:val="24"/>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en-US"/>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en-US"/>
    </w:rPr>
  </w:style>
  <w:style w:type="character" w:customStyle="1" w:styleId="Heading7Char">
    <w:name w:val="Heading 7 Char"/>
    <w:basedOn w:val="DefaultParagraphFont"/>
    <w:link w:val="Heading7"/>
    <w:uiPriority w:val="99"/>
    <w:rPr>
      <w:rFonts w:ascii="Arial" w:eastAsiaTheme="majorEastAsia" w:hAnsi="Arial" w:cs="Arial"/>
      <w:sz w:val="22"/>
      <w:lang w:eastAsia="en-US"/>
    </w:rPr>
  </w:style>
  <w:style w:type="character" w:customStyle="1" w:styleId="Heading8Char">
    <w:name w:val="Heading 8 Char"/>
    <w:basedOn w:val="DefaultParagraphFont"/>
    <w:link w:val="Heading8"/>
    <w:uiPriority w:val="99"/>
    <w:rPr>
      <w:rFonts w:ascii="Arial" w:eastAsiaTheme="majorEastAsia" w:hAnsi="Arial" w:cs="Arial"/>
      <w:i/>
      <w:iCs/>
      <w:sz w:val="22"/>
      <w:lang w:eastAsia="en-US"/>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en-US"/>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de-DE"/>
    </w:rPr>
  </w:style>
  <w:style w:type="paragraph" w:styleId="Caption">
    <w:name w:val="caption"/>
    <w:basedOn w:val="Normal"/>
    <w:next w:val="Normal"/>
    <w:semiHidden/>
    <w:unhideWhenUsed/>
    <w:qFormat/>
    <w:pPr>
      <w:spacing w:after="200"/>
    </w:pPr>
    <w:rPr>
      <w:b/>
      <w:bCs/>
      <w:color w:val="4F81BD" w:themeColor="accent1"/>
      <w:sz w:val="18"/>
      <w:szCs w:val="18"/>
      <w:lang w:eastAsia="en-US"/>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customStyle="1" w:styleId="agbullets">
    <w:name w:val="ag_bullets"/>
    <w:basedOn w:val="Normal"/>
    <w:qFormat/>
    <w:pPr>
      <w:numPr>
        <w:numId w:val="48"/>
      </w:numPr>
    </w:pPr>
    <w:rPr>
      <w:sz w:val="22"/>
      <w:szCs w:val="20"/>
      <w:lang w:eastAsia="en-US"/>
    </w:rPr>
  </w:style>
  <w:style w:type="paragraph" w:customStyle="1" w:styleId="agtabbullets">
    <w:name w:val="ag_tab_bullets"/>
    <w:basedOn w:val="Normal"/>
    <w:qFormat/>
    <w:pPr>
      <w:numPr>
        <w:numId w:val="49"/>
      </w:numPr>
      <w:jc w:val="both"/>
    </w:pPr>
    <w:rPr>
      <w:sz w:val="18"/>
      <w:szCs w:val="20"/>
      <w:lang w:eastAsia="en-US"/>
    </w:rPr>
  </w:style>
  <w:style w:type="paragraph" w:customStyle="1" w:styleId="agfootnote">
    <w:name w:val="ag_footnote"/>
    <w:basedOn w:val="Normal"/>
    <w:qFormat/>
    <w:pPr>
      <w:spacing w:after="120"/>
      <w:jc w:val="both"/>
    </w:pPr>
    <w:rPr>
      <w:sz w:val="16"/>
      <w:szCs w:val="20"/>
      <w:lang w:eastAsia="en-US"/>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918">
      <w:bodyDiv w:val="1"/>
      <w:marLeft w:val="0"/>
      <w:marRight w:val="0"/>
      <w:marTop w:val="0"/>
      <w:marBottom w:val="0"/>
      <w:divBdr>
        <w:top w:val="none" w:sz="0" w:space="0" w:color="auto"/>
        <w:left w:val="none" w:sz="0" w:space="0" w:color="auto"/>
        <w:bottom w:val="none" w:sz="0" w:space="0" w:color="auto"/>
        <w:right w:val="none" w:sz="0" w:space="0" w:color="auto"/>
      </w:divBdr>
    </w:div>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65807294">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38367012">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30136016">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000183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3854170">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4671900">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05606241">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20981910">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07015720">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50796095">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542599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656564208">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1417984">
      <w:bodyDiv w:val="1"/>
      <w:marLeft w:val="0"/>
      <w:marRight w:val="0"/>
      <w:marTop w:val="0"/>
      <w:marBottom w:val="0"/>
      <w:divBdr>
        <w:top w:val="none" w:sz="0" w:space="0" w:color="auto"/>
        <w:left w:val="none" w:sz="0" w:space="0" w:color="auto"/>
        <w:bottom w:val="none" w:sz="0" w:space="0" w:color="auto"/>
        <w:right w:val="none" w:sz="0" w:space="0" w:color="auto"/>
      </w:divBdr>
    </w:div>
    <w:div w:id="1804348720">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85487168">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05208242">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7191-007A-45E0-A617-CD3A87E0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4683</Words>
  <Characters>20608</Characters>
  <Application>Microsoft Office Word</Application>
  <DocSecurity>0</DocSecurity>
  <Lines>1373</Lines>
  <Paragraphs>1149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24142</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2018-09-21T13:21:00Z</dcterms:created>
  <dcterms:modified xsi:type="dcterms:W3CDTF">2018-10-11T08:08:00Z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