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2636349-5D28-4357-A181-2976D653FFFB" style="width:450.75pt;height:452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rFonts w:eastAsia="Times New Roman"/>
          <w:b/>
          <w:noProof/>
          <w:szCs w:val="20"/>
          <w:u w:val="single"/>
        </w:rPr>
      </w:pPr>
      <w:r>
        <w:rPr>
          <w:b/>
          <w:noProof/>
          <w:u w:val="single"/>
        </w:rPr>
        <w:t>Предложени изменения, които да бъдат приети чрез писмена процедура от Комисията от технически експерти на OTIF</w:t>
      </w:r>
    </w:p>
    <w:p>
      <w:pPr>
        <w:spacing w:before="0" w:after="0"/>
        <w:jc w:val="left"/>
        <w:rPr>
          <w:rFonts w:eastAsia="Times New Roman"/>
          <w:noProof/>
          <w:szCs w:val="20"/>
        </w:rPr>
      </w:pPr>
    </w:p>
    <w:p>
      <w:pPr>
        <w:pStyle w:val="NumPar1"/>
        <w:numPr>
          <w:ilvl w:val="0"/>
          <w:numId w:val="1"/>
        </w:numPr>
        <w:rPr>
          <w:rFonts w:eastAsia="Times New Roman"/>
          <w:noProof/>
          <w:szCs w:val="20"/>
        </w:rPr>
      </w:pPr>
      <w:r>
        <w:rPr>
          <w:noProof/>
        </w:rPr>
        <w:t>Да се гласува утвърдително по предложените от КТЕ изменения в точки 2.1, 2.2 и 2.3 от единните технически предписания UTP GEN B, както е посочено в Работен документ TECH-18010-CTE11-5 на КТЕ и е очертано по-долу:</w:t>
      </w:r>
    </w:p>
    <w:p>
      <w:pPr>
        <w:pStyle w:val="Text1"/>
        <w:rPr>
          <w:noProof/>
        </w:rPr>
      </w:pPr>
      <w:r>
        <w:rPr>
          <w:noProof/>
        </w:rPr>
        <w:t>„2.1 Инфраструктура</w:t>
      </w:r>
    </w:p>
    <w:p>
      <w:pPr>
        <w:pStyle w:val="Text1"/>
        <w:rPr>
          <w:noProof/>
        </w:rPr>
      </w:pPr>
      <w:r>
        <w:rPr>
          <w:noProof/>
        </w:rPr>
        <w:t xml:space="preserve">COTIF включва инфраструктура </w:t>
      </w:r>
      <w:r>
        <w:rPr>
          <w:strike/>
          <w:noProof/>
        </w:rPr>
        <w:t>само</w:t>
      </w:r>
      <w:r>
        <w:rPr>
          <w:noProof/>
        </w:rPr>
        <w:t xml:space="preserve"> доколкото е свързана с интерфейси с железопътните возила. </w:t>
      </w:r>
      <w:r>
        <w:rPr>
          <w:strike/>
          <w:noProof/>
        </w:rPr>
        <w:t>Поради това инфраструктурната подсистема включва само коловози и стрелки.</w:t>
      </w:r>
      <w:r>
        <w:rPr>
          <w:noProof/>
        </w:rPr>
        <w:br/>
      </w:r>
    </w:p>
    <w:p>
      <w:pPr>
        <w:pStyle w:val="Text1"/>
        <w:rPr>
          <w:noProof/>
        </w:rPr>
      </w:pPr>
      <w:r>
        <w:rPr>
          <w:noProof/>
        </w:rPr>
        <w:t>2.2 Енергия</w:t>
      </w:r>
    </w:p>
    <w:p>
      <w:pPr>
        <w:pStyle w:val="Text1"/>
        <w:rPr>
          <w:noProof/>
        </w:rPr>
      </w:pPr>
      <w:r>
        <w:rPr>
          <w:noProof/>
        </w:rPr>
        <w:t>COTIF включва енергийната система само доколкото е свързана с интерфейси с железопътните возила. Поради това енергийната подсистема включва само контактната мрежа (въздушна контактна линия) и качеството на доставената електроенергия.</w:t>
      </w:r>
    </w:p>
    <w:p>
      <w:pPr>
        <w:pStyle w:val="Text1"/>
        <w:rPr>
          <w:noProof/>
        </w:rPr>
      </w:pPr>
    </w:p>
    <w:p>
      <w:pPr>
        <w:pStyle w:val="Text1"/>
        <w:rPr>
          <w:noProof/>
        </w:rPr>
      </w:pPr>
      <w:r>
        <w:rPr>
          <w:noProof/>
        </w:rPr>
        <w:t>2.3 Контрол, управление и сигнализация по железопътната линия</w:t>
      </w:r>
    </w:p>
    <w:p>
      <w:pPr>
        <w:pStyle w:val="Text1"/>
        <w:rPr>
          <w:noProof/>
        </w:rPr>
      </w:pPr>
      <w:r>
        <w:rPr>
          <w:noProof/>
        </w:rPr>
        <w:t xml:space="preserve">COTIF включва </w:t>
      </w:r>
      <w:r>
        <w:rPr>
          <w:noProof/>
          <w:u w:val="single"/>
        </w:rPr>
        <w:t>контрол, управление и сигнализация по железопътната линия</w:t>
      </w:r>
      <w:r>
        <w:rPr>
          <w:noProof/>
        </w:rPr>
        <w:t xml:space="preserve"> </w:t>
      </w:r>
      <w:r>
        <w:rPr>
          <w:strike/>
          <w:noProof/>
        </w:rPr>
        <w:t>това само</w:t>
      </w:r>
      <w:r>
        <w:rPr>
          <w:noProof/>
        </w:rPr>
        <w:t>, доколкото са свързани с интерфейси с железопътните возила.“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 xml:space="preserve">Да се гласува утвърдително по предложените от КТЕ изменения на UTP TAF, което включва актуализирането на Списъка с технически документи в UTP TAF според новия обновен списък (допълнение I) от ТСОС ТПТП.   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DD446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68851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818A1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D1A0E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0B898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D20B1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A3E91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AAE9A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11 08:01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2636349-5D28-4357-A181-2976D653FFFB"/>
    <w:docVar w:name="LW_COVERPAGE_TYPE" w:val="1"/>
    <w:docVar w:name="LW_CROSSREFERENCE" w:val="&lt;UNUSED&gt;"/>
    <w:docVar w:name="LW_DocType" w:val="ANNEX"/>
    <w:docVar w:name="LW_EMISSION" w:val="12.10.2018"/>
    <w:docVar w:name="LW_EMISSION_ISODATE" w:val="2018-10-12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87?\u1080?\u1089?\u1084?\u1077?\u1085?\u1072?\u1090?\u1072? \u1087?\u1088?\u1086?\u1094?\u1077?\u1076?\u1091?\u1088?\u1072?, \u1082?\u1086?\u1103?\u1090?\u1086? \u1097?\u1077? \u1073?\u1098?\u1076?\u1077? \u1086?\u1090?\u1082?\u1088?\u1080?\u1090?\u1072? \u1086?\u1090? \u1050?\u1086?\u1084?\u1080?\u1089?\u1080?\u1103?\u1090?\u1072? \u1086?\u1090? \u1090?\u1077?\u1093?\u1085?\u1080?\u1095?\u1077?\u1089?\u1082?\u1080? \u1077?\u1082?\u1089?\u1087?\u1077?\u1088?\u1090?\u1080? \u1085?\u1072? \u1052?\u1077?\u1078?\u1076?\u1091?\u1087?\u1088?\u1072?\u1074?\u1080?\u1090?\u1077?\u1083?\u1089?\u1090?\u1074?\u1077?\u1085?\u1072?\u1090?\u1072? \u1086?\u1088?\u1075?\u1072?\u1085?\u1080?\u1079?\u1072?\u1094?\u1080?\u1103? \u1079?\u1072? \u1084?\u1077?\u1078?\u1076?\u1091?\u1085?\u1072?\u1088?\u1086?\u1076?\u1085?\u1080? \u1078?\u1077?\u1083?\u1077?\u1079?\u1086?\u1087?\u1098?\u1090?\u1085?\u1080? \u1087?\u1088?\u1077?\u1074?\u1086?\u1079?\u1080? (OTIF) \u1089? \u1086?\u1075?\u1083?\u1077?\u1076? \u1085?\u1072? \u1087?\u1088?\u1080?\u1077?\u1084?\u1072?\u1085?\u1077?\u1090?\u1086? \u1085?\u1072? \u1080?\u1079?\u1084?\u1077?\u1085?\u1077?\u1085?\u1080?\u1103? \u1074? \u1077?\u1076?\u1080?\u1085?\u1085?\u1080?\u1090?\u1077? \u1090?\u1077?\u1093?\u1085?\u1080?\u1095?\u1077?\u1089?\u1082?\u1080? \u1087?\u1088?\u1077?\u1076?\u1087?\u1080?\u1089?\u1072?\u1085?\u1080?\u1103? UTP GEN-B \u1080? UTP TAF    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87?\u1080?\u1089?\u1084?\u1077?\u1085?\u1072?\u1090?\u1072? \u1087?\u1088?\u1086?\u1094?\u1077?\u1076?\u1091?\u1088?\u1072?, \u1082?\u1086?\u1103?\u1090?\u1086? \u1097?\u1077? \u1073?\u1098?\u1076?\u1077? \u1086?\u1090?\u1082?\u1088?\u1080?\u1090?\u1072? \u1086?\u1090? \u1050?\u1086?\u1084?\u1080?\u1089?\u1080?\u1103?\u1090?\u1072? \u1086?\u1090? \u1090?\u1077?\u1093?\u1085?\u1080?\u1095?\u1077?\u1089?\u1082?\u1080? \u1077?\u1082?\u1089?\u1087?\u1077?\u1088?\u1090?\u1080? \u1085?\u1072? \u1052?\u1077?\u1078?\u1076?\u1091?\u1087?\u1088?\u1072?\u1074?\u1080?\u1090?\u1077?\u1083?\u1089?\u1090?\u1074?\u1077?\u1085?\u1072?\u1090?\u1072? \u1086?\u1088?\u1075?\u1072?\u1085?\u1080?\u1079?\u1072?\u1094?\u1080?\u1103? \u1079?\u1072? \u1084?\u1077?\u1078?\u1076?\u1091?\u1085?\u1072?\u1088?\u1086?\u1076?\u1085?\u1080? \u1078?\u1077?\u1083?\u1077?\u1079?\u1086?\u1087?\u1098?\u1090?\u1085?\u1080? \u1087?\u1088?\u1077?\u1074?\u1086?\u1079?\u1080? (OTIF) \u1089? \u1086?\u1075?\u1083?\u1077?\u1076? \u1085?\u1072? \u1087?\u1088?\u1080?\u1077?\u1084?\u1072?\u1085?\u1077?\u1090?\u1086? \u1085?\u1072? \u1080?\u1079?\u1084?\u1077?\u1085?\u1077?\u1085?\u1080?\u1103? \u1074? \u1077?\u1076?\u1080?\u1085?\u1085?\u1080?\u1090?\u1077? \u1090?\u1077?\u1093?\u1085?\u1080?\u1095?\u1077?\u1089?\u1082?\u1080? \u1087?\u1088?\u1077?\u1076?\u1087?\u1080?\u1089?\u1072?\u1085?\u1080?\u1103? UTP GEN-B \u1080? UTP TAF    "/>
    <w:docVar w:name="LW_PART_NBR" w:val="1"/>
    <w:docVar w:name="LW_PART_NBR_TOTAL" w:val="1"/>
    <w:docVar w:name="LW_REF.INST.NEW" w:val="COM"/>
    <w:docVar w:name="LW_REF.INST.NEW_ADOPTED" w:val="final"/>
    <w:docVar w:name="LW_REF.INST.NEW_TEXT" w:val="(2018) 6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_x000b_\u1056?\u1045?\u1064?\u1045?\u1053?\u1048?\u1045? \u1053?\u1040? \u1057?\u1066?\u1042?\u1045?\u1058?\u1040?"/>
    <w:docVar w:name="LW_TYPEACTEPRINCIPAL.CP" w:val="\u1055?\u1088?\u1077?\u1076?\u1083?\u1086?\u1078?\u1077?\u1085?\u1080?\u1077? \u1079?\u1072?_x000b_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167</Words>
  <Characters>1019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 Solange (MOVE)</dc:creator>
  <cp:lastModifiedBy>DIGIT/A3</cp:lastModifiedBy>
  <cp:revision>8</cp:revision>
  <dcterms:created xsi:type="dcterms:W3CDTF">2018-10-05T08:24:00Z</dcterms:created>
  <dcterms:modified xsi:type="dcterms:W3CDTF">2018-10-11T06:01:00Z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