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9C8DC9B-740B-4FAD-AAB2-B5762C93AF19" style="width:450.35pt;height:451.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rFonts w:eastAsia="Times New Roman"/>
          <w:b/>
          <w:noProof/>
          <w:szCs w:val="20"/>
          <w:u w:val="single"/>
        </w:rPr>
      </w:pPr>
      <w:r>
        <w:rPr>
          <w:b/>
          <w:noProof/>
          <w:u w:val="single"/>
        </w:rPr>
        <w:t>Modifications que la Commission d'experts techniques propose d'adopter par voie de procédure écrite</w:t>
      </w:r>
    </w:p>
    <w:p>
      <w:pPr>
        <w:spacing w:before="0" w:after="0"/>
        <w:jc w:val="left"/>
        <w:rPr>
          <w:rFonts w:eastAsia="Times New Roman"/>
          <w:noProof/>
          <w:szCs w:val="20"/>
        </w:rPr>
      </w:pPr>
    </w:p>
    <w:p>
      <w:pPr>
        <w:pStyle w:val="NumPar1"/>
        <w:numPr>
          <w:ilvl w:val="0"/>
          <w:numId w:val="1"/>
        </w:numPr>
        <w:rPr>
          <w:rFonts w:eastAsia="Times New Roman"/>
          <w:noProof/>
          <w:szCs w:val="20"/>
        </w:rPr>
      </w:pPr>
      <w:r>
        <w:rPr>
          <w:noProof/>
        </w:rPr>
        <w:t>Voter en faveur des modifications que la CTE propose d'apporter aux points 2.1, 2.2 et 2.3 de la prescription technique uniforme PTU GEN B telles qu'elles figurent dans le document de travail TECH-18010-CTE11-5 de la CTE, à savoir:</w:t>
      </w:r>
    </w:p>
    <w:p>
      <w:pPr>
        <w:pStyle w:val="Text1"/>
        <w:rPr>
          <w:noProof/>
        </w:rPr>
      </w:pPr>
      <w:r>
        <w:rPr>
          <w:noProof/>
        </w:rPr>
        <w:t>«2.1 Infrastructure</w:t>
      </w:r>
    </w:p>
    <w:p>
      <w:pPr>
        <w:pStyle w:val="Text1"/>
        <w:rPr>
          <w:noProof/>
        </w:rPr>
      </w:pPr>
      <w:r>
        <w:rPr>
          <w:noProof/>
        </w:rPr>
        <w:t xml:space="preserve">La COTIF inclut l’infrastructure </w:t>
      </w:r>
      <w:r>
        <w:rPr>
          <w:strike/>
          <w:noProof/>
        </w:rPr>
        <w:t>uniquement</w:t>
      </w:r>
      <w:r>
        <w:rPr>
          <w:noProof/>
        </w:rPr>
        <w:t xml:space="preserve"> en ce qui concerne les interfaces avec les véhicules. </w:t>
      </w:r>
      <w:r>
        <w:rPr>
          <w:strike/>
          <w:noProof/>
        </w:rPr>
        <w:t>Pour cette raison, le sous-système «Infrastructure» inclut uniquement la voie courante et les appareils de voie.</w:t>
      </w:r>
      <w:r>
        <w:rPr>
          <w:noProof/>
        </w:rPr>
        <w:br/>
      </w:r>
    </w:p>
    <w:p>
      <w:pPr>
        <w:pStyle w:val="Text1"/>
        <w:rPr>
          <w:noProof/>
        </w:rPr>
      </w:pPr>
      <w:r>
        <w:rPr>
          <w:noProof/>
        </w:rPr>
        <w:t>2.2 Énergie</w:t>
      </w:r>
    </w:p>
    <w:p>
      <w:pPr>
        <w:pStyle w:val="Text1"/>
        <w:rPr>
          <w:noProof/>
        </w:rPr>
      </w:pPr>
      <w:r>
        <w:rPr>
          <w:noProof/>
        </w:rPr>
        <w:t>La COTIF inclut le système «Énergie» uniquement en ce qui concerne les interfaces avec les véhicules. Pour cette raison, le sous-système «Énergie» inclut uniquement le matériel aérien (caténaires) et la qualité de l’énergie fournie.</w:t>
      </w:r>
    </w:p>
    <w:p>
      <w:pPr>
        <w:pStyle w:val="Text1"/>
        <w:rPr>
          <w:noProof/>
        </w:rPr>
      </w:pPr>
    </w:p>
    <w:p>
      <w:pPr>
        <w:pStyle w:val="Text1"/>
        <w:rPr>
          <w:noProof/>
        </w:rPr>
      </w:pPr>
      <w:r>
        <w:rPr>
          <w:noProof/>
        </w:rPr>
        <w:t>2.3 Contrôle-commande et signalisation au sol</w:t>
      </w:r>
    </w:p>
    <w:p>
      <w:pPr>
        <w:pStyle w:val="Text1"/>
        <w:rPr>
          <w:noProof/>
        </w:rPr>
      </w:pPr>
      <w:r>
        <w:rPr>
          <w:noProof/>
        </w:rPr>
        <w:t xml:space="preserve">La COTIF inclut </w:t>
      </w:r>
      <w:r>
        <w:rPr>
          <w:strike/>
          <w:noProof/>
        </w:rPr>
        <w:t>ce</w:t>
      </w:r>
      <w:r>
        <w:rPr>
          <w:noProof/>
        </w:rPr>
        <w:t xml:space="preserve"> </w:t>
      </w:r>
      <w:r>
        <w:rPr>
          <w:noProof/>
          <w:u w:val="single"/>
        </w:rPr>
        <w:t>le système «Contrôle-commande et signalisation au sol»</w:t>
      </w:r>
      <w:r>
        <w:rPr>
          <w:noProof/>
        </w:rPr>
        <w:t xml:space="preserve"> </w:t>
      </w:r>
      <w:r>
        <w:rPr>
          <w:strike/>
          <w:noProof/>
        </w:rPr>
        <w:t>uniquement</w:t>
      </w:r>
      <w:r>
        <w:rPr>
          <w:noProof/>
        </w:rPr>
        <w:t xml:space="preserve"> en ce qui concerne les interfaces avec les véhicules.»</w:t>
      </w:r>
    </w:p>
    <w:p>
      <w:pPr>
        <w:spacing w:before="0" w:after="0"/>
        <w:rPr>
          <w:rFonts w:eastAsia="Times New Roman"/>
          <w:noProof/>
          <w:szCs w:val="24"/>
        </w:rPr>
      </w:pPr>
    </w:p>
    <w:p>
      <w:pPr>
        <w:pStyle w:val="NumPar1"/>
        <w:rPr>
          <w:noProof/>
        </w:rPr>
      </w:pPr>
      <w:r>
        <w:rPr>
          <w:noProof/>
        </w:rPr>
        <w:t xml:space="preserve">Voter en faveur des modifications que la CTE propose d'apporter à la PTU TAF, qui supposent la mise à jour de la liste des documents techniques figurant dans la PTU TAF en fonction de la nouvelle liste révisée correspondante figurant dans la STI ATF (appendice I).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D446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8851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18A1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1A0E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B898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20B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3E9162"/>
    <w:lvl w:ilvl="0">
      <w:start w:val="1"/>
      <w:numFmt w:val="decimal"/>
      <w:pStyle w:val="ListNumber"/>
      <w:lvlText w:val="%1."/>
      <w:lvlJc w:val="left"/>
      <w:pPr>
        <w:tabs>
          <w:tab w:val="num" w:pos="360"/>
        </w:tabs>
        <w:ind w:left="360" w:hanging="360"/>
      </w:pPr>
    </w:lvl>
  </w:abstractNum>
  <w:abstractNum w:abstractNumId="7">
    <w:nsid w:val="FFFFFF89"/>
    <w:multiLevelType w:val="singleLevel"/>
    <w:tmpl w:val="9AAE9A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3 12:44: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9C8DC9B-740B-4FAD-AAB2-B5762C93AF19"/>
    <w:docVar w:name="LW_COVERPAGE_TYPE" w:val="1"/>
    <w:docVar w:name="LW_CROSSREFERENCE" w:val="&lt;UNUSED&gt;"/>
    <w:docVar w:name="LW_DocType" w:val="ANNEX"/>
    <w:docVar w:name="LW_EMISSION" w:val="12.10.2018"/>
    <w:docVar w:name="LW_EMISSION_ISODATE" w:val="2018-10-12"/>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position à prendre au nom de l\u8217?Union européenne dans le cadre de la procédure écrite qui doit être lancée par la Commission d\u8217?experts techniques de l'Organisation intergouvernementale pour les transports internationaux ferroviaires (OTIF) en vue de l'adoption de modifications des prescriptions techniques uniformes (PTU) GEN-B et TAF"/>
    <w:docVar w:name="LW_OBJETACTEPRINCIPAL.CP" w:val="sur la position à prendre au nom de l\u8217?Union européenne dans le cadre de la procédure écrite qui doit être lancée par la Commission d\u8217?experts techniques de l'Organisation intergouvernementale pour les transports internationaux ferroviaires (OTIF) en vue de l'adoption de modifications des prescriptions techniques uniformes (PTU) GEN-B et TAF"/>
    <w:docVar w:name="LW_PART_NBR" w:val="1"/>
    <w:docVar w:name="LW_PART_NBR_TOTAL" w:val="1"/>
    <w:docVar w:name="LW_REF.INST.NEW" w:val="COM"/>
    <w:docVar w:name="LW_REF.INST.NEW_ADOPTED" w:val="final"/>
    <w:docVar w:name="LW_REF.INST.NEW_TEXT" w:val="(2018)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195</Words>
  <Characters>1082</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 Solange (MOVE)</dc:creator>
  <cp:lastModifiedBy>DIGIT/A3</cp:lastModifiedBy>
  <cp:revision>8</cp:revision>
  <dcterms:created xsi:type="dcterms:W3CDTF">2018-10-02T15:30:00Z</dcterms:created>
  <dcterms:modified xsi:type="dcterms:W3CDTF">2018-10-03T10:44:00Z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