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A8FF001-3E58-4998-A52A-55337BDC2646" style="width:450.75pt;height:438.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ATTACHMENT</w:t>
      </w:r>
    </w:p>
    <w:p>
      <w:pPr>
        <w:jc w:val="center"/>
        <w:rPr>
          <w:rFonts w:eastAsia="Times New Roman"/>
          <w:b/>
          <w:noProof/>
          <w:szCs w:val="20"/>
          <w:u w:val="single"/>
          <w:lang w:val="en-IE"/>
        </w:rPr>
      </w:pPr>
      <w:r>
        <w:rPr>
          <w:rFonts w:eastAsia="Times New Roman"/>
          <w:b/>
          <w:noProof/>
          <w:szCs w:val="20"/>
          <w:u w:val="single"/>
          <w:lang w:val="en-IE"/>
        </w:rPr>
        <w:t>Proposed Amendments for adoption in written procedure by the Committee of Technical Experts of OTIF</w:t>
      </w:r>
    </w:p>
    <w:p>
      <w:pPr>
        <w:spacing w:before="0" w:after="0"/>
        <w:jc w:val="left"/>
        <w:rPr>
          <w:rFonts w:eastAsia="Times New Roman"/>
          <w:noProof/>
          <w:szCs w:val="20"/>
          <w:lang w:val="en-IE"/>
        </w:rPr>
      </w:pPr>
    </w:p>
    <w:p>
      <w:pPr>
        <w:pStyle w:val="NumPar1"/>
        <w:numPr>
          <w:ilvl w:val="0"/>
          <w:numId w:val="1"/>
        </w:numPr>
        <w:rPr>
          <w:rFonts w:eastAsia="Times New Roman"/>
          <w:noProof/>
          <w:szCs w:val="20"/>
          <w:lang w:val="en-IE"/>
        </w:rPr>
      </w:pPr>
      <w:r>
        <w:rPr>
          <w:noProof/>
        </w:rPr>
        <w:t xml:space="preserve">To vote positively on the CTE proposed amendments to points 2.1, 2.2 and 2.3 of the </w:t>
      </w:r>
      <w:r>
        <w:rPr>
          <w:rFonts w:eastAsia="Times New Roman"/>
          <w:noProof/>
          <w:szCs w:val="20"/>
          <w:lang w:val="en-IE"/>
        </w:rPr>
        <w:t xml:space="preserve">Uniform Technical Prescriptions </w:t>
      </w:r>
      <w:r>
        <w:rPr>
          <w:noProof/>
        </w:rPr>
        <w:t>UTP GEN B as found in the CTE Working Document TECH-18010-CTE11-5 and outlined below:</w:t>
      </w:r>
    </w:p>
    <w:p>
      <w:pPr>
        <w:pStyle w:val="Text1"/>
        <w:rPr>
          <w:noProof/>
          <w:lang w:val="en-IE"/>
        </w:rPr>
      </w:pPr>
      <w:r>
        <w:rPr>
          <w:noProof/>
          <w:lang w:val="en-IE"/>
        </w:rPr>
        <w:t>“2.1 Infrastructure</w:t>
      </w:r>
    </w:p>
    <w:p>
      <w:pPr>
        <w:pStyle w:val="Text1"/>
        <w:rPr>
          <w:noProof/>
          <w:lang w:val="en-IE"/>
        </w:rPr>
      </w:pPr>
      <w:r>
        <w:rPr>
          <w:noProof/>
          <w:lang w:val="en-IE"/>
        </w:rPr>
        <w:t xml:space="preserve">COTIF includes infrastructure </w:t>
      </w:r>
      <w:r>
        <w:rPr>
          <w:strike/>
          <w:noProof/>
          <w:lang w:val="en-IE"/>
        </w:rPr>
        <w:t>only</w:t>
      </w:r>
      <w:r>
        <w:rPr>
          <w:noProof/>
          <w:lang w:val="en-IE"/>
        </w:rPr>
        <w:t xml:space="preserve"> to the extent related to interfaces with the vehicles. </w:t>
      </w:r>
      <w:r>
        <w:rPr>
          <w:strike/>
          <w:noProof/>
          <w:lang w:val="en-IE"/>
        </w:rPr>
        <w:t>Therefore, the infrastructure subsystem only includes the track and points.</w:t>
      </w:r>
      <w:r>
        <w:rPr>
          <w:noProof/>
          <w:lang w:val="en-IE"/>
        </w:rPr>
        <w:br/>
      </w:r>
    </w:p>
    <w:p>
      <w:pPr>
        <w:pStyle w:val="Text1"/>
        <w:rPr>
          <w:noProof/>
          <w:lang w:val="en-IE"/>
        </w:rPr>
      </w:pPr>
      <w:r>
        <w:rPr>
          <w:noProof/>
          <w:lang w:val="en-IE"/>
        </w:rPr>
        <w:t>2.2</w:t>
      </w:r>
      <w:r>
        <w:rPr>
          <w:noProof/>
          <w:szCs w:val="24"/>
        </w:rPr>
        <w:t xml:space="preserve"> </w:t>
      </w:r>
      <w:r>
        <w:rPr>
          <w:noProof/>
          <w:lang w:val="en-IE"/>
        </w:rPr>
        <w:t>Energy</w:t>
      </w:r>
    </w:p>
    <w:p>
      <w:pPr>
        <w:pStyle w:val="Text1"/>
        <w:rPr>
          <w:noProof/>
          <w:lang w:val="en-IE"/>
        </w:rPr>
      </w:pPr>
      <w:r>
        <w:rPr>
          <w:noProof/>
          <w:lang w:val="en-IE"/>
        </w:rPr>
        <w:t>COTIF includes the energy system only to the extent related to interfaces with the vehicles. Therefore, the energy subsystem only includes the overhead lines (catenary) and the quality of the power supplied.</w:t>
      </w:r>
    </w:p>
    <w:p>
      <w:pPr>
        <w:pStyle w:val="Text1"/>
        <w:rPr>
          <w:noProof/>
          <w:lang w:val="en-IE"/>
        </w:rPr>
      </w:pPr>
    </w:p>
    <w:p>
      <w:pPr>
        <w:pStyle w:val="Text1"/>
        <w:rPr>
          <w:noProof/>
          <w:lang w:val="en-IE"/>
        </w:rPr>
      </w:pPr>
      <w:r>
        <w:rPr>
          <w:noProof/>
          <w:lang w:val="en-IE"/>
        </w:rPr>
        <w:t>2.3 Trackside control-command and signalling</w:t>
      </w:r>
    </w:p>
    <w:p>
      <w:pPr>
        <w:pStyle w:val="Text1"/>
        <w:rPr>
          <w:noProof/>
          <w:lang w:val="en-IE"/>
        </w:rPr>
      </w:pPr>
      <w:r>
        <w:rPr>
          <w:noProof/>
          <w:lang w:val="en-IE"/>
        </w:rPr>
        <w:t xml:space="preserve">COTIF includes </w:t>
      </w:r>
      <w:r>
        <w:rPr>
          <w:noProof/>
          <w:u w:val="single"/>
          <w:lang w:val="en-IE"/>
        </w:rPr>
        <w:t>the trackside control-command and signalling</w:t>
      </w:r>
      <w:r>
        <w:rPr>
          <w:noProof/>
          <w:lang w:val="en-IE"/>
        </w:rPr>
        <w:t xml:space="preserve"> </w:t>
      </w:r>
      <w:r>
        <w:rPr>
          <w:strike/>
          <w:noProof/>
          <w:lang w:val="en-IE"/>
        </w:rPr>
        <w:t>this only</w:t>
      </w:r>
      <w:r>
        <w:rPr>
          <w:noProof/>
          <w:lang w:val="en-IE"/>
        </w:rPr>
        <w:t xml:space="preserve"> to the extent related to the interfaces with the vehicles.”</w:t>
      </w:r>
    </w:p>
    <w:p>
      <w:pPr>
        <w:spacing w:before="0" w:after="0"/>
        <w:rPr>
          <w:rFonts w:eastAsia="Times New Roman"/>
          <w:noProof/>
          <w:szCs w:val="24"/>
          <w:lang w:val="en-IE"/>
        </w:rPr>
      </w:pPr>
    </w:p>
    <w:p>
      <w:pPr>
        <w:pStyle w:val="NumPar1"/>
        <w:rPr>
          <w:noProof/>
          <w:lang w:val="en-IE"/>
        </w:rPr>
      </w:pPr>
      <w:r>
        <w:rPr>
          <w:noProof/>
          <w:lang w:val="en-IE"/>
        </w:rPr>
        <w:t xml:space="preserve">To vote positively on the CTE proposed amendments to UTP TAF, which involves the updating of the List of Technical Documents in UTP TAF with the corresponding new revived List in (Appendix I) of the TAF TSI.   </w:t>
      </w:r>
    </w:p>
    <w:p>
      <w:pPr>
        <w:rPr>
          <w:noProof/>
          <w:lang w:val="en-IE"/>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D446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8851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818A1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1A0E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B898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D20B1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3E9162"/>
    <w:lvl w:ilvl="0">
      <w:start w:val="1"/>
      <w:numFmt w:val="decimal"/>
      <w:pStyle w:val="ListNumber"/>
      <w:lvlText w:val="%1."/>
      <w:lvlJc w:val="left"/>
      <w:pPr>
        <w:tabs>
          <w:tab w:val="num" w:pos="360"/>
        </w:tabs>
        <w:ind w:left="360" w:hanging="360"/>
      </w:pPr>
    </w:lvl>
  </w:abstractNum>
  <w:abstractNum w:abstractNumId="7">
    <w:nsid w:val="FFFFFF89"/>
    <w:multiLevelType w:val="singleLevel"/>
    <w:tmpl w:val="9AAE9A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3 12:44: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9A8FF001-3E58-4998-A52A-55337BDC2646"/>
    <w:docVar w:name="LW_COVERPAGE_TYPE" w:val="1"/>
    <w:docVar w:name="LW_CROSSREFERENCE" w:val="&lt;UNUSED&gt;"/>
    <w:docVar w:name="LW_DocType" w:val="ANNEX"/>
    <w:docVar w:name="LW_EMISSION" w:val="12.10.2018"/>
    <w:docVar w:name="LW_EMISSION_ISODATE" w:val="2018-10-12"/>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written procedure to be launched by the Committee of Technical Experts of the Intergovernmental Organisation for International Carriage by Rail (OTIF) for the adoption of  modifications to the Uniform Technical Prescriptions UTP GEN-B and UTP TAF"/>
    <w:docVar w:name="LW_OBJETACTEPRINCIPAL.CP" w:val="on the position to be taken on behalf of the European Union in the written procedure to be launched by the Committee of Technical Experts of the Intergovernmental Organisation for International Carriage by Rail (OTIF) for the adoption of  modifications to the Uniform Technical Prescriptions UTP GEN-B and UTP TAF"/>
    <w:docVar w:name="LW_PART_NBR" w:val="1"/>
    <w:docVar w:name="LW_PART_NBR_TOTAL" w:val="1"/>
    <w:docVar w:name="LW_REF.INST.NEW" w:val="COM"/>
    <w:docVar w:name="LW_REF.INST.NEW_ADOPTED" w:val="final"/>
    <w:docVar w:name="LW_REF.INST.NEW_TEXT" w:val="(2018) 6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_x000b__x000b_COUNCIL DECISION"/>
    <w:docVar w:name="LW_TYPEACTEPRINCIPAL.CP" w:val="Proposal for a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Pages>
  <Words>171</Words>
  <Characters>941</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 Solange (MOVE)</dc:creator>
  <cp:lastModifiedBy>DIGIT/A3</cp:lastModifiedBy>
  <cp:revision>8</cp:revision>
  <dcterms:created xsi:type="dcterms:W3CDTF">2018-09-20T15:00:00Z</dcterms:created>
  <dcterms:modified xsi:type="dcterms:W3CDTF">2018-10-03T10:44:00Z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