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4E33690-D9EA-4976-889D-C8FF0566E206" style="width:450.75pt;height:450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Style w:val="Text1"/>
        <w:rPr>
          <w:noProof/>
        </w:rPr>
      </w:pPr>
      <w:r>
        <w:rPr>
          <w:noProof/>
        </w:rPr>
        <w:t xml:space="preserve">Le projet de décision du Comité mixte de l’EEE (joint à la proposition de décision du Conseil) vise à modifier l’annexe IX (Services financiers) de l’accord EEE afin d’y intégrer la </w:t>
      </w:r>
      <w:bookmarkStart w:id="1" w:name="OLE_LINK1"/>
      <w:r>
        <w:rPr>
          <w:noProof/>
        </w:rPr>
        <w:t xml:space="preserve">directive 2014/51/UE </w:t>
      </w:r>
      <w:bookmarkEnd w:id="1"/>
      <w:r>
        <w:rPr>
          <w:noProof/>
        </w:rPr>
        <w:t>en ce qui concerne les compétences de l’Autorité européenne de surveillance (Autorité européenne des assurances et des pensions professionnelles) et de l’Autorité européenne de surveillance (Autorité européenne des marchés financiers)</w:t>
      </w:r>
      <w:r>
        <w:rPr>
          <w:rStyle w:val="FootnoteReference"/>
          <w:noProof/>
        </w:rPr>
        <w:footnoteReference w:id="1"/>
      </w:r>
      <w:r>
        <w:rPr>
          <w:noProof/>
        </w:rPr>
        <w:t>.</w:t>
      </w:r>
    </w:p>
    <w:p>
      <w:pPr>
        <w:pStyle w:val="Text1"/>
        <w:rPr>
          <w:noProof/>
        </w:rPr>
      </w:pPr>
      <w:r>
        <w:rPr>
          <w:noProof/>
        </w:rPr>
        <w:t>Les adaptations figurant dans le projet ci-joint de décision du Comité mixte de l’EEE vont au-delà de ce qui peut être considéré comme de simples adaptations techniques au sens du règlement (CE) nº 2894/94 du Conseil. La position de l’Union doit donc être établie par le Conseil.</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pStyle w:val="Text1"/>
        <w:rPr>
          <w:rFonts w:eastAsia="Arial Unicode MS"/>
          <w:noProof/>
        </w:rPr>
      </w:pPr>
      <w:r>
        <w:rPr>
          <w:noProof/>
        </w:rPr>
        <w:t>Le projet ci-joint de décision du Comité mixte de l’EEE étend la politique déjà existante de l’UE aux États de l’AELE membres de l’EEE (Norvège, Islande et Liechtenstein).</w:t>
      </w:r>
    </w:p>
    <w:p>
      <w:pPr>
        <w:pStyle w:val="ManualHeading2"/>
        <w:rPr>
          <w:rFonts w:eastAsia="Arial Unicode MS"/>
          <w:noProof/>
        </w:rPr>
      </w:pPr>
      <w:r>
        <w:rPr>
          <w:noProof/>
          <w:color w:val="000000"/>
          <w:u w:color="000000"/>
          <w:bdr w:val="nil"/>
        </w:rPr>
        <w:t>•</w:t>
      </w:r>
      <w:r>
        <w:rPr>
          <w:noProof/>
        </w:rPr>
        <w:tab/>
        <w:t>Cohérence par rapport aux autres politiques de l’Union</w:t>
      </w:r>
    </w:p>
    <w:p>
      <w:pPr>
        <w:pStyle w:val="Text1"/>
        <w:rPr>
          <w:noProof/>
        </w:rPr>
      </w:pPr>
      <w:r>
        <w:rPr>
          <w:noProof/>
        </w:rPr>
        <w:t>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La législation à intégrer dans l’accord EEE repose sur les articles 50, 53, 62 et 114 du traité sur le fonctionnement de l’Union européenne.</w:t>
      </w:r>
    </w:p>
    <w:p>
      <w:pPr>
        <w:pStyle w:val="Text1"/>
        <w:rPr>
          <w:noProof/>
        </w:rPr>
      </w:pPr>
      <w:r>
        <w:rPr>
          <w:noProof/>
        </w:rPr>
        <w:t>L’article 1</w:t>
      </w:r>
      <w:r>
        <w:rPr>
          <w:noProof/>
          <w:vertAlign w:val="superscript"/>
        </w:rPr>
        <w:t>er</w:t>
      </w:r>
      <w:r>
        <w:rPr>
          <w:noProof/>
        </w:rPr>
        <w:t>, paragraphe 3, du règlement (CE) nº 2894/94 du Conseil</w:t>
      </w:r>
      <w:r>
        <w:rPr>
          <w:rStyle w:val="FootnoteReference"/>
          <w:noProof/>
        </w:rPr>
        <w:footnoteReference w:id="2"/>
      </w:r>
      <w:r>
        <w:rPr>
          <w:noProof/>
        </w:rPr>
        <w:t xml:space="preserve"> relatif à certaines modalités d’application de l’accord EEE prévoit que le Conseil établit, sur proposition de la Commission, la position à prendre au nom de l’Union à l’égard de décisions de ce type. </w:t>
      </w:r>
    </w:p>
    <w:p>
      <w:pPr>
        <w:pStyle w:val="Text1"/>
        <w:rPr>
          <w:rFonts w:eastAsia="Arial Unicode MS"/>
          <w:noProof/>
        </w:rPr>
      </w:pPr>
      <w:r>
        <w:rPr>
          <w:noProof/>
        </w:rPr>
        <w:t>Le SEAE, conjointement avec les services de la Commission, soumet le projet de décision du Comité mixte de l’EEE au Conseil pour adoption en tant que position de l’Union. Il espère pouvoir présenter ce document au Comité mixte de l’EEE dès que possible.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rPr>
          <w:noProof/>
        </w:rPr>
      </w:pPr>
      <w:r>
        <w:rPr>
          <w:noProof/>
        </w:rPr>
        <w:t xml:space="preserve">La proposition respecte le principe de subsidiarité pour la raison exposée ci-après. </w:t>
      </w:r>
    </w:p>
    <w:p>
      <w:pPr>
        <w:pStyle w:val="Text1"/>
        <w:rPr>
          <w:noProof/>
        </w:rPr>
      </w:pPr>
      <w:r>
        <w:rPr>
          <w:noProof/>
        </w:rPr>
        <w:lastRenderedPageBreak/>
        <w:t xml:space="preserve">L’objectif de la présente proposition, qui est de garantir l’homogénéité du marché intérieur, ne peut être atteint de manière suffisante par les États membres, mais peut, en raison de ses effets, l’être mieux au niveau de l’Union. </w:t>
      </w:r>
    </w:p>
    <w:p>
      <w:pPr>
        <w:pBdr>
          <w:top w:val="nil"/>
          <w:left w:val="nil"/>
          <w:bottom w:val="nil"/>
          <w:right w:val="nil"/>
          <w:between w:val="nil"/>
          <w:bar w:val="nil"/>
        </w:pBdr>
        <w:spacing w:before="0" w:after="240"/>
        <w:ind w:left="850"/>
        <w:rPr>
          <w:noProof/>
        </w:rPr>
      </w:pPr>
      <w:r>
        <w:rPr>
          <w:noProof/>
        </w:rPr>
        <w:t>Le processus d’intégration de l’acquis de l’Union dans l’accord EEE est mené en conformité avec le règlement (CE) nº 2894/94 du Conseil du 28 novembre 1994 relatif à certaines modalités d’application de l’accord sur l’Espace économique européen, qui confirme l’approche adoptée.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ind w:left="850"/>
        <w:rPr>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Style w:val="Text1"/>
        <w:rPr>
          <w:noProof/>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rPr>
          <w:noProof/>
        </w:rPr>
        <w:t>3.</w:t>
      </w:r>
      <w:r>
        <w:rPr>
          <w:noProof/>
        </w:rPr>
        <w:tab/>
        <w:t>RÉSULTATS DES ÉVALUATIONS EX POST, DES CONSULTATIONS DES PARTIES PRENANTES ET DES ANALYSES D’IMPACT</w:t>
      </w:r>
    </w:p>
    <w:p>
      <w:pPr>
        <w:pStyle w:val="Text1"/>
        <w:rPr>
          <w:noProof/>
        </w:rPr>
      </w:pPr>
      <w:r>
        <w:rPr>
          <w:noProof/>
        </w:rPr>
        <w:t xml:space="preserve">Sans objet </w:t>
      </w:r>
    </w:p>
    <w:p>
      <w:pPr>
        <w:pStyle w:val="Text1"/>
        <w:rPr>
          <w:noProof/>
        </w:rPr>
      </w:pPr>
    </w:p>
    <w:p>
      <w:pPr>
        <w:pStyle w:val="ManualHeading2"/>
        <w:rPr>
          <w:noProof/>
        </w:rPr>
      </w:pPr>
      <w:r>
        <w:rPr>
          <w:noProof/>
        </w:rPr>
        <w:t>4.</w:t>
      </w:r>
      <w:r>
        <w:rPr>
          <w:noProof/>
        </w:rPr>
        <w:tab/>
        <w:t>INCIDENCE BUDGÉTAIRE</w:t>
      </w:r>
    </w:p>
    <w:p>
      <w:pPr>
        <w:pBdr>
          <w:top w:val="nil"/>
          <w:left w:val="nil"/>
          <w:bottom w:val="nil"/>
          <w:right w:val="nil"/>
          <w:between w:val="nil"/>
          <w:bar w:val="nil"/>
        </w:pBdr>
        <w:spacing w:before="0" w:after="240"/>
        <w:ind w:left="850"/>
        <w:rPr>
          <w:rFonts w:eastAsia="Arial Unicode MS"/>
          <w:noProof/>
        </w:rPr>
      </w:pPr>
      <w:r>
        <w:rPr>
          <w:noProof/>
        </w:rPr>
        <w:t>L’intégration de l’acte susmentionné dans l’accord EEE ne devrait pas avoir d’incidence budgétaire.</w:t>
      </w:r>
    </w:p>
    <w:p>
      <w:pPr>
        <w:pStyle w:val="ManualHeading1"/>
        <w:rPr>
          <w:noProof/>
        </w:rPr>
      </w:pPr>
      <w:r>
        <w:rPr>
          <w:noProof/>
        </w:rPr>
        <w:t>5.</w:t>
      </w:r>
      <w:r>
        <w:rPr>
          <w:noProof/>
        </w:rPr>
        <w:tab/>
        <w:t>AUTRES ÉLÉMENTS</w:t>
      </w:r>
    </w:p>
    <w:p>
      <w:pPr>
        <w:pStyle w:val="Text1"/>
        <w:rPr>
          <w:noProof/>
        </w:rPr>
      </w:pPr>
      <w:r>
        <w:rPr>
          <w:noProof/>
        </w:rPr>
        <w:t xml:space="preserve">Sans objet </w:t>
      </w:r>
    </w:p>
    <w:p>
      <w:pPr>
        <w:pStyle w:val="ManualHeading2"/>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2018/0351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w:t>
      </w:r>
      <w:r>
        <w:rPr>
          <w:noProof/>
        </w:rPr>
        <w:br/>
        <w:t xml:space="preserve">au sein du Comité mixte de l’EEE en ce qui concerne une modification de </w:t>
      </w:r>
      <w:r>
        <w:rPr>
          <w:noProof/>
        </w:rPr>
        <w:br/>
        <w:t>l’annexe IX (Services financiers) de l’accord EEE</w:t>
      </w:r>
      <w:r>
        <w:rPr>
          <w:noProof/>
        </w:rPr>
        <w:br/>
      </w:r>
      <w:r>
        <w:rPr>
          <w:noProof/>
        </w:rPr>
        <w:br/>
        <w:t xml:space="preserve">(Omnibus II) </w:t>
      </w:r>
      <w:r>
        <w:rPr>
          <w:noProof/>
        </w:rPr>
        <w:br/>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ses articles 50, 53, 62 et 114, en liaison avec l’article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xml:space="preserve">, paragraphe 3,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4"/>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En vertu de l’article 98 de l’accord EEE, le Comité mixte de l’EEE peut décider de modifier, entre autres, l’annexe IX de l’accord EEE, qui contient des dispositions sur les services financiers.</w:t>
      </w:r>
    </w:p>
    <w:p>
      <w:pPr>
        <w:pStyle w:val="ManualConsidrant"/>
        <w:rPr>
          <w:noProof/>
        </w:rPr>
      </w:pPr>
      <w:r>
        <w:t>(3)</w:t>
      </w:r>
      <w:r>
        <w:tab/>
      </w:r>
      <w:r>
        <w:rPr>
          <w:noProof/>
        </w:rPr>
        <w:t>La directive 2014/51/UE du Parlement européen et du Conseil</w:t>
      </w:r>
      <w:r>
        <w:rPr>
          <w:rStyle w:val="FootnoteReference"/>
          <w:noProof/>
        </w:rPr>
        <w:footnoteReference w:id="5"/>
      </w:r>
      <w:r>
        <w:rPr>
          <w:noProof/>
        </w:rPr>
        <w:t xml:space="preserve"> doit être intégrée dans l’accord EEE.</w:t>
      </w:r>
    </w:p>
    <w:p>
      <w:pPr>
        <w:pStyle w:val="ManualConsidrant"/>
        <w:rPr>
          <w:noProof/>
        </w:rPr>
      </w:pPr>
      <w:r>
        <w:t>(4)</w:t>
      </w:r>
      <w:r>
        <w:tab/>
      </w:r>
      <w:r>
        <w:rPr>
          <w:noProof/>
        </w:rPr>
        <w:t xml:space="preserve">Il convient dès lors de modifier l’annexe IX de l’accord EEE en conséquence. </w:t>
      </w:r>
    </w:p>
    <w:p>
      <w:pPr>
        <w:pStyle w:val="ManualConsidrant"/>
        <w:rPr>
          <w:noProof/>
        </w:rPr>
      </w:pPr>
      <w:r>
        <w:t>(5)</w:t>
      </w:r>
      <w:r>
        <w:tab/>
      </w:r>
      <w:r>
        <w:rPr>
          <w:noProof/>
        </w:rPr>
        <w:t>Il convient dès lors que la position de l’Union au sein du Comité mixte de l’EEE soit fondée sur le projet de décision ci-joint,</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IX (Services financiers) de 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2014/51/UE du Parlement européen et du Conseil du 16 avril 2014 modifiant les directives 2003/71/CE et 2009/138/CE et les règlements (CE) nº 1060/2009, (UE) nº 1094/2010 et (UE) nº 1095/2010 en ce qui concerne les compétences de l'Autorité européenne de surveillance (Autorité européenne des assurances et des pensions professionnelles) et de l'Autorité européenne de surveillance (Autorité européenne des marchés financiers) (JO L 153 du 22.5.2014, p. 1).</w:t>
      </w:r>
    </w:p>
  </w:footnote>
  <w:footnote w:id="2">
    <w:p>
      <w:pPr>
        <w:pStyle w:val="FootnoteText"/>
        <w:rPr>
          <w:iCs/>
        </w:rPr>
      </w:pPr>
      <w:r>
        <w:rPr>
          <w:rStyle w:val="FootnoteReference"/>
        </w:rPr>
        <w:footnoteRef/>
      </w:r>
      <w:r>
        <w:tab/>
        <w:t>JO L 305 du 30.11.1994, p. 6.</w:t>
      </w:r>
    </w:p>
  </w:footnote>
  <w:footnote w:id="3">
    <w:p>
      <w:pPr>
        <w:pStyle w:val="FootnoteText"/>
      </w:pPr>
      <w:r>
        <w:rPr>
          <w:rStyle w:val="FootnoteReference"/>
        </w:rPr>
        <w:footnoteRef/>
      </w:r>
      <w:r>
        <w:tab/>
        <w:t>JO L 305 du 30.11.1994, p. 6.</w:t>
      </w:r>
    </w:p>
  </w:footnote>
  <w:footnote w:id="4">
    <w:p>
      <w:pPr>
        <w:pStyle w:val="FootnoteText"/>
      </w:pPr>
      <w:r>
        <w:rPr>
          <w:rStyle w:val="FootnoteReference"/>
        </w:rPr>
        <w:footnoteRef/>
      </w:r>
      <w:r>
        <w:tab/>
        <w:t xml:space="preserve">JO L 1 du 3.1.1994, p. 3. </w:t>
      </w:r>
    </w:p>
  </w:footnote>
  <w:footnote w:id="5">
    <w:p>
      <w:pPr>
        <w:pStyle w:val="FootnoteText"/>
      </w:pPr>
      <w:r>
        <w:rPr>
          <w:rStyle w:val="FootnoteReference"/>
        </w:rPr>
        <w:footnoteRef/>
      </w:r>
      <w:r>
        <w:tab/>
        <w:t>Directive 2014/51/UE du Parlement européen et du Conseil du 16 avril 2014 modifiant les directives 2003/71/CE et 2009/138/CE et les règlements (CE) nº 1060/2009, (UE) nº 1094/2010 et (UE) nº 1095/2010 en ce qui concerne les compétences de l'Autorité européenne de surveillance (Autorité européenne des assurances et des pensions professionnelles) et de l'Autorité européenne de surveillance (Autorité européenne des marchés financiers) (JO L 153 du 22.5.2014,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E40C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FA94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16D8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D214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FB42A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F7E93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62146A"/>
    <w:lvl w:ilvl="0">
      <w:start w:val="1"/>
      <w:numFmt w:val="decimal"/>
      <w:pStyle w:val="ListNumber"/>
      <w:lvlText w:val="%1."/>
      <w:lvlJc w:val="left"/>
      <w:pPr>
        <w:tabs>
          <w:tab w:val="num" w:pos="360"/>
        </w:tabs>
        <w:ind w:left="360" w:hanging="360"/>
      </w:pPr>
    </w:lvl>
  </w:abstractNum>
  <w:abstractNum w:abstractNumId="7">
    <w:nsid w:val="FFFFFF89"/>
    <w:multiLevelType w:val="singleLevel"/>
    <w:tmpl w:val="A7F26E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2 10:10: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4E33690-D9EA-4976-889D-C8FF0566E206"/>
    <w:docVar w:name="LW_COVERPAGE_TYPE" w:val="1"/>
    <w:docVar w:name="LW_CROSSREFERENCE" w:val="&lt;UNUSED&gt;"/>
    <w:docVar w:name="LW_DocType" w:val="COM"/>
    <w:docVar w:name="LW_EMISSION" w:val="12.10.2018"/>
    <w:docVar w:name="LW_EMISSION_ISODATE" w:val="2018-10-12"/>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51"/>
    <w:docVar w:name="LW_REF.II.NEW.CP_YEAR" w:val="2018"/>
    <w:docVar w:name="LW_REF.INST.NEW" w:val="COM"/>
    <w:docVar w:name="LW_REF.INST.NEW_ADOPTED" w:val="final"/>
    <w:docVar w:name="LW_REF.INST.NEW_TEXT" w:val="(2018) 6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_x000b_au sein du Comité mixte de l\u8217?EEE en ce qui concerne une modification de _x000b_l\u8217?annexe IX (Services financiers) de l\u8217?accord EEE_x000b__x000b_(Omnibus II) 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853</Words>
  <Characters>4532</Characters>
  <Application>Microsoft Office Word</Application>
  <DocSecurity>0</DocSecurity>
  <Lines>103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2018-09-26T09:12:00Z</dcterms:created>
  <dcterms:modified xsi:type="dcterms:W3CDTF">2018-10-12T08:10:00Z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