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7A235D-0E02-49BF-BAC9-C104EC09BDA8" style="width:450.6pt;height:409.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The two draft Decisions of the EEA Joint Committee (annexed to the proposed Council Decision) aim to amend Annex IX (Financial Services) to the EEA Agreement in order to incorporate the Transfer of Funds Regulation</w:t>
      </w:r>
      <w:r>
        <w:rPr>
          <w:rStyle w:val="FootnoteReference"/>
          <w:noProof/>
        </w:rPr>
        <w:footnoteReference w:id="1"/>
      </w:r>
      <w:r>
        <w:rPr>
          <w:noProof/>
        </w:rPr>
        <w:t xml:space="preserve"> and the Fourth Anti-Money Laundering Directive</w:t>
      </w:r>
      <w:r>
        <w:rPr>
          <w:rStyle w:val="FootnoteReference"/>
          <w:noProof/>
        </w:rPr>
        <w:footnoteReference w:id="2"/>
      </w:r>
      <w:r>
        <w:rPr>
          <w:noProof/>
        </w:rPr>
        <w:t xml:space="preserve"> including its supplementing Commission Delegated Regulation</w:t>
      </w:r>
      <w:r>
        <w:rPr>
          <w:rStyle w:val="FootnoteReference"/>
          <w:noProof/>
        </w:rPr>
        <w:footnoteReference w:id="3"/>
      </w:r>
      <w:r>
        <w:rPr>
          <w:noProof/>
        </w:rPr>
        <w:t>.</w:t>
      </w:r>
    </w:p>
    <w:p>
      <w:pPr>
        <w:pStyle w:val="Text1"/>
        <w:rPr>
          <w:noProof/>
        </w:rPr>
      </w:pPr>
      <w:r>
        <w:rPr>
          <w:noProof/>
        </w:rPr>
        <w:t>The adaptations appearing in the drafts of the annexed Decisions of the EEA Joint Committee go beyond what can be considered mere technical adaptations in the sense of the Council Regulation No 2894/94.The Union position shall therefore be established by the Council.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rFonts w:eastAsia="Arial Unicode MS"/>
          <w:noProof/>
        </w:rPr>
      </w:pPr>
      <w:r>
        <w:rPr>
          <w:noProof/>
        </w:rPr>
        <w:t>The annexed draft EEA Joint Committee Decisions extend the already existing EU policy to the EEA EFTA States (Norway, Iceland and Liechtenstein).</w:t>
      </w:r>
      <w: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noProof/>
        </w:rPr>
      </w:pPr>
      <w:r>
        <w:rPr>
          <w:noProof/>
        </w:rPr>
        <w:t xml:space="preserve">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The legislation to be incorporated into the EEA Agreement is based on Article 114 of the Treaty on the Functioning of the European Union.</w:t>
      </w:r>
    </w:p>
    <w:p>
      <w:pPr>
        <w:pStyle w:val="Text1"/>
        <w:rPr>
          <w:noProof/>
        </w:rPr>
      </w:pPr>
      <w:r>
        <w:rPr>
          <w:noProof/>
        </w:rPr>
        <w:t>Article 1(3) of Council Regulation (EC) No 2894/94</w:t>
      </w:r>
      <w:r>
        <w:rPr>
          <w:rStyle w:val="FootnoteReference"/>
          <w:noProof/>
        </w:rPr>
        <w:footnoteReference w:id="4"/>
      </w:r>
      <w:r>
        <w:rPr>
          <w:noProof/>
        </w:rPr>
        <w:t xml:space="preserve"> concerning arrangements for implementing the EEA Agreement provides that the Council establishes the position to be adopted on the Union’s behalf on such Decisions, on a proposal from the Commission. </w:t>
      </w:r>
    </w:p>
    <w:p>
      <w:pPr>
        <w:pStyle w:val="Text1"/>
        <w:rPr>
          <w:noProof/>
        </w:rPr>
      </w:pPr>
      <w:r>
        <w:rPr>
          <w:noProof/>
        </w:rPr>
        <w:t>The EEAS with the Commission services submit the draft Decisions of the EEA Joint Committee for adoption by the Council as the Union’s position. The EEAS would hope to be able to present them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The proposal complies with the subsidiarity principle for the following reason. </w:t>
      </w:r>
    </w:p>
    <w:p>
      <w:pPr>
        <w:pStyle w:val="Text1"/>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Text1"/>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Text1"/>
        <w:rPr>
          <w:noProof/>
        </w:rPr>
      </w:pPr>
      <w:r>
        <w:rPr>
          <w:noProof/>
        </w:rPr>
        <w:t xml:space="preserve">Not applicable </w:t>
      </w:r>
    </w:p>
    <w:p>
      <w:pPr>
        <w:pStyle w:val="ManualHeading2"/>
        <w:rPr>
          <w:noProof/>
        </w:rPr>
      </w:pPr>
      <w:r>
        <w:rPr>
          <w:noProof/>
        </w:rPr>
        <w:t>4.</w:t>
      </w:r>
      <w:r>
        <w:rPr>
          <w:noProof/>
        </w:rPr>
        <w:tab/>
        <w:t>BUDGETARY IMPLICATIONS</w:t>
      </w:r>
    </w:p>
    <w:p>
      <w:pPr>
        <w:pStyle w:val="Text1"/>
        <w:rPr>
          <w:noProof/>
        </w:rPr>
      </w:pPr>
      <w:r>
        <w:rPr>
          <w:noProof/>
        </w:rPr>
        <w:t>There are no budgetary implications expected as a result of incorporation of the above mentioned acts into the EEA Agreement.</w:t>
      </w:r>
    </w:p>
    <w:p>
      <w:pPr>
        <w:pStyle w:val="ManualHeading1"/>
        <w:rPr>
          <w:noProof/>
        </w:rPr>
      </w:pPr>
      <w:r>
        <w:rPr>
          <w:noProof/>
        </w:rPr>
        <w:t>5.</w:t>
      </w:r>
      <w:r>
        <w:rPr>
          <w:noProof/>
        </w:rPr>
        <w:tab/>
        <w:t>OTHER ELEMENTS</w:t>
      </w:r>
    </w:p>
    <w:p>
      <w:pPr>
        <w:pStyle w:val="Text1"/>
        <w:rPr>
          <w:noProof/>
        </w:rPr>
      </w:pPr>
      <w:r>
        <w:rPr>
          <w:noProof/>
        </w:rPr>
        <w:t xml:space="preserve">Not applicable </w:t>
      </w:r>
    </w:p>
    <w:p>
      <w:pPr>
        <w:pStyle w:val="ManualHeading2"/>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 xml:space="preserve">within the EEA Joint Committee concerning an amendment </w:t>
      </w:r>
      <w:r>
        <w:rPr>
          <w:noProof/>
        </w:rPr>
        <w:br/>
        <w:t xml:space="preserve">to Annex IX (Financial Services) to the EEA Agreement </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 xml:space="preserve">in conjunction with Article 218(9) </w:t>
      </w:r>
      <w:r>
        <w:rPr>
          <w:noProof/>
        </w:rPr>
        <w:t>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5"/>
      </w:r>
      <w:r>
        <w:rPr>
          <w:noProof/>
          <w:lang w:val="en"/>
        </w:rPr>
        <w:t>, and in particular Article 1(3) thereof</w:t>
      </w:r>
      <w:r>
        <w:rPr>
          <w:noProof/>
        </w:rPr>
        <w:t xml:space="preserve">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6"/>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amend Annex IX to the EEA Agreement, which contains provisions on financial services.</w:t>
      </w:r>
    </w:p>
    <w:p>
      <w:pPr>
        <w:pStyle w:val="ManualConsidrant"/>
        <w:rPr>
          <w:noProof/>
        </w:rPr>
      </w:pPr>
      <w:r>
        <w:t>(3)</w:t>
      </w:r>
      <w:r>
        <w:tab/>
      </w:r>
      <w:r>
        <w:rPr>
          <w:noProof/>
        </w:rPr>
        <w:t>Regulation (EU) 2015/847 of the European Parliament and of the Council</w:t>
      </w:r>
      <w:r>
        <w:rPr>
          <w:rStyle w:val="FootnoteReference"/>
          <w:noProof/>
        </w:rPr>
        <w:footnoteReference w:id="7"/>
      </w:r>
      <w:r>
        <w:rPr>
          <w:noProof/>
        </w:rPr>
        <w:t xml:space="preserve"> is to be incorporated into the EEA Agreement.</w:t>
      </w:r>
    </w:p>
    <w:p>
      <w:pPr>
        <w:pStyle w:val="ManualConsidrant"/>
        <w:rPr>
          <w:noProof/>
        </w:rPr>
      </w:pPr>
      <w:r>
        <w:t>(4)</w:t>
      </w:r>
      <w:r>
        <w:tab/>
      </w:r>
      <w:r>
        <w:rPr>
          <w:noProof/>
        </w:rPr>
        <w:t>Directive (EU) 2015/849 of the European Parliament and of the Council</w:t>
      </w:r>
      <w:r>
        <w:rPr>
          <w:rStyle w:val="FootnoteReference"/>
          <w:noProof/>
        </w:rPr>
        <w:footnoteReference w:id="8"/>
      </w:r>
      <w:r>
        <w:rPr>
          <w:noProof/>
        </w:rPr>
        <w:t xml:space="preserve"> is to be incorporated into the EEA Agreement.</w:t>
      </w:r>
    </w:p>
    <w:p>
      <w:pPr>
        <w:pStyle w:val="ManualConsidrant"/>
        <w:rPr>
          <w:noProof/>
        </w:rPr>
      </w:pPr>
      <w:r>
        <w:t>(5)</w:t>
      </w:r>
      <w:r>
        <w:tab/>
      </w:r>
      <w:r>
        <w:rPr>
          <w:noProof/>
        </w:rPr>
        <w:t>Commission Delegated Regulation (EU) 2016/1675</w:t>
      </w:r>
      <w:r>
        <w:rPr>
          <w:rStyle w:val="FootnoteReference"/>
          <w:noProof/>
        </w:rPr>
        <w:footnoteReference w:id="9"/>
      </w:r>
      <w:r>
        <w:rPr>
          <w:noProof/>
        </w:rPr>
        <w:t xml:space="preserve"> is to be incorporated into the EEA Agreement.</w:t>
      </w:r>
    </w:p>
    <w:p>
      <w:pPr>
        <w:pStyle w:val="ManualConsidrant"/>
        <w:rPr>
          <w:noProof/>
        </w:rPr>
      </w:pPr>
      <w:r>
        <w:t>(6)</w:t>
      </w:r>
      <w:r>
        <w:tab/>
      </w:r>
      <w:r>
        <w:rPr>
          <w:noProof/>
        </w:rPr>
        <w:t xml:space="preserve">Annex IX to the EEA Agreement should therefore be amended accordingly. </w:t>
      </w:r>
    </w:p>
    <w:p>
      <w:pPr>
        <w:pStyle w:val="ManualConsidrant"/>
        <w:rPr>
          <w:noProof/>
        </w:rPr>
      </w:pPr>
      <w:r>
        <w:lastRenderedPageBreak/>
        <w:t>(7)</w:t>
      </w:r>
      <w:r>
        <w:tab/>
      </w:r>
      <w:r>
        <w:rPr>
          <w:noProof/>
        </w:rPr>
        <w:t>The position of the Union within the EEA Joint Committee should therefore be based on the attached draft decisions,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IX (Financial Services) to the EEA Agreement, shall be based on the draft decisions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2015/847 of the European Parliament and of the Council of 20 May 2015 on information accompanying transfers of funds and repealing Regulation (EC) No 1781/2006.</w:t>
      </w:r>
    </w:p>
  </w:footnote>
  <w:footnote w:id="2">
    <w:p>
      <w:pPr>
        <w:pStyle w:val="FootnoteText"/>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p>
  </w:footnote>
  <w:footnote w:id="3">
    <w:p>
      <w:pPr>
        <w:pStyle w:val="FootnoteText"/>
      </w:pPr>
      <w:r>
        <w:rPr>
          <w:rStyle w:val="FootnoteReference"/>
        </w:rPr>
        <w:footnoteRef/>
      </w:r>
      <w:r>
        <w:tab/>
        <w:t>Commission Delegated Regulation (EU) 2016/1675 of 14 July 2016 supplementing Directive (EU) 2015/849 of the European Parliament and of the Council by identifying high-risk third countries with strategic deficiencies.</w:t>
      </w:r>
    </w:p>
  </w:footnote>
  <w:footnote w:id="4">
    <w:p>
      <w:pPr>
        <w:pStyle w:val="FootnoteText"/>
        <w:rPr>
          <w:iCs/>
          <w:lang w:val="pl-PL"/>
        </w:rPr>
      </w:pPr>
      <w:r>
        <w:rPr>
          <w:rStyle w:val="FootnoteReference"/>
        </w:rPr>
        <w:footnoteRef/>
      </w:r>
      <w:r>
        <w:rPr>
          <w:iCs/>
          <w:lang w:val="pl-PL"/>
        </w:rPr>
        <w:tab/>
        <w:t>OJ L 305, 30.11.1994, p. 6–8</w:t>
      </w:r>
    </w:p>
  </w:footnote>
  <w:footnote w:id="5">
    <w:p>
      <w:pPr>
        <w:pStyle w:val="FootnoteText"/>
        <w:rPr>
          <w:lang w:val="pl-PL"/>
        </w:rPr>
      </w:pPr>
      <w:r>
        <w:rPr>
          <w:rStyle w:val="FootnoteReference"/>
        </w:rPr>
        <w:footnoteRef/>
      </w:r>
      <w:r>
        <w:rPr>
          <w:lang w:val="pl-PL"/>
        </w:rPr>
        <w:tab/>
        <w:t>OJ L 305, 30.11.1994, p. 6.</w:t>
      </w:r>
    </w:p>
  </w:footnote>
  <w:footnote w:id="6">
    <w:p>
      <w:pPr>
        <w:pStyle w:val="FootnoteText"/>
        <w:rPr>
          <w:lang w:val="pl-PL"/>
        </w:rPr>
      </w:pPr>
      <w:r>
        <w:rPr>
          <w:rStyle w:val="FootnoteReference"/>
        </w:rPr>
        <w:footnoteRef/>
      </w:r>
      <w:r>
        <w:rPr>
          <w:lang w:val="pl-PL"/>
        </w:rPr>
        <w:tab/>
        <w:t xml:space="preserve">OJ L 1, 3.1.1994, p. 3. </w:t>
      </w:r>
    </w:p>
  </w:footnote>
  <w:footnote w:id="7">
    <w:p>
      <w:pPr>
        <w:pStyle w:val="FootnoteText"/>
      </w:pPr>
      <w:r>
        <w:rPr>
          <w:rStyle w:val="FootnoteReference"/>
        </w:rPr>
        <w:footnoteRef/>
      </w:r>
      <w:r>
        <w:tab/>
        <w:t>Regulation (EU) 2015/847 of the European Parliament and of the Council of 20 May 2015 on information accompanying transfers of funds and repealing Regulation (EC) No 1781/2006, OJ L 141, 5.6.2015, p. 1–18.</w:t>
      </w:r>
    </w:p>
  </w:footnote>
  <w:footnote w:id="8">
    <w:p>
      <w:pPr>
        <w:pStyle w:val="FootnoteText"/>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9">
    <w:p>
      <w:pPr>
        <w:pStyle w:val="FootnoteText"/>
      </w:pPr>
      <w:r>
        <w:rPr>
          <w:rStyle w:val="FootnoteReference"/>
        </w:rPr>
        <w:footnoteRef/>
      </w:r>
      <w:r>
        <w:tab/>
        <w:t>Commission Delegated Regulation (EU) 2016/1675 of 14 July 2016 supplementing Directive (EU) 2015/849 of the European Parliament and of the Council by identifying high-risk third countries with strategic deficiencies, OJ L 254, 20.9.2016,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2A6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34B3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C471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8E2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047D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A0A9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8478A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068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2: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F7A235D-0E02-49BF-BAC9-C104EC09BDA8"/>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3"/>
    <w:docVar w:name="LW_REF.II.NEW.CP_YEAR" w:val="2018"/>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_x000b_to Annex IX (Financial Services) to the EEA Agreement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69CD-BC25-4D76-B115-57C14BB5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834</Words>
  <Characters>4497</Characters>
  <Application>Microsoft Office Word</Application>
  <DocSecurity>0</DocSecurity>
  <Lines>102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2018-08-20T10:50:00Z</dcterms:created>
  <dcterms:modified xsi:type="dcterms:W3CDTF">2018-10-12T08:02:00Z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