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CABFC26-1D54-411E-8830-F52624DAA5E7"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Les deux projets de décisions du Comité mixte de l’EEE (joints à la proposition de décision du Conseil) visent à modifier l’annexe IX (Services financiers) de l’accord EEE afin d’y intégrer le règlement relatif aux transferts de fonds</w:t>
      </w:r>
      <w:r>
        <w:rPr>
          <w:rStyle w:val="FootnoteReference"/>
          <w:noProof/>
        </w:rPr>
        <w:footnoteReference w:id="1"/>
      </w:r>
      <w:r>
        <w:rPr>
          <w:noProof/>
        </w:rPr>
        <w:t xml:space="preserve"> et la quatrième directive relative à la lutte contre le blanchiment de capitaux</w:t>
      </w:r>
      <w:r>
        <w:rPr>
          <w:rStyle w:val="FootnoteReference"/>
          <w:noProof/>
        </w:rPr>
        <w:footnoteReference w:id="2"/>
      </w:r>
      <w:r>
        <w:rPr>
          <w:noProof/>
        </w:rPr>
        <w:t>, y compris le règlement délégué de la Commission la complétant</w:t>
      </w:r>
      <w:r>
        <w:rPr>
          <w:rStyle w:val="FootnoteReference"/>
          <w:noProof/>
        </w:rPr>
        <w:footnoteReference w:id="3"/>
      </w:r>
      <w:r>
        <w:rPr>
          <w:noProof/>
        </w:rPr>
        <w:t>.</w:t>
      </w:r>
    </w:p>
    <w:p>
      <w:pPr>
        <w:pStyle w:val="Text1"/>
        <w:rPr>
          <w:noProof/>
        </w:rPr>
      </w:pPr>
      <w:r>
        <w:rPr>
          <w:noProof/>
        </w:rPr>
        <w:t>Les adaptations figurant dans les projets ci-joints de décisions du Comité mixte de l’EEE vont au-delà de ce qui peut être considéré comme de simples adaptations techniques au sens du règlement (CE) nº 2894/94 du Conseil. La position de l’Union doit donc être établie par le Conseil.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rPr>
          <w:rFonts w:eastAsia="Arial Unicode MS"/>
          <w:noProof/>
        </w:rPr>
      </w:pPr>
      <w:r>
        <w:rPr>
          <w:noProof/>
        </w:rPr>
        <w:t>Les projets ci-joints de décisions du Comité mixte de l’EEE étendent la politique déjà existante de l’UE aux États de l’AELE membres de l’EEE (Norvège, Islande et Liechtenstein).</w:t>
      </w:r>
      <w:r>
        <w:t xml:space="preserve"> </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rPr>
          <w:noProof/>
        </w:rPr>
      </w:pPr>
      <w:r>
        <w:rPr>
          <w:noProof/>
        </w:rPr>
        <w:t xml:space="preserve">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La législation à intégrer dans l’accord EEE repose sur l’article 114 du traité sur le fonctionnement de l’Union européenne.</w:t>
      </w:r>
    </w:p>
    <w:p>
      <w:pPr>
        <w:pStyle w:val="Text1"/>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4"/>
      </w:r>
      <w:r>
        <w:rPr>
          <w:noProof/>
        </w:rPr>
        <w:t xml:space="preserve"> relatif à certaines modalités d’application de l’accord EEE prévoit que le Conseil établit, sur proposition de la Commission, la position à prendre au nom de l’Union à l’égard de décisions de ce type. </w:t>
      </w:r>
    </w:p>
    <w:p>
      <w:pPr>
        <w:pStyle w:val="Text1"/>
        <w:rPr>
          <w:noProof/>
        </w:rPr>
      </w:pPr>
      <w:r>
        <w:rPr>
          <w:noProof/>
        </w:rPr>
        <w:t>Le SEAE, conjointement avec les services de la Commission, soumet les projets de décisions du Comité mixte de l’EEE au Conseil pour adoption en tant que position de l’Union. Il espère pouvoir présenter ces documents au Comité mixte de l'EEE dès que possible.</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pStyle w:val="Text1"/>
        <w:rPr>
          <w:noProof/>
        </w:rPr>
      </w:pPr>
      <w:r>
        <w:rPr>
          <w:noProof/>
        </w:rPr>
        <w:t xml:space="preserve">La proposition respecte le principe de subsidiarité pour la raison exposée ci-après. </w:t>
      </w:r>
    </w:p>
    <w:p>
      <w:pPr>
        <w:pStyle w:val="Text1"/>
        <w:rPr>
          <w:noProof/>
        </w:rPr>
      </w:pPr>
      <w:r>
        <w:rPr>
          <w:noProof/>
        </w:rPr>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Text1"/>
        <w:rPr>
          <w:noProof/>
        </w:rPr>
      </w:pPr>
      <w:r>
        <w:rPr>
          <w:noProof/>
        </w:rPr>
        <w:t xml:space="preserve">Le processus d’intégration de l’acquis de l’Union dans l’accord EEE est mené en conformité avec le règlement (CE) nº 2894/94 du Conseil du 28 novembre 1994 relatif à certaines modalités d'application de l'accord sur l'Espace économique européen, qui confirme l’approche adoptée. </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pStyle w:val="Text1"/>
        <w:rPr>
          <w:noProof/>
        </w:rPr>
      </w:pPr>
      <w:r>
        <w:rPr>
          <w:noProof/>
        </w:rPr>
        <w:t xml:space="preserve">Sans objet </w:t>
      </w:r>
    </w:p>
    <w:p>
      <w:pPr>
        <w:pStyle w:val="ManualHeading2"/>
        <w:rPr>
          <w:noProof/>
        </w:rPr>
      </w:pPr>
      <w:r>
        <w:rPr>
          <w:noProof/>
        </w:rPr>
        <w:t>4.</w:t>
      </w:r>
      <w:r>
        <w:rPr>
          <w:noProof/>
        </w:rPr>
        <w:tab/>
        <w:t>INCIDENCE BUDGÉTAIRE</w:t>
      </w:r>
    </w:p>
    <w:p>
      <w:pPr>
        <w:pStyle w:val="Text1"/>
        <w:rPr>
          <w:noProof/>
        </w:rPr>
      </w:pPr>
      <w:r>
        <w:rPr>
          <w:noProof/>
        </w:rPr>
        <w:t>L’intégration des actes susmentionnés dans l’accord EEE ne devrait pas avoir d’incidence budgétaire.</w:t>
      </w:r>
    </w:p>
    <w:p>
      <w:pPr>
        <w:pStyle w:val="ManualHeading1"/>
        <w:rPr>
          <w:noProof/>
        </w:rPr>
      </w:pPr>
      <w:r>
        <w:rPr>
          <w:noProof/>
        </w:rPr>
        <w:t>5.</w:t>
      </w:r>
      <w:r>
        <w:rPr>
          <w:noProof/>
        </w:rPr>
        <w:tab/>
        <w:t>AUTRES ÉLÉMENTS</w:t>
      </w:r>
    </w:p>
    <w:p>
      <w:pPr>
        <w:pStyle w:val="Text1"/>
        <w:rPr>
          <w:noProof/>
        </w:rPr>
      </w:pPr>
      <w:r>
        <w:rPr>
          <w:noProof/>
        </w:rPr>
        <w:t xml:space="preserve">Sans objet </w:t>
      </w:r>
    </w:p>
    <w:p>
      <w:pPr>
        <w:pStyle w:val="ManualHeading2"/>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2018/0353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w:t>
      </w:r>
      <w:r>
        <w:rPr>
          <w:noProof/>
        </w:rPr>
        <w:br/>
        <w:t xml:space="preserve">au sein du Comité mixte de l’EEE en ce qui concerne une modification </w:t>
      </w:r>
      <w:r>
        <w:rPr>
          <w:noProof/>
        </w:rPr>
        <w:br/>
        <w:t xml:space="preserve">de l’annexe IX (Services financiers) de l’accord EEE </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5"/>
      </w:r>
      <w:r>
        <w:rPr>
          <w:noProof/>
        </w:rPr>
        <w:t>, et notamment son article 1</w:t>
      </w:r>
      <w:r>
        <w:rPr>
          <w:noProof/>
          <w:vertAlign w:val="superscript"/>
        </w:rPr>
        <w:t>er</w:t>
      </w:r>
      <w:r>
        <w:rPr>
          <w:noProof/>
        </w:rPr>
        <w:t xml:space="preserve">, paragraphe 3,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6"/>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En vertu de l’article 98 de l’accord EEE, le Comité mixte de l’EEE peut décider de modifier, entre autres, l’annexe IX de l’accord EEE, qui contient des dispositions sur les services financiers.</w:t>
      </w:r>
    </w:p>
    <w:p>
      <w:pPr>
        <w:pStyle w:val="ManualConsidrant"/>
        <w:rPr>
          <w:noProof/>
        </w:rPr>
      </w:pPr>
      <w:r>
        <w:t>(3)</w:t>
      </w:r>
      <w:r>
        <w:tab/>
      </w:r>
      <w:r>
        <w:rPr>
          <w:noProof/>
        </w:rPr>
        <w:t>Le règlement (UE) 2015/847 du Parlement européen et du Conseil</w:t>
      </w:r>
      <w:r>
        <w:rPr>
          <w:rStyle w:val="FootnoteReference"/>
          <w:noProof/>
        </w:rPr>
        <w:footnoteReference w:id="7"/>
      </w:r>
      <w:r>
        <w:rPr>
          <w:noProof/>
        </w:rPr>
        <w:t xml:space="preserve"> doit être intégré dans l'accord EEE.</w:t>
      </w:r>
    </w:p>
    <w:p>
      <w:pPr>
        <w:pStyle w:val="ManualConsidrant"/>
        <w:rPr>
          <w:noProof/>
        </w:rPr>
      </w:pPr>
      <w:r>
        <w:t>(4)</w:t>
      </w:r>
      <w:r>
        <w:tab/>
      </w:r>
      <w:r>
        <w:rPr>
          <w:noProof/>
        </w:rPr>
        <w:t>La directive (UE) 2015/849 du Parlement européen et du Conseil</w:t>
      </w:r>
      <w:r>
        <w:rPr>
          <w:rStyle w:val="FootnoteReference"/>
          <w:noProof/>
        </w:rPr>
        <w:footnoteReference w:id="8"/>
      </w:r>
      <w:r>
        <w:rPr>
          <w:noProof/>
        </w:rPr>
        <w:t xml:space="preserve"> doit être intégrée dans l'accord EEE.</w:t>
      </w:r>
    </w:p>
    <w:p>
      <w:pPr>
        <w:pStyle w:val="ManualConsidrant"/>
        <w:rPr>
          <w:noProof/>
        </w:rPr>
      </w:pPr>
      <w:r>
        <w:t>(5)</w:t>
      </w:r>
      <w:r>
        <w:tab/>
      </w:r>
      <w:r>
        <w:rPr>
          <w:noProof/>
        </w:rPr>
        <w:t>Le règlement délégué (UE) 2016/1675 de la Commission</w:t>
      </w:r>
      <w:r>
        <w:rPr>
          <w:rStyle w:val="FootnoteReference"/>
          <w:noProof/>
        </w:rPr>
        <w:footnoteReference w:id="9"/>
      </w:r>
      <w:r>
        <w:rPr>
          <w:noProof/>
        </w:rPr>
        <w:t xml:space="preserve"> doit être intégré dans l'accord EEE.</w:t>
      </w:r>
    </w:p>
    <w:p>
      <w:pPr>
        <w:pStyle w:val="ManualConsidrant"/>
        <w:rPr>
          <w:noProof/>
        </w:rPr>
      </w:pPr>
      <w:r>
        <w:t>(6)</w:t>
      </w:r>
      <w:r>
        <w:tab/>
      </w:r>
      <w:r>
        <w:rPr>
          <w:noProof/>
        </w:rPr>
        <w:t xml:space="preserve">Il y a donc lieu de modifier l'annexe IX de l’accord EEE en conséquence. </w:t>
      </w:r>
    </w:p>
    <w:p>
      <w:pPr>
        <w:pStyle w:val="ManualConsidrant"/>
        <w:rPr>
          <w:noProof/>
        </w:rPr>
      </w:pPr>
      <w:r>
        <w:lastRenderedPageBreak/>
        <w:t>(7)</w:t>
      </w:r>
      <w:r>
        <w:tab/>
      </w:r>
      <w:r>
        <w:rPr>
          <w:noProof/>
        </w:rPr>
        <w:t>Il convient dès lors que la position de l'Union au sein du Comité mixte de l'EEE soit fondée sur les projets de décisions ci-joints,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IX (Services financiers) de l'accord EEE est fondée sur les projets de décisions du Comité mixte de l'EEE joints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2015/847 du Parlement européen et du Conseil du 20 mai 2015 sur les informations accompagnant les transferts de fonds et abrogeant le règlement (CE) nº 1781/2006.</w:t>
      </w:r>
    </w:p>
  </w:footnote>
  <w:footnote w:id="2">
    <w:p>
      <w:pPr>
        <w:pStyle w:val="FootnoteText"/>
      </w:pPr>
      <w:r>
        <w:rPr>
          <w:rStyle w:val="FootnoteReference"/>
        </w:rPr>
        <w:footnoteRef/>
      </w:r>
      <w: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w:t>
      </w:r>
    </w:p>
  </w:footnote>
  <w:footnote w:id="3">
    <w:p>
      <w:pPr>
        <w:pStyle w:val="FootnoteText"/>
      </w:pPr>
      <w:r>
        <w:rPr>
          <w:rStyle w:val="FootnoteReference"/>
        </w:rPr>
        <w:footnoteRef/>
      </w:r>
      <w:r>
        <w:tab/>
        <w:t>Règlement délégué (UE) 2016/1675 de la Commission du 14 juillet 2016 complétant la directive (UE) 2015/849 du Parlement européen et du Conseil par le recensement des pays tiers à haut risque présentant des carences stratégiques.</w:t>
      </w:r>
    </w:p>
  </w:footnote>
  <w:footnote w:id="4">
    <w:p>
      <w:pPr>
        <w:pStyle w:val="FootnoteText"/>
        <w:rPr>
          <w:iCs/>
        </w:rPr>
      </w:pPr>
      <w:r>
        <w:rPr>
          <w:rStyle w:val="FootnoteReference"/>
        </w:rPr>
        <w:footnoteRef/>
      </w:r>
      <w:r>
        <w:tab/>
        <w:t>JO L 305 du 30.11.1994, p. 6.</w:t>
      </w:r>
    </w:p>
  </w:footnote>
  <w:footnote w:id="5">
    <w:p>
      <w:pPr>
        <w:pStyle w:val="FootnoteText"/>
      </w:pPr>
      <w:r>
        <w:rPr>
          <w:rStyle w:val="FootnoteReference"/>
        </w:rPr>
        <w:footnoteRef/>
      </w:r>
      <w:r>
        <w:tab/>
        <w:t>JO L 305 du 30.11.1994, p. 6.</w:t>
      </w:r>
    </w:p>
  </w:footnote>
  <w:footnote w:id="6">
    <w:p>
      <w:pPr>
        <w:pStyle w:val="FootnoteText"/>
      </w:pPr>
      <w:r>
        <w:rPr>
          <w:rStyle w:val="FootnoteReference"/>
        </w:rPr>
        <w:footnoteRef/>
      </w:r>
      <w:r>
        <w:tab/>
        <w:t xml:space="preserve">JO L 1 du 3.1.1994, p. 3. </w:t>
      </w:r>
    </w:p>
  </w:footnote>
  <w:footnote w:id="7">
    <w:p>
      <w:pPr>
        <w:pStyle w:val="FootnoteText"/>
      </w:pPr>
      <w:r>
        <w:rPr>
          <w:rStyle w:val="FootnoteReference"/>
        </w:rPr>
        <w:footnoteRef/>
      </w:r>
      <w:r>
        <w:tab/>
        <w:t>Règlement (UE) 2015/847 du Parlement européen et du Conseil du 20 mai 2015 sur les informations accompagnant les transferts de fonds et abrogeant le règlement (CE) n° 1781/2006 (JO L 141 du 5.6.2015, p. 1).</w:t>
      </w:r>
    </w:p>
  </w:footnote>
  <w:footnote w:id="8">
    <w:p>
      <w:pPr>
        <w:pStyle w:val="FootnoteText"/>
      </w:pPr>
      <w:r>
        <w:rPr>
          <w:rStyle w:val="FootnoteReference"/>
        </w:rPr>
        <w:footnoteRef/>
      </w:r>
      <w:r>
        <w:tab/>
        <w:t>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(JO L 141 du 5.6.2015, p. 73).</w:t>
      </w:r>
    </w:p>
  </w:footnote>
  <w:footnote w:id="9">
    <w:p>
      <w:pPr>
        <w:pStyle w:val="FootnoteText"/>
      </w:pPr>
      <w:r>
        <w:rPr>
          <w:rStyle w:val="FootnoteReference"/>
        </w:rPr>
        <w:footnoteRef/>
      </w:r>
      <w:r>
        <w:tab/>
        <w:t>Règlement délégué (UE) 2016/1675 de la Commission du 14 juillet 2016 complétant la directive (UE) 2015/849 du Parlement européen et du Conseil par le recensement des pays tiers à haut risque présentant des carences stratégiques (JO L 254 du 20.9.2016,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2A65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34B3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C471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8E28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047D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A0A9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8478A2"/>
    <w:lvl w:ilvl="0">
      <w:start w:val="1"/>
      <w:numFmt w:val="decimal"/>
      <w:pStyle w:val="ListNumber"/>
      <w:lvlText w:val="%1."/>
      <w:lvlJc w:val="left"/>
      <w:pPr>
        <w:tabs>
          <w:tab w:val="num" w:pos="360"/>
        </w:tabs>
        <w:ind w:left="360" w:hanging="360"/>
      </w:pPr>
    </w:lvl>
  </w:abstractNum>
  <w:abstractNum w:abstractNumId="7">
    <w:nsid w:val="FFFFFF89"/>
    <w:multiLevelType w:val="singleLevel"/>
    <w:tmpl w:val="1C0683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2 10:04: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CABFC26-1D54-411E-8830-F52624DAA5E7"/>
    <w:docVar w:name="LW_COVERPAGE_TYPE" w:val="1"/>
    <w:docVar w:name="LW_CROSSREFERENCE" w:val="&lt;UNUSED&gt;"/>
    <w:docVar w:name="LW_DocType" w:val="COM"/>
    <w:docVar w:name="LW_EMISSION" w:val="12.10.2018"/>
    <w:docVar w:name="LW_EMISSION_ISODATE" w:val="2018-10-1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3"/>
    <w:docVar w:name="LW_REF.II.NEW.CP_YEAR" w:val="2018"/>
    <w:docVar w:name="LW_REF.INST.NEW" w:val="COM"/>
    <w:docVar w:name="LW_REF.INST.NEW_ADOPTED" w:val="final"/>
    <w:docVar w:name="LW_REF.INST.NEW_TEXT" w:val="(2018)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_x000b_au sein du Comité mixte de l\u8217?EEE en ce qui concerne une modification _x000b_de l\u8217?annexe IX (Services financiers) de l\u8217?accord EEE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88A8-71C5-4D50-B87B-9A3B2E33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873</Words>
  <Characters>4623</Characters>
  <Application>Microsoft Office Word</Application>
  <DocSecurity>0</DocSecurity>
  <Lines>102</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2018-09-18T13:12:00Z</dcterms:created>
  <dcterms:modified xsi:type="dcterms:W3CDTF">2018-10-12T08:04:00Z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