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317B9E-9A15-492B-80E0-4F3D01B8D80F"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Двата проекта на решения на Съвместния комитет на ЕИП (приложени към предложеното решение на Съвета) имат за цел да се измени приложение IX (Финансови услуги) към Споразумението за ЕИП, за да се включат Регламентът за преводите на средства</w:t>
      </w:r>
      <w:r>
        <w:rPr>
          <w:rStyle w:val="FootnoteReference"/>
          <w:noProof/>
        </w:rPr>
        <w:footnoteReference w:id="1"/>
      </w:r>
      <w:r>
        <w:rPr>
          <w:noProof/>
        </w:rPr>
        <w:t xml:space="preserve"> и Четвъртата директива за борбата с изпирането на пари</w:t>
      </w:r>
      <w:r>
        <w:rPr>
          <w:rStyle w:val="FootnoteReference"/>
          <w:noProof/>
        </w:rPr>
        <w:footnoteReference w:id="2"/>
      </w:r>
      <w:r>
        <w:rPr>
          <w:noProof/>
        </w:rPr>
        <w:t>, включително Делегирания регламент на Комисията за нейното допълване</w:t>
      </w:r>
      <w:r>
        <w:rPr>
          <w:rStyle w:val="FootnoteReference"/>
          <w:noProof/>
        </w:rPr>
        <w:footnoteReference w:id="3"/>
      </w:r>
      <w:r>
        <w:rPr>
          <w:noProof/>
        </w:rPr>
        <w:t>.</w:t>
      </w:r>
    </w:p>
    <w:p>
      <w:pPr>
        <w:pStyle w:val="Text1"/>
        <w:rPr>
          <w:noProof/>
        </w:rPr>
      </w:pPr>
      <w:r>
        <w:rPr>
          <w:noProof/>
        </w:rPr>
        <w:t>Адаптациите, които фигурират в приложените проекти на решения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ще бъде определена от Съвета.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rFonts w:eastAsia="Arial Unicode MS"/>
          <w:noProof/>
        </w:rPr>
      </w:pPr>
      <w:r>
        <w:rPr>
          <w:noProof/>
        </w:rPr>
        <w:t>Приложените проекти на решения на Съвместния комитет на ЕИП разширяват вече съществуващата политика на ЕС, за да включат в нея членуващите в ЕИП държави от ЕАСТ (Норвегия, Исландия и Лихтенщайн).</w:t>
      </w:r>
      <w:r>
        <w:t xml:space="preserve">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noProof/>
        </w:rPr>
      </w:pPr>
      <w:r>
        <w:rPr>
          <w:noProof/>
        </w:rPr>
        <w:t xml:space="preserve">Разширяването на обхвата на достиженията на правото на ЕС с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Законодателството, което следва да бъде включено в Споразумението за ЕИП, се основава на член 114 от Договора за функционирането на Европейския съюз.</w:t>
      </w:r>
    </w:p>
    <w:p>
      <w:pPr>
        <w:pStyle w:val="Text1"/>
        <w:rPr>
          <w:noProof/>
        </w:rPr>
      </w:pPr>
      <w:r>
        <w:rPr>
          <w:noProof/>
        </w:rPr>
        <w:t>Съгласно член 1, параграф 3 от Регламент (ЕО) № 2894/94 на Съвета</w:t>
      </w:r>
      <w:r>
        <w:rPr>
          <w:rStyle w:val="FootnoteReference"/>
          <w:noProof/>
        </w:rPr>
        <w:footnoteReference w:id="4"/>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w:t>
      </w:r>
      <w:r>
        <w:rPr>
          <w:noProof/>
        </w:rPr>
        <w:lastRenderedPageBreak/>
        <w:t xml:space="preserve">позицията, която трябва да се заеме от името на Съюза по отношение на подобни решения. </w:t>
      </w:r>
    </w:p>
    <w:p>
      <w:pPr>
        <w:pStyle w:val="Text1"/>
        <w:rPr>
          <w:noProof/>
        </w:rPr>
      </w:pPr>
      <w:r>
        <w:rPr>
          <w:noProof/>
        </w:rPr>
        <w:t>ЕСВД и службите на Комисията представят проектите на решения на Съвместния комитет на ЕИП пред Съвета, който следва да ги приеме като позиция на Съюза. ЕСВД се надява да има възможност да ги представи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rPr>
      </w:pPr>
      <w:r>
        <w:rPr>
          <w:noProof/>
        </w:rPr>
        <w:t xml:space="preserve">Предложението е в съответствие с принципа на субсидиарност по следната причина: </w:t>
      </w:r>
    </w:p>
    <w:p>
      <w:pPr>
        <w:pStyle w:val="Text1"/>
        <w:rPr>
          <w:noProof/>
        </w:rPr>
      </w:pPr>
      <w:r>
        <w:rPr>
          <w:noProof/>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 </w:t>
      </w:r>
    </w:p>
    <w:p>
      <w:pPr>
        <w:pStyle w:val="Text1"/>
        <w:rPr>
          <w:noProof/>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Text1"/>
        <w:rPr>
          <w:noProof/>
        </w:rPr>
      </w:pPr>
      <w:r>
        <w:rPr>
          <w:noProof/>
        </w:rPr>
        <w:t xml:space="preserve">Не е приложимо </w:t>
      </w:r>
    </w:p>
    <w:p>
      <w:pPr>
        <w:pStyle w:val="ManualHeading2"/>
        <w:rPr>
          <w:noProof/>
        </w:rPr>
      </w:pPr>
      <w:r>
        <w:rPr>
          <w:noProof/>
        </w:rPr>
        <w:t>4.</w:t>
      </w:r>
      <w:r>
        <w:rPr>
          <w:noProof/>
        </w:rPr>
        <w:tab/>
        <w:t>ОТРАЖЕНИЕ ВЪРХУ БЮДЖЕТА</w:t>
      </w:r>
    </w:p>
    <w:p>
      <w:pPr>
        <w:pStyle w:val="Text1"/>
        <w:rPr>
          <w:noProof/>
        </w:rPr>
      </w:pPr>
      <w:r>
        <w:rPr>
          <w:noProof/>
        </w:rPr>
        <w:t>Не се очаква отражение върху бюджета в резултат от включването на горепосочените актове в Споразумението за ЕИП.</w:t>
      </w:r>
    </w:p>
    <w:p>
      <w:pPr>
        <w:pStyle w:val="ManualHeading1"/>
        <w:rPr>
          <w:noProof/>
        </w:rPr>
      </w:pPr>
      <w:r>
        <w:rPr>
          <w:noProof/>
        </w:rPr>
        <w:t>5.</w:t>
      </w:r>
      <w:r>
        <w:rPr>
          <w:noProof/>
        </w:rPr>
        <w:tab/>
        <w:t>ДРУГИ ЕЛЕМЕНТИ</w:t>
      </w:r>
    </w:p>
    <w:p>
      <w:pPr>
        <w:pStyle w:val="Text1"/>
        <w:rPr>
          <w:noProof/>
        </w:rPr>
      </w:pPr>
      <w:r>
        <w:rPr>
          <w:noProof/>
        </w:rPr>
        <w:t xml:space="preserve">Не е приложимо </w:t>
      </w:r>
    </w:p>
    <w:p>
      <w:pPr>
        <w:pStyle w:val="ManualHeading2"/>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w:t>
      </w:r>
      <w:r>
        <w:rPr>
          <w:noProof/>
        </w:rPr>
        <w:br/>
        <w:t xml:space="preserve">в рамките на Съвместния комитет на ЕИП във връзка с изменение </w:t>
      </w:r>
      <w:r>
        <w:rPr>
          <w:noProof/>
        </w:rPr>
        <w:br/>
        <w:t xml:space="preserve">на приложение IX (Финансови услуги) към Споразумението за ЕИП </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5"/>
      </w:r>
      <w:r>
        <w:rPr>
          <w:noProof/>
        </w:rPr>
        <w:t xml:space="preserve">, и по-специално член 1, параграф 3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 („Споразумението за ЕИП“)</w:t>
      </w:r>
      <w:r>
        <w:rPr>
          <w:rStyle w:val="FootnoteReference"/>
          <w:noProof/>
        </w:rPr>
        <w:footnoteReference w:id="6"/>
      </w:r>
      <w:r>
        <w:rPr>
          <w:noProof/>
        </w:rPr>
        <w:t xml:space="preserve">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 inter alia приложение IX към Споразумението за ЕИП, което съдържа разпоредби относно финансовите услуги.</w:t>
      </w:r>
    </w:p>
    <w:p>
      <w:pPr>
        <w:pStyle w:val="ManualConsidrant"/>
        <w:rPr>
          <w:noProof/>
        </w:rPr>
      </w:pPr>
      <w:r>
        <w:t>(3)</w:t>
      </w:r>
      <w:r>
        <w:tab/>
      </w:r>
      <w:r>
        <w:rPr>
          <w:noProof/>
        </w:rPr>
        <w:t>Регламент (ЕС) 2015/847 на Европейския парламент и на Съвета</w:t>
      </w:r>
      <w:r>
        <w:rPr>
          <w:rStyle w:val="FootnoteReference"/>
          <w:noProof/>
        </w:rPr>
        <w:footnoteReference w:id="7"/>
      </w:r>
      <w:r>
        <w:rPr>
          <w:noProof/>
        </w:rPr>
        <w:t xml:space="preserve"> следва да бъде включен в Споразумението за ЕИП.</w:t>
      </w:r>
    </w:p>
    <w:p>
      <w:pPr>
        <w:pStyle w:val="ManualConsidrant"/>
        <w:rPr>
          <w:noProof/>
        </w:rPr>
      </w:pPr>
      <w:r>
        <w:t>(4)</w:t>
      </w:r>
      <w:r>
        <w:tab/>
      </w:r>
      <w:r>
        <w:rPr>
          <w:noProof/>
        </w:rPr>
        <w:t>Директива (ЕС) 2015/849 на Европейския парламент и на Съвета</w:t>
      </w:r>
      <w:r>
        <w:rPr>
          <w:rStyle w:val="FootnoteReference"/>
          <w:noProof/>
        </w:rPr>
        <w:footnoteReference w:id="8"/>
      </w:r>
      <w:r>
        <w:rPr>
          <w:noProof/>
        </w:rPr>
        <w:t xml:space="preserve"> следва да бъде включена в Споразумението за ЕИП.</w:t>
      </w:r>
    </w:p>
    <w:p>
      <w:pPr>
        <w:pStyle w:val="ManualConsidrant"/>
        <w:rPr>
          <w:noProof/>
        </w:rPr>
      </w:pPr>
      <w:r>
        <w:t>(5)</w:t>
      </w:r>
      <w:r>
        <w:tab/>
      </w:r>
      <w:r>
        <w:rPr>
          <w:noProof/>
        </w:rPr>
        <w:t>Делегиран регламент (ЕС) № 2016/1675 на Комисията</w:t>
      </w:r>
      <w:r>
        <w:rPr>
          <w:rStyle w:val="FootnoteReference"/>
          <w:noProof/>
        </w:rPr>
        <w:footnoteReference w:id="9"/>
      </w:r>
      <w:r>
        <w:rPr>
          <w:noProof/>
        </w:rPr>
        <w:t xml:space="preserve"> следва да бъде включен в Споразумението за ЕИП.</w:t>
      </w:r>
    </w:p>
    <w:p>
      <w:pPr>
        <w:pStyle w:val="ManualConsidrant"/>
        <w:rPr>
          <w:noProof/>
        </w:rPr>
      </w:pPr>
      <w:r>
        <w:lastRenderedPageBreak/>
        <w:t>(6)</w:t>
      </w:r>
      <w:r>
        <w:tab/>
      </w:r>
      <w:r>
        <w:rPr>
          <w:noProof/>
        </w:rPr>
        <w:t xml:space="preserve">Поради това приложение IX към Споразумението за ЕИП следва да бъде съответно изменено. </w:t>
      </w:r>
    </w:p>
    <w:p>
      <w:pPr>
        <w:pStyle w:val="ManualConsidrant"/>
        <w:rPr>
          <w:noProof/>
        </w:rPr>
      </w:pPr>
      <w:r>
        <w:t>(7)</w:t>
      </w:r>
      <w:r>
        <w:tab/>
      </w:r>
      <w:r>
        <w:rPr>
          <w:noProof/>
        </w:rPr>
        <w:t>Следователно позицията на Съюза в рамките на Съвместния комитет на ЕИП следва да се основава на приложените проекти за решения,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IX (Финансови услуги) към Споразумението за ЕИП, се основава на проектите за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w:t>
      </w:r>
    </w:p>
  </w:footnote>
  <w:footnote w:id="2">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footnote>
  <w:footnote w:id="3">
    <w:p>
      <w:pPr>
        <w:pStyle w:val="FootnoteText"/>
      </w:pPr>
      <w:r>
        <w:rPr>
          <w:rStyle w:val="FootnoteReference"/>
        </w:rPr>
        <w:footnoteRef/>
      </w:r>
      <w:r>
        <w:tab/>
        <w:t>Делегиран регламент (ЕС) 2016/1675 на Комисията от 14 юли 2016 г. за допълване на Директива (ЕС) 2015/849 на Европейския парламент и на Съвета чрез идентифициране на високорискови трети държави със стратегически слабости.</w:t>
      </w:r>
    </w:p>
  </w:footnote>
  <w:footnote w:id="4">
    <w:p>
      <w:pPr>
        <w:pStyle w:val="FootnoteText"/>
        <w:rPr>
          <w:iCs/>
        </w:rPr>
      </w:pPr>
      <w:r>
        <w:rPr>
          <w:rStyle w:val="FootnoteReference"/>
        </w:rPr>
        <w:footnoteRef/>
      </w:r>
      <w:r>
        <w:tab/>
        <w:t>ОВ L 305, 30.11.1994 г., стр. 6—8.</w:t>
      </w:r>
    </w:p>
  </w:footnote>
  <w:footnote w:id="5">
    <w:p>
      <w:pPr>
        <w:pStyle w:val="FootnoteText"/>
      </w:pPr>
      <w:r>
        <w:rPr>
          <w:rStyle w:val="FootnoteReference"/>
        </w:rPr>
        <w:footnoteRef/>
      </w:r>
      <w:r>
        <w:tab/>
        <w:t>ОВ L 305, 30.11.1994 г., стр. 6.</w:t>
      </w:r>
    </w:p>
  </w:footnote>
  <w:footnote w:id="6">
    <w:p>
      <w:pPr>
        <w:pStyle w:val="FootnoteText"/>
      </w:pPr>
      <w:r>
        <w:rPr>
          <w:rStyle w:val="FootnoteReference"/>
        </w:rPr>
        <w:footnoteRef/>
      </w:r>
      <w:r>
        <w:tab/>
        <w:t xml:space="preserve">ОВ L 1, 3.1.1994 г., стр. 3. </w:t>
      </w:r>
    </w:p>
  </w:footnote>
  <w:footnote w:id="7">
    <w:p>
      <w:pPr>
        <w:pStyle w:val="FootnoteText"/>
      </w:pPr>
      <w:r>
        <w:rPr>
          <w:rStyle w:val="FootnoteReference"/>
        </w:rPr>
        <w:footnoteRef/>
      </w:r>
      <w:r>
        <w:tab/>
        <w:t>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(ОВ L 141, 5.6.2015 г., стр. 1—18).</w:t>
      </w:r>
    </w:p>
  </w:footnote>
  <w:footnote w:id="8">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9">
    <w:p>
      <w:pPr>
        <w:pStyle w:val="FootnoteText"/>
      </w:pPr>
      <w:r>
        <w:rPr>
          <w:rStyle w:val="FootnoteReference"/>
        </w:rPr>
        <w:footnoteRef/>
      </w:r>
      <w:r>
        <w:tab/>
        <w:t>Делегиран регламент (ЕС) 2016/1675 на Комисията от 14 юли 2016 г. за допълване на Директива (ЕС) 2015/849 на Европейския парламент и на Съвета чрез идентифициране на високорискови трети държави със стратегически слабости (ОВ L 254, 20.9.2016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2A65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34B3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C471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8E2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047D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A0A9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8478A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0683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3: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317B9E-9A15-492B-80E0-4F3D01B8D80F"/>
    <w:docVar w:name="LW_COVERPAGE_TYPE" w:val="1"/>
    <w:docVar w:name="LW_CROSSREFERENCE" w:val="&lt;UNUSED&gt;"/>
    <w:docVar w:name="LW_DocType" w:val="COM"/>
    <w:docVar w:name="LW_EMISSION" w:val="12.10.2018"/>
    <w:docVar w:name="LW_EMISSION_ISODATE" w:val="2018-10-1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3"/>
    <w:docVar w:name="LW_REF.II.NEW.CP_YEAR" w:val="2018"/>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_x000b_\u1085?\u1072? \u1087?\u1088?\u1080?\u1083?\u1086?\u1078?\u1077?\u1085?\u1080?\u1077? IX (\u1060?\u1080?\u1085?\u1072?\u1085?\u1089?\u1086?\u1074?\u1080? \u1091?\u1089?\u1083?\u1091?\u1075?\u1080?) \u1082?\u1098?\u1084? \u1057?\u1087?\u1086?\u1088?\u1072?\u1079?\u1091?\u1084?\u1077?\u1085?\u1080?\u1077?\u1090?\u1086? \u1079?\u1072? \u1045?\u1048?\u1055?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9DAB-5515-476F-A942-E162CDF6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854</Words>
  <Characters>4812</Characters>
  <Application>Microsoft Office Word</Application>
  <DocSecurity>0</DocSecurity>
  <Lines>111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2018-10-02T13:40:00Z</dcterms:created>
  <dcterms:modified xsi:type="dcterms:W3CDTF">2018-10-12T08:03:00Z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