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7369D0-1D4A-4EC1-8DEE-0CBD99C26EEB"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covers: </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ceiling for the annual amount of the contributions for 2020;</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annual amount of the contributions for 2019;</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amount of the first instalment of the contribution for 2019;</w:t>
      </w:r>
    </w:p>
    <w:p>
      <w:pPr>
        <w:pBdr>
          <w:top w:val="nil"/>
          <w:left w:val="nil"/>
          <w:bottom w:val="nil"/>
          <w:right w:val="nil"/>
          <w:between w:val="nil"/>
          <w:bar w:val="nil"/>
        </w:pBdr>
        <w:spacing w:before="0"/>
        <w:ind w:left="709" w:hanging="709"/>
        <w:rPr>
          <w:rFonts w:eastAsia="Arial Unicode MS"/>
          <w:noProof/>
        </w:rPr>
      </w:pPr>
      <w:r>
        <w:rPr>
          <w:rFonts w:eastAsia="Arial Unicode MS"/>
          <w:noProof/>
        </w:rPr>
        <w:t>–</w:t>
      </w:r>
      <w:r>
        <w:rPr>
          <w:rFonts w:eastAsia="Arial Unicode MS"/>
          <w:noProof/>
        </w:rPr>
        <w:tab/>
        <w:t>Non-binding forecast for the expected annual amounts for the years 2021 and 2022.</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European Development Fund (EDF) and other EDF funds which are still open (i.e. </w:t>
      </w:r>
      <w:r>
        <w:rPr>
          <w:noProof/>
        </w:rPr>
        <w:t>Eighth, Ninth and 10</w:t>
      </w:r>
      <w:r>
        <w:rPr>
          <w:noProof/>
          <w:vertAlign w:val="superscript"/>
        </w:rPr>
        <w:t>th</w:t>
      </w:r>
      <w:r>
        <w:rPr>
          <w:noProof/>
        </w:rPr>
        <w:t xml:space="preserve"> EDF</w:t>
      </w:r>
      <w:r>
        <w:rPr>
          <w:rFonts w:eastAsia="Arial Unicode MS"/>
          <w:noProof/>
        </w:rPr>
        <w:t>) are managed under the following set of rules:</w:t>
      </w:r>
    </w:p>
    <w:p>
      <w:pPr>
        <w:pBdr>
          <w:top w:val="nil"/>
          <w:left w:val="nil"/>
          <w:bottom w:val="nil"/>
          <w:right w:val="nil"/>
          <w:between w:val="nil"/>
          <w:bar w:val="nil"/>
        </w:pBdr>
        <w:spacing w:before="0" w:after="240"/>
        <w:rPr>
          <w:rFonts w:eastAsia="Arial Unicode MS"/>
          <w:noProof/>
        </w:rPr>
      </w:pPr>
      <w:r>
        <w:rPr>
          <w:rFonts w:eastAsia="Arial Unicode MS"/>
          <w:noProof/>
        </w:rPr>
        <w:t>- 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 Council Regulation (EU) 2015/323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financially the EDF treasury.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7 of the Internal Agreement</w:t>
      </w:r>
      <w:r>
        <w:rPr>
          <w:rStyle w:val="FootnoteReference"/>
          <w:rFonts w:eastAsia="Arial Unicode MS"/>
          <w:noProof/>
          <w:lang w:eastAsia="en-GB"/>
        </w:rPr>
        <w:footnoteReference w:id="4"/>
      </w:r>
      <w:r>
        <w:rPr>
          <w:noProof/>
        </w:rPr>
        <w:t xml:space="preserve"> the contributions by Member States to the 11th EDF are to be approved by means of a Council decision adopted by qualified majority.</w:t>
      </w:r>
    </w:p>
    <w:p>
      <w:pPr>
        <w:pBdr>
          <w:top w:val="nil"/>
          <w:left w:val="nil"/>
          <w:bottom w:val="nil"/>
          <w:right w:val="nil"/>
          <w:between w:val="nil"/>
          <w:bar w:val="nil"/>
        </w:pBdr>
        <w:spacing w:before="0" w:after="240"/>
        <w:rPr>
          <w:noProof/>
        </w:rPr>
      </w:pPr>
      <w:r>
        <w:rPr>
          <w:noProof/>
        </w:rPr>
        <w:t>In accordance with Article 21(7) of the 11</w:t>
      </w:r>
      <w:r>
        <w:rPr>
          <w:noProof/>
          <w:vertAlign w:val="superscript"/>
        </w:rPr>
        <w:t>th</w:t>
      </w:r>
      <w:r>
        <w:rPr>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EDF 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21(2) of the 11</w:t>
      </w:r>
      <w:r>
        <w:rPr>
          <w:rFonts w:eastAsia="Arial Unicode MS"/>
          <w:noProof/>
          <w:vertAlign w:val="superscript"/>
        </w:rPr>
        <w:t>th</w:t>
      </w:r>
      <w:r>
        <w:rPr>
          <w:rFonts w:eastAsia="Arial Unicode MS"/>
          <w:noProof/>
        </w:rPr>
        <w:t xml:space="preserve"> EDF Financial Regulation, the Council shall decide on that proposal by 15 November.</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ceiling for 2020, the annual amount for 2019, the first instalment for 2019 and an indicative and non-binding forecast for the expected annual amounts of contributions for the years 2021 and 2022</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5"/>
      </w:r>
      <w:r>
        <w:rPr>
          <w:noProof/>
        </w:rPr>
        <w:t xml:space="preserve"> ("the Internal Agreement") and in particular Article 7(2) thereof,</w:t>
      </w:r>
    </w:p>
    <w:p>
      <w:pPr>
        <w:rPr>
          <w:noProof/>
        </w:rPr>
      </w:pPr>
      <w:r>
        <w:rPr>
          <w:noProof/>
        </w:rPr>
        <w:t>Having regard to Council Regulation (EU) 2015/323 of 2 March 2015 on the Financial Regulation applicable to the 11</w:t>
      </w:r>
      <w:r>
        <w:rPr>
          <w:noProof/>
          <w:vertAlign w:val="superscript"/>
        </w:rPr>
        <w:t>th</w:t>
      </w:r>
      <w:r>
        <w:rPr>
          <w:noProof/>
        </w:rPr>
        <w:t xml:space="preserve"> European Development Fund</w:t>
      </w:r>
      <w:r>
        <w:rPr>
          <w:rStyle w:val="FootnoteReference"/>
          <w:noProof/>
        </w:rPr>
        <w:footnoteReference w:id="6"/>
      </w:r>
      <w:r>
        <w:rPr>
          <w:noProof/>
        </w:rPr>
        <w:t>, and in particular Article 21(2)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21(2) of the Council Regulation (EU) 2015/323, the Commission shall present a proposal by 15 October 2018 specifying (a) the ceiling amount of the contribution for 2020; (b) the annual amount of the contribution for 2019; (c) the amount of the first instalment of the contribution for 2019; and (d) an indicative, non-binding forecast for the expected annual amounts of contributions for the years 2021-2022.</w:t>
      </w:r>
    </w:p>
    <w:p>
      <w:pPr>
        <w:pStyle w:val="ManualConsidrant"/>
        <w:rPr>
          <w:noProof/>
        </w:rPr>
      </w:pPr>
      <w:r>
        <w:t>(2)</w:t>
      </w:r>
      <w:r>
        <w:tab/>
      </w:r>
      <w:r>
        <w:rPr>
          <w:noProof/>
        </w:rPr>
        <w:t>In accordance with Article 52 of the Council Regulation (EU) 2015/323, the European Investment Bank sent to the Commission its updated estimates of commitments and payments under the instruments it manages.</w:t>
      </w:r>
    </w:p>
    <w:p>
      <w:pPr>
        <w:pStyle w:val="ManualConsidrant"/>
        <w:rPr>
          <w:noProof/>
        </w:rPr>
      </w:pPr>
      <w:r>
        <w:t>(3)</w:t>
      </w:r>
      <w:r>
        <w:tab/>
      </w:r>
      <w:r>
        <w:rPr>
          <w:noProof/>
        </w:rPr>
        <w:t>Article 22(1) of the Council Regulation (EU) 2015/323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Council Decision (EU) 2017/2171</w:t>
      </w:r>
      <w:r>
        <w:rPr>
          <w:rStyle w:val="FootnoteReference"/>
          <w:noProof/>
        </w:rPr>
        <w:footnoteReference w:id="7"/>
      </w:r>
      <w:r>
        <w:rPr>
          <w:noProof/>
        </w:rPr>
        <w:t xml:space="preserve"> has set out the ceiling for the annual amount of the Member States' EDF contributions for 2019 at EUR 4 600 000 000 for the Commission, and at EUR 300 000 000 for the EIB.</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ceiling for the annual amount of the Member States' EDF contributions for 2020 is hereby set at EUR 4 900 000 000. It shall be divided into EUR 4 600 000 000 for the Commission, and EUR 300 000 000 for the EIB.</w:t>
      </w:r>
    </w:p>
    <w:p>
      <w:pPr>
        <w:pStyle w:val="Titrearticle"/>
        <w:keepNext w:val="0"/>
        <w:rPr>
          <w:noProof/>
        </w:rPr>
      </w:pPr>
      <w:r>
        <w:rPr>
          <w:noProof/>
        </w:rPr>
        <w:t>Article 2</w:t>
      </w:r>
    </w:p>
    <w:p>
      <w:pPr>
        <w:keepLines/>
        <w:rPr>
          <w:noProof/>
        </w:rPr>
      </w:pPr>
      <w:r>
        <w:rPr>
          <w:noProof/>
        </w:rPr>
        <w:t>The annual amount of the Member States' EDF contributions for 2019 is hereby set at EUR 4 700 000 000. It shall be divided into EUR 4 400 000 000 for the Commission, and EUR 300 000 000 for the EIB.</w:t>
      </w:r>
    </w:p>
    <w:p>
      <w:pPr>
        <w:pStyle w:val="Titrearticle"/>
        <w:keepNext w:val="0"/>
        <w:rPr>
          <w:noProof/>
        </w:rPr>
      </w:pPr>
      <w:r>
        <w:rPr>
          <w:noProof/>
        </w:rPr>
        <w:t>Article 3</w:t>
      </w:r>
    </w:p>
    <w:p>
      <w:pPr>
        <w:keepNext/>
        <w:keepLines/>
        <w:rPr>
          <w:noProof/>
        </w:rPr>
      </w:pPr>
      <w:r>
        <w:rPr>
          <w:noProof/>
        </w:rPr>
        <w:t>The individual European Development Fund contributions to be paid by the Member States to the European Commission and the European Investment Bank as the first instalment for 2019 are set out in the table in the Annex to this Decision.</w:t>
      </w:r>
    </w:p>
    <w:p>
      <w:pPr>
        <w:pStyle w:val="Titrearticle"/>
        <w:keepNext w:val="0"/>
        <w:rPr>
          <w:noProof/>
        </w:rPr>
      </w:pPr>
      <w:r>
        <w:rPr>
          <w:noProof/>
        </w:rPr>
        <w:t>Article 4</w:t>
      </w:r>
    </w:p>
    <w:p>
      <w:pPr>
        <w:keepNext/>
        <w:keepLines/>
        <w:rPr>
          <w:noProof/>
        </w:rPr>
      </w:pPr>
      <w:r>
        <w:rPr>
          <w:noProof/>
        </w:rPr>
        <w:t>The indicative non-binding forecast for the expected annual amount of contributions for 2021 is hereby set at EUR 4 000 000 000 for the Commission and at EUR 300 000 000 for the EIB, and that for 2022 at EUR 3 500 000 000 for the Commission and 400 000 000 for the EIB.</w:t>
      </w:r>
    </w:p>
    <w:p>
      <w:pPr>
        <w:pStyle w:val="Titrearticle"/>
        <w:keepNext w:val="0"/>
        <w:rPr>
          <w:noProof/>
        </w:rPr>
      </w:pPr>
      <w:r>
        <w:rPr>
          <w:noProof/>
        </w:rPr>
        <w:t>Article 5</w:t>
      </w:r>
    </w:p>
    <w:p>
      <w:pPr>
        <w:keepNext/>
        <w:keepLines/>
        <w:rPr>
          <w:noProof/>
        </w:rPr>
      </w:pPr>
      <w:r>
        <w:rPr>
          <w:noProof/>
        </w:rPr>
        <w:t>This Decision shall enter into force on the date of its adoption.</w:t>
      </w:r>
    </w:p>
    <w:p>
      <w:pPr>
        <w:keepNext/>
        <w:keepLines/>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pPr>
      <w:r>
        <w:rPr>
          <w:rStyle w:val="FootnoteReference"/>
        </w:rPr>
        <w:footnoteRef/>
      </w:r>
      <w:r>
        <w:tab/>
      </w:r>
      <w:r>
        <w:rPr>
          <w:noProof/>
        </w:rPr>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p>
  </w:footnote>
  <w:footnote w:id="5">
    <w:p>
      <w:pPr>
        <w:pStyle w:val="FootnoteText"/>
      </w:pPr>
      <w:r>
        <w:rPr>
          <w:rStyle w:val="FootnoteReference"/>
        </w:rPr>
        <w:footnoteRef/>
      </w:r>
      <w:r>
        <w:tab/>
        <w:t>OJ L 210, 6.8.2013, p. 1</w:t>
      </w:r>
    </w:p>
  </w:footnote>
  <w:footnote w:id="6">
    <w:p>
      <w:pPr>
        <w:pStyle w:val="FootnoteText"/>
      </w:pPr>
      <w:r>
        <w:rPr>
          <w:rStyle w:val="FootnoteReference"/>
        </w:rPr>
        <w:footnoteRef/>
      </w:r>
      <w:r>
        <w:tab/>
        <w:t>OJ L 58, 3.3.2015, p. 17.</w:t>
      </w:r>
    </w:p>
  </w:footnote>
  <w:footnote w:id="7">
    <w:p>
      <w:pPr>
        <w:pStyle w:val="FootnoteText"/>
      </w:pPr>
      <w:r>
        <w:rPr>
          <w:rStyle w:val="FootnoteReference"/>
        </w:rPr>
        <w:footnoteRef/>
      </w:r>
      <w:r>
        <w:tab/>
        <w:t>Council Decision (EU) 2017/2171, of 20 November 2017 on the financial contribution to be paid by Member States to finance the European Development Fund, including the ceiling for 2019, the annual amount for 2018, the first instalment for 2018 and an indicative and non-binding forecast for the expected annual amounts for the years 2020 and 2021 (OJ L 306, 22.11.2017,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5E3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2EF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466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2EB2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50ED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03C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62A4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46DB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5:55: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7369D0-1D4A-4EC1-8DEE-0CBD99C26EEB"/>
    <w:docVar w:name="LW_COVERPAGE_TYPE" w:val="1"/>
    <w:docVar w:name="LW_CROSSREFERENCE" w:val="&lt;UNUSED&gt;"/>
    <w:docVar w:name="LW_DocType" w:val="COM"/>
    <w:docVar w:name="LW_EMISSION" w:val="15.10.2018"/>
    <w:docVar w:name="LW_EMISSION_ISODATE" w:val="2018-10-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1"/>
    <w:docVar w:name="LW_REF.II.NEW.CP_YEAR" w:val="2018"/>
    <w:docVar w:name="LW_REF.INST.NEW" w:val="COM"/>
    <w:docVar w:name="LW_REF.INST.NEW_ADOPTED" w:val="final"/>
    <w:docVar w:name="LW_REF.INST.NEW_TEXT" w:val="(2018)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ceiling for 2020, the annual amount for 2019, the first instalment for 2019 and an indicative and non-binding forecast for the expected annual amounts of contributions for the years 2021 and 202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1228</Words>
  <Characters>6290</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2018-09-14T14:19:00Z</dcterms:created>
  <dcterms:modified xsi:type="dcterms:W3CDTF">2018-10-10T13:55:00Z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