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5602616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F6C215B6-C171-4F31-BA5E-BB3957B01B69" style="width:450.8pt;height:307.4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fmt="numberInDash" w:start="1"/>
          <w:cols w:space="720"/>
          <w:docGrid w:linePitch="326"/>
        </w:sectPr>
      </w:pPr>
    </w:p>
    <w:p>
      <w:pPr>
        <w:pStyle w:val="Heading1"/>
        <w:numPr>
          <w:ilvl w:val="0"/>
          <w:numId w:val="21"/>
        </w:numPr>
        <w:tabs>
          <w:tab w:val="left" w:pos="720"/>
        </w:tabs>
        <w:spacing w:before="0" w:after="120" w:line="276" w:lineRule="auto"/>
        <w:rPr>
          <w:noProof/>
        </w:rPr>
      </w:pPr>
      <w:bookmarkStart w:id="2" w:name="_Toc494974436"/>
      <w:bookmarkStart w:id="3" w:name="_Toc524523057"/>
      <w:bookmarkStart w:id="4" w:name="_GoBack"/>
      <w:bookmarkEnd w:id="0"/>
      <w:bookmarkEnd w:id="4"/>
      <w:r>
        <w:rPr>
          <w:noProof/>
        </w:rPr>
        <w:lastRenderedPageBreak/>
        <w:t>Introduction</w:t>
      </w:r>
      <w:bookmarkEnd w:id="2"/>
      <w:bookmarkEnd w:id="3"/>
    </w:p>
    <w:p>
      <w:pPr>
        <w:spacing w:after="120" w:line="276" w:lineRule="auto"/>
        <w:jc w:val="both"/>
        <w:rPr>
          <w:noProof/>
        </w:rPr>
      </w:pPr>
      <w:r>
        <w:rPr>
          <w:noProof/>
        </w:rPr>
        <w:t>Le présent rapport fournit des prévisions à long terme concernant les entrées et sorties futures au cours des cinq années à venir (2019-2023), conformément aux dispositions de l’article 247, paragraphe 1, point c), du règlement financier</w:t>
      </w:r>
      <w:r>
        <w:rPr>
          <w:rStyle w:val="FootnoteReference"/>
          <w:noProof/>
        </w:rPr>
        <w:footnoteReference w:id="2"/>
      </w:r>
      <w:r>
        <w:rPr>
          <w:noProof/>
        </w:rPr>
        <w:t>. Cette analyse tient compte des conditions et des principes définis dans le projet d’accord de retrait</w:t>
      </w:r>
      <w:r>
        <w:rPr>
          <w:rStyle w:val="FootnoteReference"/>
          <w:noProof/>
        </w:rPr>
        <w:footnoteReference w:id="3"/>
      </w:r>
      <w:r>
        <w:rPr>
          <w:noProof/>
        </w:rPr>
        <w:t xml:space="preserve"> entre l’UE et le Royaume-Uni. Elle n’évalue pas l’incidence sur les prévisions à long terme d’une absence de conclusion ou de ratification de l’accord de retrait.</w:t>
      </w:r>
    </w:p>
    <w:p>
      <w:pPr>
        <w:spacing w:after="120" w:line="276" w:lineRule="auto"/>
        <w:jc w:val="both"/>
        <w:rPr>
          <w:noProof/>
        </w:rPr>
      </w:pPr>
      <w:r>
        <w:rPr>
          <w:noProof/>
        </w:rPr>
        <w:t>Les prévisions couvrent les éléments de l’actuel cadre financier et du prochain. Elles sont basées sur le niveau des crédits d’engagement pour 2019 et 2020, tel qu’il apparaît dans le projet de budget 2019 et dans la programmation financière pour l’année 2020 qui l’accompagne. Les engagements présentés dans la proposition de la Commission relative au prochain cadre financier pluriannuel (CFP)</w:t>
      </w:r>
      <w:r>
        <w:rPr>
          <w:rStyle w:val="FootnoteReference"/>
          <w:noProof/>
        </w:rPr>
        <w:footnoteReference w:id="4"/>
      </w:r>
      <w:r>
        <w:rPr>
          <w:noProof/>
        </w:rPr>
        <w:t xml:space="preserve"> sont pris en considération pour la période 2021-2023. </w:t>
      </w:r>
    </w:p>
    <w:p>
      <w:pPr>
        <w:spacing w:after="120" w:line="276" w:lineRule="auto"/>
        <w:jc w:val="both"/>
        <w:rPr>
          <w:noProof/>
        </w:rPr>
      </w:pPr>
      <w:r>
        <w:rPr>
          <w:noProof/>
        </w:rPr>
        <w:t>De nouvelles informations, à la suite de la proposition de CFP du 2 mai 2018, sont également prises en compte: les prévisions actualisées des États membres pour la mise en œuvre des Fonds structurels et d’investissement européens 2014-2020</w:t>
      </w:r>
      <w:r>
        <w:rPr>
          <w:rStyle w:val="FootnoteReference"/>
          <w:noProof/>
        </w:rPr>
        <w:footnoteReference w:id="5"/>
      </w:r>
      <w:r>
        <w:rPr>
          <w:noProof/>
        </w:rPr>
        <w:t xml:space="preserve"> (les Fonds ESI), fournies au 31 juillet 2018; les modifications du budget 2018 (à savoir le projet de budget rectificatif n° 5</w:t>
      </w:r>
      <w:r>
        <w:rPr>
          <w:rStyle w:val="FootnoteReference"/>
          <w:noProof/>
        </w:rPr>
        <w:footnoteReference w:id="6"/>
      </w:r>
      <w:r>
        <w:rPr>
          <w:noProof/>
        </w:rPr>
        <w:t xml:space="preserve"> et les résultats du virement global) et la lettre rectificative n° 1 au projet de budget 2019. Les initiatives annoncées le 12 septembre 2018</w:t>
      </w:r>
      <w:r>
        <w:rPr>
          <w:rStyle w:val="FootnoteReference"/>
          <w:noProof/>
        </w:rPr>
        <w:footnoteReference w:id="7"/>
      </w:r>
      <w:r>
        <w:rPr>
          <w:noProof/>
        </w:rPr>
        <w:t xml:space="preserve"> pour renforcer l’Agence européenne de garde-frontières et de garde-côtes et l’Agence de l’Union européenne pour l’asile ont aussi été prises en considération.</w:t>
      </w:r>
    </w:p>
    <w:p>
      <w:pPr>
        <w:pStyle w:val="Heading1"/>
        <w:numPr>
          <w:ilvl w:val="0"/>
          <w:numId w:val="21"/>
        </w:numPr>
        <w:tabs>
          <w:tab w:val="left" w:pos="720"/>
        </w:tabs>
        <w:spacing w:before="0" w:after="120" w:line="276" w:lineRule="auto"/>
        <w:rPr>
          <w:noProof/>
        </w:rPr>
      </w:pPr>
      <w:bookmarkStart w:id="5" w:name="_Toc494974438"/>
      <w:bookmarkStart w:id="6" w:name="_Toc524523058"/>
      <w:r>
        <w:rPr>
          <w:noProof/>
        </w:rPr>
        <w:t>Résultats des prévisions</w:t>
      </w:r>
      <w:bookmarkEnd w:id="5"/>
      <w:bookmarkEnd w:id="6"/>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7" w:name="_Toc524523059"/>
      <w:r>
        <w:rPr>
          <w:noProof/>
        </w:rPr>
        <w:t>Paiements</w:t>
      </w:r>
      <w:bookmarkEnd w:id="7"/>
    </w:p>
    <w:p>
      <w:pPr>
        <w:pStyle w:val="Heading2"/>
        <w:keepNext w:val="0"/>
        <w:numPr>
          <w:ilvl w:val="2"/>
          <w:numId w:val="21"/>
        </w:numPr>
        <w:tabs>
          <w:tab w:val="left" w:pos="720"/>
        </w:tabs>
        <w:spacing w:after="120" w:line="276" w:lineRule="auto"/>
        <w:rPr>
          <w:noProof/>
        </w:rPr>
      </w:pPr>
      <w:bookmarkStart w:id="8" w:name="_Toc524523061"/>
      <w:r>
        <w:rPr>
          <w:noProof/>
        </w:rPr>
        <w:t>Paiements jusqu’au terme du CFP actuel</w:t>
      </w:r>
      <w:bookmarkEnd w:id="8"/>
      <w:r>
        <w:rPr>
          <w:noProof/>
        </w:rPr>
        <w:t xml:space="preserve"> (2019-2020)</w:t>
      </w:r>
    </w:p>
    <w:p>
      <w:pPr>
        <w:spacing w:after="120" w:line="276" w:lineRule="auto"/>
        <w:jc w:val="both"/>
        <w:rPr>
          <w:noProof/>
        </w:rPr>
      </w:pPr>
      <w:bookmarkStart w:id="9" w:name="_Toc494974447"/>
      <w:r>
        <w:rPr>
          <w:noProof/>
        </w:rPr>
        <w:t>Pour l’année 2019, les prévisions de paiements s’alignent sur les niveaux proposés dans le projet de budget 2019 (y compris la lettre rectificative n° 1). Les paiements relatifs à l’année 2020 ont été évalués en tenant compte de la mise en œuvre au cours de la période 2014-2017 et pendant la première moitié de l’année 2018, des informations mises à disposition lors de l’élaboration du projet de budget 2019, ainsi que des prévisions actualisées des États membres relatives à la mise en œuvre des Fonds ESI 2014-2020. Tous les programmes de dépenses devraient atteindre leur vitesse de croisière lors de la dernière année du CFP actuel. La majeure partie des programmes 2007-2013 relevant de la politique de cohésion devraient être clôturés d’ici la fin de l’année 2019.</w:t>
      </w:r>
      <w:bookmarkEnd w:id="9"/>
    </w:p>
    <w:p>
      <w:pPr>
        <w:pStyle w:val="Heading2"/>
        <w:keepNext w:val="0"/>
        <w:numPr>
          <w:ilvl w:val="2"/>
          <w:numId w:val="21"/>
        </w:numPr>
        <w:tabs>
          <w:tab w:val="left" w:pos="720"/>
        </w:tabs>
        <w:spacing w:after="120" w:line="276" w:lineRule="auto"/>
        <w:rPr>
          <w:noProof/>
        </w:rPr>
      </w:pPr>
      <w:bookmarkStart w:id="10" w:name="_Toc524523062"/>
      <w:r>
        <w:rPr>
          <w:noProof/>
        </w:rPr>
        <w:t>Paiements relatifs au prochain CFP (2021-2023)</w:t>
      </w:r>
      <w:bookmarkEnd w:id="10"/>
    </w:p>
    <w:p>
      <w:pPr>
        <w:spacing w:after="120" w:line="276" w:lineRule="auto"/>
        <w:jc w:val="both"/>
        <w:rPr>
          <w:noProof/>
        </w:rPr>
      </w:pPr>
      <w:r>
        <w:rPr>
          <w:noProof/>
        </w:rPr>
        <w:t xml:space="preserve">Les prévisions de paiements relatives à la période 2021-2022 sont compatibles avec le plafond des ressources propres fixé à 1,20 % du RNB de l’UE. Même si la Commission a proposé d’augmenter le plafond des ressources propres afin de tenir compte de l’assiette RNB des 27 États membres, le niveau actuel peut toujours être appliqué en raison de la durée du processus de ratification de la nouvelle décision relative aux ressources propres. </w:t>
      </w:r>
    </w:p>
    <w:p>
      <w:pPr>
        <w:spacing w:after="120" w:line="276" w:lineRule="auto"/>
        <w:jc w:val="both"/>
        <w:rPr>
          <w:noProof/>
        </w:rPr>
      </w:pPr>
      <w:r>
        <w:rPr>
          <w:noProof/>
        </w:rPr>
        <w:t>Au début de la prochaine période de programmation (2021-2022), la moitié des paiements (51 %) devraient couvrir les engagements restant à liquider relatifs aux précédents cadres financiers (RAL pour «Reste à liquider»). 35 % des paiements devraient couvrir les crédits non dissociés, pour lesquels les paiements suivent immédiatement les engagements (c-à-d. le 1</w:t>
      </w:r>
      <w:r>
        <w:rPr>
          <w:noProof/>
          <w:vertAlign w:val="superscript"/>
        </w:rPr>
        <w:t>er</w:t>
      </w:r>
      <w:r>
        <w:rPr>
          <w:noProof/>
        </w:rPr>
        <w:t xml:space="preserve"> pilier de la politique agricole commune, les dépenses relevant de la rubrique 7 «Administration publique européenne», les subventions accordées aux organismes décentralisés). Les 14 % restants devraient résulter du lancement de la nouvelle génération de programmes de dépenses.</w:t>
      </w:r>
    </w:p>
    <w:p>
      <w:pPr>
        <w:spacing w:after="120" w:line="276" w:lineRule="auto"/>
        <w:jc w:val="both"/>
        <w:rPr>
          <w:noProof/>
        </w:rPr>
      </w:pPr>
      <w:r>
        <w:rPr>
          <w:noProof/>
        </w:rPr>
        <w:t>À partir de 2023, plus de la moitié des engagements restant à liquider relatifs à la période antérieure à 2021 devraient être payés, et la part des paiements relatifs aux engagements de la période antérieure à 2021 devrait par conséquent diminuer. Parallèlement, la mise en œuvre des programmes de la période 2021-2027 devrait commencer à atteindre sa vitesse de croisière, avec une augmentation considérable du niveau des paiements en 2023 par rapport aux deux premières années (68 % du total des paiements contre 45 % en 2021).</w:t>
      </w:r>
    </w:p>
    <w:p>
      <w:pPr>
        <w:pStyle w:val="Heading2"/>
        <w:keepNext w:val="0"/>
        <w:numPr>
          <w:ilvl w:val="2"/>
          <w:numId w:val="21"/>
        </w:numPr>
        <w:tabs>
          <w:tab w:val="left" w:pos="720"/>
        </w:tabs>
        <w:spacing w:after="120" w:line="276" w:lineRule="auto"/>
        <w:rPr>
          <w:noProof/>
        </w:rPr>
      </w:pPr>
      <w:bookmarkStart w:id="11" w:name="_Toc524523063"/>
      <w:r>
        <w:rPr>
          <w:noProof/>
        </w:rPr>
        <w:t>Dégagements</w:t>
      </w:r>
      <w:bookmarkEnd w:id="11"/>
    </w:p>
    <w:p>
      <w:pPr>
        <w:snapToGrid w:val="0"/>
        <w:spacing w:after="120" w:line="276" w:lineRule="auto"/>
        <w:jc w:val="both"/>
        <w:rPr>
          <w:noProof/>
          <w:color w:val="000000"/>
        </w:rPr>
      </w:pPr>
      <w:r>
        <w:rPr>
          <w:noProof/>
        </w:rPr>
        <w:t xml:space="preserve">Les prévisions de dégagements pour la période 2019-2023 s’élèvent à un montant total de 6,4 milliards d’EUR. Environ deux tiers des dégagements sont liés aux programmes de la période 2014-2020 (4,3 milliards d’EUR), tandis que les dégagements relatifs au RAL antérieur à 2014 diminuent progressivement, tout comme les paiements relatifs audit RAL. </w:t>
      </w:r>
      <w:r>
        <w:rPr>
          <w:noProof/>
          <w:color w:val="000000"/>
        </w:rPr>
        <w:t>Aucun dégagement n’est prévu pour les engagements relatifs à la proposition de CFP pour la période 2021-2027.</w:t>
      </w:r>
    </w:p>
    <w:p>
      <w:pPr>
        <w:snapToGrid w:val="0"/>
        <w:spacing w:after="120" w:line="276" w:lineRule="auto"/>
        <w:jc w:val="both"/>
        <w:rPr>
          <w:noProof/>
          <w:color w:val="000000"/>
        </w:rPr>
      </w:pPr>
      <w:r>
        <w:rPr>
          <w:noProof/>
          <w:color w:val="000000"/>
        </w:rPr>
        <w:t>Les niveaux de dégagements varient selon les rubriques puisque les prévisions sont basées sur les dégagements déjà effectués et sur ceux identifiés lors de l’élaboration du projet de budget 2019. En principe, les dégagements sont prévus pour toute la durée de la période de programmation. Puisqu’il n’existe aucune règle en matière de dégagement d’office pour la plupart des programmes et des actions, la répartition annuelle des dégagements devrait être très approximative. Afin d’estimer l’ampleur des dégagements prévus jusqu’en 2023 uniquement, les dégagements relatifs au RAL pour la fin de l’année 2018 ont été répartis au prorata des paiements annuels correspondants.  La plupart des dégagements éventuels relatifs aux engagements des années 2019 et 2020 auront lieu après 2023, conformément au cycle de clôture général des programmes.</w:t>
      </w:r>
    </w:p>
    <w:p>
      <w:pPr>
        <w:snapToGrid w:val="0"/>
        <w:spacing w:after="120" w:line="276" w:lineRule="auto"/>
        <w:jc w:val="both"/>
        <w:rPr>
          <w:noProof/>
          <w:color w:val="000000"/>
        </w:rPr>
      </w:pPr>
      <w:r>
        <w:rPr>
          <w:noProof/>
          <w:color w:val="000000"/>
        </w:rPr>
        <w:t xml:space="preserve">Des prévisions sont spécifiquement établies pour les Fonds ESI 2014-2020; elles tiennent compte de l’expérience acquise lors de la clôture des programmes 2007-2013 et du calendrier des dégagements prévus. Comme l’année effective des dégagements dépend des dates spécifiques de clôture pour chaque État membre, et compte tenu de la règle n+3 en vigueur en matière de dégagement, les dégagements sont susceptibles de s’étendre à la période 2024-2026. Par conséquent, ils n’ont aucune incidence sur la période de prévision du présent rapport. </w:t>
      </w:r>
    </w:p>
    <w:p>
      <w:pPr>
        <w:pStyle w:val="Heading2"/>
        <w:keepNext w:val="0"/>
        <w:numPr>
          <w:ilvl w:val="2"/>
          <w:numId w:val="21"/>
        </w:numPr>
        <w:tabs>
          <w:tab w:val="left" w:pos="720"/>
        </w:tabs>
        <w:spacing w:after="120" w:line="276" w:lineRule="auto"/>
        <w:rPr>
          <w:noProof/>
        </w:rPr>
      </w:pPr>
      <w:bookmarkStart w:id="12" w:name="_Toc524523064"/>
      <w:r>
        <w:rPr>
          <w:noProof/>
        </w:rPr>
        <w:t>Évolution du niveau des engagements restant à liquider (RAL</w:t>
      </w:r>
      <w:bookmarkEnd w:id="12"/>
      <w:r>
        <w:rPr>
          <w:noProof/>
        </w:rPr>
        <w:t>)</w:t>
      </w:r>
    </w:p>
    <w:p>
      <w:pPr>
        <w:spacing w:after="120" w:line="276" w:lineRule="auto"/>
        <w:jc w:val="both"/>
        <w:rPr>
          <w:noProof/>
        </w:rPr>
      </w:pPr>
      <w:r>
        <w:rPr>
          <w:noProof/>
        </w:rPr>
        <w:t>Au début de la période considérée, le RAL devrait avoisiner les 276 milliards d’EUR et il devrait atteindre 295 milliards d’EUR au terme du cadre financier actuel. À la fin de l’année 2023, il est estimé à quelque 314 milliards d’EUR, ce qui représente une augmentation de 14 % de la valeur nominale au fil des 5 années analysées. Cependant, l’évolution annuelle du volume du RAL n’est pas régulière puisqu’elle est déterminée par le ratio paiements annuels/engagements annuels. Ledit ratio se chiffre à 90 % pour l’année 2019 et il passe à 99 % en 2023. En 2023, les paiements se rapprochent des engagements. Cette évolution est principalement due aux effets conjugués de l’objectif du premier dégagement d’office fixé pour les nouveaux programmes dans le cadre du règlement portant dispositions communes et de l’objectif n+3 relatif aux dégagements pour la dernière tranche des Fonds ESI 2014-2020 ainsi que la clôture desdits programmes. Par conséquent, comparativement à l’année précédente, la hausse du volume du RAL devrait se limiter à moins de 1 % en 2023.</w:t>
      </w:r>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13" w:name="_Toc524523065"/>
      <w:r>
        <w:rPr>
          <w:noProof/>
        </w:rPr>
        <w:t>Recettes</w:t>
      </w:r>
      <w:bookmarkEnd w:id="13"/>
    </w:p>
    <w:p>
      <w:pPr>
        <w:spacing w:after="120" w:line="276" w:lineRule="auto"/>
        <w:jc w:val="both"/>
        <w:rPr>
          <w:noProof/>
        </w:rPr>
      </w:pPr>
      <w:r>
        <w:rPr>
          <w:noProof/>
        </w:rPr>
        <w:t>Le budget de l’UE est financé par les ressources propres et d’autres recettes. Le montant total des ressources propres nécessaires au financement du budget est déterminé par le total des dépenses, déduction faite des autres recettes. Par conséquent, les prévisions concernant les recettes budgétaires de l’UE pour la période 2019-2023 sont basées sur le principe selon lequel les dépenses doivent équivaloir aux recettes; le total des recettes doit donc être égal au total des dépenses.</w:t>
      </w:r>
    </w:p>
    <w:p>
      <w:pPr>
        <w:pStyle w:val="Heading1"/>
        <w:numPr>
          <w:ilvl w:val="0"/>
          <w:numId w:val="21"/>
        </w:numPr>
        <w:tabs>
          <w:tab w:val="left" w:pos="720"/>
        </w:tabs>
        <w:spacing w:before="0" w:after="120" w:line="276" w:lineRule="auto"/>
        <w:rPr>
          <w:noProof/>
        </w:rPr>
      </w:pPr>
      <w:bookmarkStart w:id="14" w:name="_Toc524523066"/>
      <w:r>
        <w:rPr>
          <w:noProof/>
        </w:rPr>
        <w:t xml:space="preserve">Hypothèses sur lesquelles sont fondées les prévisions </w:t>
      </w:r>
      <w:bookmarkEnd w:id="14"/>
    </w:p>
    <w:p>
      <w:pPr>
        <w:pStyle w:val="Heading2"/>
        <w:keepNext w:val="0"/>
        <w:numPr>
          <w:ilvl w:val="1"/>
          <w:numId w:val="21"/>
        </w:numPr>
        <w:tabs>
          <w:tab w:val="left" w:pos="720"/>
        </w:tabs>
        <w:spacing w:after="120" w:line="276" w:lineRule="auto"/>
        <w:ind w:left="788" w:hanging="431"/>
        <w:rPr>
          <w:noProof/>
        </w:rPr>
      </w:pPr>
      <w:bookmarkStart w:id="15" w:name="_Toc494974439"/>
      <w:r>
        <w:rPr>
          <w:noProof/>
        </w:rPr>
        <w:t xml:space="preserve"> </w:t>
      </w:r>
      <w:bookmarkStart w:id="16" w:name="_Toc524523068"/>
      <w:r>
        <w:rPr>
          <w:noProof/>
        </w:rPr>
        <w:t>Hypothèses spécifiques par éléments de dépenses principaux</w:t>
      </w:r>
      <w:bookmarkEnd w:id="16"/>
      <w:r>
        <w:rPr>
          <w:noProof/>
        </w:rPr>
        <w:t xml:space="preserve"> </w:t>
      </w:r>
      <w:bookmarkEnd w:id="15"/>
    </w:p>
    <w:p>
      <w:pPr>
        <w:pStyle w:val="Heading2"/>
        <w:keepNext w:val="0"/>
        <w:numPr>
          <w:ilvl w:val="2"/>
          <w:numId w:val="21"/>
        </w:numPr>
        <w:tabs>
          <w:tab w:val="left" w:pos="720"/>
        </w:tabs>
        <w:spacing w:after="120" w:line="276" w:lineRule="auto"/>
        <w:rPr>
          <w:noProof/>
        </w:rPr>
      </w:pPr>
      <w:bookmarkStart w:id="17" w:name="_Toc494974440"/>
      <w:bookmarkStart w:id="18" w:name="_Toc524523069"/>
      <w:r>
        <w:rPr>
          <w:noProof/>
        </w:rPr>
        <w:t>Fonds ESI 2014-2020</w:t>
      </w:r>
      <w:bookmarkEnd w:id="17"/>
      <w:bookmarkEnd w:id="18"/>
      <w:r>
        <w:rPr>
          <w:noProof/>
        </w:rPr>
        <w:t xml:space="preserve"> et fonds de la politique de cohésion 2021-2027</w:t>
      </w:r>
    </w:p>
    <w:p>
      <w:pPr>
        <w:pStyle w:val="Text1"/>
        <w:spacing w:after="120" w:line="276" w:lineRule="auto"/>
        <w:ind w:left="0"/>
        <w:rPr>
          <w:noProof/>
        </w:rPr>
      </w:pPr>
      <w:r>
        <w:rPr>
          <w:noProof/>
        </w:rPr>
        <w:t>Les prévisions de paiements relatives aux Fonds ESI 2014-2020 sont basées sur l’expérience acquise dans le passé dans le cadre des demandes de paiement intermédiaire soumises en tant que pourcentage de l’enveloppe globale. L’évaluation des performances aura lieu en 2019 et les engagements correspondants réservés depuis 2014 ne devraient commencer à être payés qu’en 2020. Des profils de paiement spécifiques sont employés pour chacun des fonds. La vitesse de croisière ayant été atteinte, il est probable que, pour la dernière année du CFP 2014-2020, la mise en œuvre soit plus rapide qu’elle ne l’est actuellement.</w:t>
      </w:r>
    </w:p>
    <w:p>
      <w:pPr>
        <w:pStyle w:val="Text1"/>
        <w:spacing w:after="120" w:line="276" w:lineRule="auto"/>
        <w:ind w:left="0"/>
        <w:rPr>
          <w:noProof/>
        </w:rPr>
      </w:pPr>
      <w:r>
        <w:rPr>
          <w:noProof/>
        </w:rPr>
        <w:t>En ce qui concerne les fonds de la politique de cohésion pour la période 2021-2027, toutes les dispositions applicables du règlement portant dispositions communes ont été prises en considération (préfinancement, apurement, absence de réserve de performance).</w:t>
      </w:r>
      <w:r>
        <w:rPr>
          <w:noProof/>
          <w:color w:val="000000"/>
        </w:rPr>
        <w:t xml:space="preserve"> Les profils des demandes de paiement intermédiaire ont été évalués en fonction de statistiques sur les montants déclarés chaque année dans le cadre des programmes 2007-2013 soumis à la règle de dégagement n+2.</w:t>
      </w:r>
    </w:p>
    <w:p>
      <w:pPr>
        <w:pStyle w:val="Heading2"/>
        <w:keepNext w:val="0"/>
        <w:numPr>
          <w:ilvl w:val="2"/>
          <w:numId w:val="21"/>
        </w:numPr>
        <w:tabs>
          <w:tab w:val="left" w:pos="720"/>
        </w:tabs>
        <w:spacing w:after="120" w:line="276" w:lineRule="auto"/>
        <w:rPr>
          <w:noProof/>
        </w:rPr>
      </w:pPr>
      <w:bookmarkStart w:id="19" w:name="_Toc494974442"/>
      <w:bookmarkStart w:id="20" w:name="_Toc524523070"/>
      <w:r>
        <w:rPr>
          <w:noProof/>
        </w:rPr>
        <w:t>Paiements directs et mesures de marché</w:t>
      </w:r>
      <w:bookmarkEnd w:id="19"/>
      <w:bookmarkEnd w:id="20"/>
      <w:r>
        <w:rPr>
          <w:noProof/>
        </w:rPr>
        <w:t xml:space="preserve"> dans le cadre de la politique agricole commune</w:t>
      </w:r>
    </w:p>
    <w:p>
      <w:pPr>
        <w:pStyle w:val="Text1"/>
        <w:spacing w:after="120" w:line="276" w:lineRule="auto"/>
        <w:ind w:left="0"/>
        <w:rPr>
          <w:noProof/>
        </w:rPr>
      </w:pPr>
      <w:r>
        <w:rPr>
          <w:noProof/>
        </w:rPr>
        <w:t>En ce qui concerne les crédits relatifs au Fonds européen agricole de garantie, la plupart sont non dissociés et le montant des paiements directs aux agriculteurs est généralement remboursé aux États membres au cours des premiers mois de l’exercice.</w:t>
      </w:r>
    </w:p>
    <w:p>
      <w:pPr>
        <w:pStyle w:val="Heading2"/>
        <w:numPr>
          <w:ilvl w:val="2"/>
          <w:numId w:val="2"/>
        </w:numPr>
        <w:spacing w:after="120" w:line="276" w:lineRule="auto"/>
        <w:rPr>
          <w:noProof/>
        </w:rPr>
      </w:pPr>
      <w:r>
        <w:rPr>
          <w:noProof/>
        </w:rPr>
        <w:t>Autres programmes et fonds</w:t>
      </w:r>
    </w:p>
    <w:p>
      <w:pPr>
        <w:spacing w:after="120" w:line="276" w:lineRule="auto"/>
        <w:jc w:val="both"/>
        <w:rPr>
          <w:noProof/>
        </w:rPr>
      </w:pPr>
      <w:r>
        <w:rPr>
          <w:noProof/>
        </w:rPr>
        <w:t>En ce qui concerne tous les autres postes de dépenses (tels que la recherche et l’innovation, les projets d’infrastructures de grande envergure et les politiques internes et externes), les prévisions relatives au paiement des engagements autorisés au titre du cadre financier actuel sont basées sur le projet de budget 2019 ainsi que sur les échéanciers de paiements qui l’accompagnent pour chaque ligne budgétaire (comme il ressort du document de travail, partie XII</w:t>
      </w:r>
      <w:r>
        <w:rPr>
          <w:rStyle w:val="FootnoteReference"/>
          <w:noProof/>
        </w:rPr>
        <w:footnoteReference w:id="8"/>
      </w:r>
      <w:r>
        <w:rPr>
          <w:noProof/>
        </w:rPr>
        <w:t xml:space="preserve">). </w:t>
      </w:r>
    </w:p>
    <w:p>
      <w:pPr>
        <w:spacing w:after="120" w:line="276" w:lineRule="auto"/>
        <w:jc w:val="both"/>
        <w:rPr>
          <w:noProof/>
        </w:rPr>
      </w:pPr>
      <w:r>
        <w:rPr>
          <w:noProof/>
          <w:color w:val="000000"/>
        </w:rPr>
        <w:t>Concernant la nouvelle génération de programmes de dépenses, les besoins de paiement annuels ont été évalués à l’aide de données statistiques relatives à la mise en œuvre effective, au cours des 10 dernières années (soit de 2007 à 2017), des programmes actuels correspondants et de ceux qui les ont précédés pour 2007-2013. Pour les programmes sans prédécesseur, les prévisions de paiements sont établies en fonction de la mise en œuvre d’activités similaires, corrigée des éléments spécifiques du nouveau programme.</w:t>
      </w:r>
    </w:p>
    <w:p>
      <w:pPr>
        <w:pStyle w:val="Heading2"/>
        <w:numPr>
          <w:ilvl w:val="2"/>
          <w:numId w:val="2"/>
        </w:numPr>
        <w:spacing w:after="120" w:line="276" w:lineRule="auto"/>
        <w:ind w:left="1225" w:hanging="505"/>
        <w:rPr>
          <w:noProof/>
        </w:rPr>
      </w:pPr>
      <w:r>
        <w:rPr>
          <w:noProof/>
        </w:rPr>
        <w:t>Administration</w:t>
      </w:r>
    </w:p>
    <w:p>
      <w:pPr>
        <w:spacing w:after="120" w:line="276" w:lineRule="auto"/>
        <w:jc w:val="both"/>
        <w:rPr>
          <w:noProof/>
        </w:rPr>
      </w:pPr>
      <w:r>
        <w:rPr>
          <w:noProof/>
        </w:rPr>
        <w:t>Les dépenses administratives (2014-2020 rubrique 5, 2021-2027 rubrique 7) sont basées sur les crédits non dissociés; les montants des engagements présentés dans le projet de budget 2019, la programmation financière 2020 et les plafonds de dépenses proposés pour la rubrique 7 en 2021-2023 sont entièrement convertis en paiements.</w:t>
      </w:r>
    </w:p>
    <w:p>
      <w:pPr>
        <w:spacing w:after="120" w:line="276" w:lineRule="auto"/>
        <w:jc w:val="both"/>
        <w:rPr>
          <w:noProof/>
        </w:rPr>
      </w:pPr>
      <w:r>
        <w:rPr>
          <w:noProof/>
        </w:rPr>
        <w:t>Le même principe s’applique aux subventions accordées aux organismes décentralisés, qui sont financées en dehors de la rubrique relative aux dépenses administratives.</w:t>
      </w:r>
    </w:p>
    <w:p>
      <w:pPr>
        <w:pStyle w:val="Heading2"/>
        <w:keepNext w:val="0"/>
        <w:numPr>
          <w:ilvl w:val="1"/>
          <w:numId w:val="2"/>
        </w:numPr>
        <w:spacing w:after="120" w:line="276" w:lineRule="auto"/>
        <w:rPr>
          <w:noProof/>
        </w:rPr>
      </w:pPr>
      <w:bookmarkStart w:id="21" w:name="_Toc524523072"/>
      <w:bookmarkStart w:id="22" w:name="_Toc494974450"/>
      <w:r>
        <w:rPr>
          <w:noProof/>
        </w:rPr>
        <w:t>Hypothèses pour les prévisions de recettes</w:t>
      </w:r>
      <w:bookmarkEnd w:id="21"/>
    </w:p>
    <w:p>
      <w:pPr>
        <w:pStyle w:val="Heading2"/>
        <w:numPr>
          <w:ilvl w:val="2"/>
          <w:numId w:val="2"/>
        </w:numPr>
        <w:spacing w:after="120" w:line="276" w:lineRule="auto"/>
        <w:ind w:left="1225" w:hanging="505"/>
        <w:rPr>
          <w:noProof/>
        </w:rPr>
      </w:pPr>
      <w:r>
        <w:rPr>
          <w:noProof/>
        </w:rPr>
        <w:t>Ressources propres traditionnelles et contributions nationales</w:t>
      </w:r>
    </w:p>
    <w:p>
      <w:pPr>
        <w:spacing w:after="120" w:line="276" w:lineRule="auto"/>
        <w:jc w:val="both"/>
        <w:rPr>
          <w:noProof/>
        </w:rPr>
      </w:pPr>
      <w:r>
        <w:rPr>
          <w:noProof/>
        </w:rPr>
        <w:t xml:space="preserve">Étant donné que la perception des taxes à la production de sucre a cessé en 2017, les ressources propres traditionnelles ne se composent que des droits de douane à compter de 2018. En partant du niveau défini dans le projet de budget 2019, les droits de douane devraient progresser au cours de la période 2020-2023 au même rythme que le RNB nominal de chaque État membre. </w:t>
      </w:r>
    </w:p>
    <w:p>
      <w:pPr>
        <w:spacing w:after="120" w:line="276" w:lineRule="auto"/>
        <w:jc w:val="both"/>
        <w:rPr>
          <w:noProof/>
        </w:rPr>
      </w:pPr>
      <w:r>
        <w:rPr>
          <w:noProof/>
        </w:rPr>
        <w:t xml:space="preserve">Les contributions nationales (c’est-à-dire la ressource propre fondée sur le revenu national brut, la ressource propre fondée sur la TVA et les nouvelles ressources propres définies dans la proposition de la Commission relative au CFP 2021-2027) comblent l’écart et équilibrent les recettes et les dépenses prévues. </w:t>
      </w:r>
    </w:p>
    <w:p>
      <w:pPr>
        <w:pStyle w:val="Heading2"/>
        <w:numPr>
          <w:ilvl w:val="2"/>
          <w:numId w:val="2"/>
        </w:numPr>
        <w:spacing w:after="120" w:line="276" w:lineRule="auto"/>
        <w:rPr>
          <w:noProof/>
        </w:rPr>
      </w:pPr>
      <w:r>
        <w:rPr>
          <w:noProof/>
        </w:rPr>
        <w:t>Autres recettes</w:t>
      </w:r>
    </w:p>
    <w:p>
      <w:pPr>
        <w:spacing w:after="120" w:line="276" w:lineRule="auto"/>
        <w:jc w:val="both"/>
        <w:rPr>
          <w:noProof/>
        </w:rPr>
      </w:pPr>
      <w:r>
        <w:rPr>
          <w:noProof/>
        </w:rPr>
        <w:t>En raison de la volatilité qui les caractérise, la plupart des composantes des «autres recettes» (telles que les contributions du personnel, les recettes provenant du fonctionnement administratif des institutions, les contributions et les restitutions dans le cadre des accords et des programmes de l’Union, les intérêts de retard et les amendes, les recettes provenant des opérations d’emprunt et de prêt de l’UE, et les recettes diverses) et les excédents des années précédentes sont difficiles à prévoir. Par conséquent, il est présumé que le montant budgétisé pour les autres recettes dans le projet de budget 2019 restera constant, en termes nominaux, au cours de la période 2020-2023.</w:t>
      </w:r>
    </w:p>
    <w:p>
      <w:pPr>
        <w:pStyle w:val="Heading1"/>
        <w:numPr>
          <w:ilvl w:val="0"/>
          <w:numId w:val="2"/>
        </w:numPr>
        <w:spacing w:before="0" w:after="120" w:line="276" w:lineRule="auto"/>
        <w:rPr>
          <w:noProof/>
        </w:rPr>
      </w:pPr>
      <w:bookmarkStart w:id="23" w:name="_Toc524523073"/>
      <w:bookmarkEnd w:id="22"/>
      <w:r>
        <w:rPr>
          <w:noProof/>
        </w:rPr>
        <w:t>Conclusions</w:t>
      </w:r>
      <w:bookmarkEnd w:id="23"/>
    </w:p>
    <w:p>
      <w:pPr>
        <w:pStyle w:val="Text1"/>
        <w:spacing w:after="120" w:line="276" w:lineRule="auto"/>
        <w:ind w:left="0"/>
        <w:rPr>
          <w:noProof/>
        </w:rPr>
      </w:pPr>
      <w:r>
        <w:rPr>
          <w:noProof/>
        </w:rPr>
        <w:t xml:space="preserve">Les présentes prévisions laissent apparaître que les plafonds des paiements en 2019-2020 et dans la proposition de CFP pour la période 2021-2023 sont compatibles non seulement avec les besoins de paiements escomptés pour les programmes de la période 2014-2020, mais aussi avec l’introduction progressive des programmes de dépenses pour la période 2021-2027. </w:t>
      </w:r>
    </w:p>
    <w:p>
      <w:pPr>
        <w:pStyle w:val="Text1"/>
        <w:spacing w:after="120" w:line="276" w:lineRule="auto"/>
        <w:ind w:left="0"/>
        <w:rPr>
          <w:noProof/>
        </w:rPr>
      </w:pPr>
      <w:r>
        <w:rPr>
          <w:noProof/>
        </w:rPr>
        <w:t xml:space="preserve">Le principal facteur influant sur les prévisions de paiements au titre du budget est le rythme de mise en œuvre des Fonds ESI 2014-2020. Même si la mise en œuvre devrait atteindre sa vitesse de croisière en 2020, les retards accumulés depuis le début de la période de programmation actuelle ont une influence sur le niveau des engagements restant à liquider (ce qu’on appelle le «reste à liquider» ou RAL) au début de la nouvelle période. </w:t>
      </w:r>
    </w:p>
    <w:p>
      <w:pPr>
        <w:pStyle w:val="Text1"/>
        <w:spacing w:after="120" w:line="276" w:lineRule="auto"/>
        <w:ind w:left="0"/>
        <w:rPr>
          <w:noProof/>
        </w:rPr>
      </w:pPr>
      <w:r>
        <w:rPr>
          <w:noProof/>
        </w:rPr>
        <w:t>Par conséquent, la mise en œuvre des Fonds ESI en 2019-2020 continuera de faire l’objet d’une attention particulière, car de nouveaux retards pourraient accroître les besoins de paiements après 2020, qui doivent être couverts dans les limites des plafonds de paiements proposés. Ces plafonds doivent également couvrir les demandes de paiement relatives à la nouvelle génération de programmes de dépenses au début du prochain cadre financier.</w:t>
      </w:r>
    </w:p>
    <w:p>
      <w:pPr>
        <w:jc w:val="right"/>
        <w:rPr>
          <w:b/>
          <w:noProof/>
          <w:sz w:val="20"/>
          <w:szCs w:val="20"/>
        </w:rPr>
      </w:pPr>
      <w:r>
        <w:rPr>
          <w:noProof/>
        </w:rPr>
        <w:br w:type="page"/>
      </w:r>
      <w:bookmarkStart w:id="24" w:name="_Toc524523074"/>
      <w:r>
        <w:rPr>
          <w:b/>
          <w:noProof/>
          <w:sz w:val="20"/>
        </w:rPr>
        <w:t>Annexe</w:t>
      </w:r>
      <w:bookmarkEnd w:id="24"/>
      <w:r>
        <w:rPr>
          <w:b/>
          <w:noProof/>
          <w:sz w:val="20"/>
        </w:rPr>
        <w:t xml:space="preserve"> 1</w:t>
      </w:r>
    </w:p>
    <w:p>
      <w:pPr>
        <w:rPr>
          <w:noProof/>
        </w:rPr>
      </w:pPr>
    </w:p>
    <w:p>
      <w:pPr>
        <w:pStyle w:val="Caption"/>
        <w:keepNext/>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  Prévisions à long terme concernant les entrées et sorties futures du budget de l’UE au cours de la période 2019-2023 </w:t>
      </w:r>
    </w:p>
    <w:tbl>
      <w:tblPr>
        <w:tblW w:w="10149" w:type="dxa"/>
        <w:tblInd w:w="93" w:type="dxa"/>
        <w:tblLook w:val="04A0" w:firstRow="1" w:lastRow="0" w:firstColumn="1" w:lastColumn="0" w:noHBand="0" w:noVBand="1"/>
      </w:tblPr>
      <w:tblGrid>
        <w:gridCol w:w="4479"/>
        <w:gridCol w:w="1134"/>
        <w:gridCol w:w="1134"/>
        <w:gridCol w:w="1134"/>
        <w:gridCol w:w="1134"/>
        <w:gridCol w:w="1134"/>
      </w:tblGrid>
      <w:tr>
        <w:trPr>
          <w:trHeight w:val="227"/>
        </w:trPr>
        <w:tc>
          <w:tcPr>
            <w:tcW w:w="4479" w:type="dxa"/>
            <w:tcBorders>
              <w:top w:val="single" w:sz="8" w:space="0" w:color="auto"/>
              <w:left w:val="single" w:sz="8" w:space="0" w:color="auto"/>
              <w:bottom w:val="nil"/>
              <w:right w:val="single" w:sz="8" w:space="0" w:color="auto"/>
            </w:tcBorders>
            <w:shd w:val="clear" w:color="auto" w:fill="auto"/>
            <w:noWrap/>
            <w:vAlign w:val="center"/>
            <w:hideMark/>
          </w:tcPr>
          <w:p>
            <w:pPr>
              <w:spacing w:before="40" w:after="40"/>
              <w:rPr>
                <w:i/>
                <w:iCs/>
                <w:noProof/>
                <w:color w:val="000000"/>
                <w:sz w:val="20"/>
                <w:szCs w:val="22"/>
              </w:rPr>
            </w:pPr>
            <w:r>
              <w:rPr>
                <w:i/>
                <w:noProof/>
                <w:color w:val="000000"/>
                <w:sz w:val="20"/>
              </w:rPr>
              <w:t>(En Mrd EUR à prix courants)</w:t>
            </w:r>
          </w:p>
        </w:tc>
        <w:tc>
          <w:tcPr>
            <w:tcW w:w="226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pPr>
              <w:spacing w:before="40" w:after="40"/>
              <w:jc w:val="center"/>
              <w:rPr>
                <w:b/>
                <w:bCs/>
                <w:noProof/>
                <w:color w:val="000000"/>
                <w:sz w:val="20"/>
                <w:szCs w:val="22"/>
              </w:rPr>
            </w:pPr>
            <w:r>
              <w:rPr>
                <w:b/>
                <w:noProof/>
                <w:color w:val="000000"/>
                <w:sz w:val="20"/>
              </w:rPr>
              <w:t>CFP 2014-2020 (UE-28)</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pPr>
              <w:spacing w:before="40" w:after="40"/>
              <w:jc w:val="center"/>
              <w:rPr>
                <w:b/>
                <w:bCs/>
                <w:noProof/>
                <w:color w:val="000000"/>
                <w:sz w:val="20"/>
                <w:szCs w:val="22"/>
              </w:rPr>
            </w:pPr>
            <w:r>
              <w:rPr>
                <w:b/>
                <w:noProof/>
                <w:color w:val="000000"/>
                <w:sz w:val="20"/>
              </w:rPr>
              <w:t>Proposition de la Commission relative au CFP 2021-2027 (UE-27)</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rPr>
                <w:i/>
                <w:iCs/>
                <w:noProof/>
                <w:color w:val="000000"/>
                <w:sz w:val="20"/>
                <w:szCs w:val="22"/>
              </w:rPr>
            </w:pPr>
            <w:r>
              <w:rPr>
                <w:i/>
                <w:noProof/>
                <w:color w:val="000000"/>
                <w:sz w:val="20"/>
              </w:rPr>
              <w:t> </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center"/>
              <w:rPr>
                <w:b/>
                <w:bCs/>
                <w:noProof/>
                <w:color w:val="000000"/>
                <w:sz w:val="20"/>
                <w:szCs w:val="22"/>
              </w:rPr>
            </w:pPr>
            <w:r>
              <w:rPr>
                <w:b/>
                <w:noProof/>
                <w:color w:val="000000"/>
                <w:sz w:val="20"/>
              </w:rPr>
              <w:t>PB 2019</w:t>
            </w:r>
          </w:p>
        </w:tc>
        <w:tc>
          <w:tcPr>
            <w:tcW w:w="1134" w:type="dxa"/>
            <w:tcBorders>
              <w:top w:val="nil"/>
              <w:left w:val="nil"/>
              <w:bottom w:val="single" w:sz="8" w:space="0" w:color="auto"/>
              <w:right w:val="single" w:sz="8" w:space="0" w:color="auto"/>
            </w:tcBorders>
            <w:shd w:val="clear" w:color="auto" w:fill="auto"/>
            <w:vAlign w:val="center"/>
            <w:hideMark/>
          </w:tcPr>
          <w:p>
            <w:pPr>
              <w:spacing w:before="40" w:after="40"/>
              <w:jc w:val="center"/>
              <w:rPr>
                <w:b/>
                <w:bCs/>
                <w:noProof/>
                <w:color w:val="000000"/>
                <w:sz w:val="20"/>
                <w:szCs w:val="22"/>
              </w:rPr>
            </w:pPr>
            <w:r>
              <w:rPr>
                <w:b/>
                <w:noProof/>
                <w:color w:val="000000"/>
                <w:sz w:val="20"/>
              </w:rPr>
              <w:t>2020</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center"/>
              <w:rPr>
                <w:b/>
                <w:bCs/>
                <w:noProof/>
                <w:color w:val="000000"/>
                <w:sz w:val="20"/>
                <w:szCs w:val="22"/>
              </w:rPr>
            </w:pPr>
            <w:r>
              <w:rPr>
                <w:b/>
                <w:noProof/>
                <w:color w:val="000000"/>
                <w:sz w:val="20"/>
              </w:rPr>
              <w:t>2021</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center"/>
              <w:rPr>
                <w:b/>
                <w:bCs/>
                <w:noProof/>
                <w:color w:val="000000"/>
                <w:sz w:val="20"/>
                <w:szCs w:val="22"/>
              </w:rPr>
            </w:pPr>
            <w:r>
              <w:rPr>
                <w:b/>
                <w:noProof/>
                <w:color w:val="000000"/>
                <w:sz w:val="20"/>
              </w:rPr>
              <w:t>2022</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20"/>
                <w:szCs w:val="22"/>
              </w:rPr>
            </w:pPr>
            <w:r>
              <w:rPr>
                <w:b/>
                <w:noProof/>
                <w:color w:val="000000"/>
                <w:sz w:val="20"/>
              </w:rPr>
              <w:t>2023</w:t>
            </w:r>
          </w:p>
        </w:tc>
      </w:tr>
      <w:tr>
        <w:trPr>
          <w:trHeight w:val="227"/>
        </w:trPr>
        <w:tc>
          <w:tcPr>
            <w:tcW w:w="4479" w:type="dxa"/>
            <w:tcBorders>
              <w:top w:val="nil"/>
              <w:left w:val="single" w:sz="4" w:space="0" w:color="auto"/>
              <w:bottom w:val="single" w:sz="4" w:space="0" w:color="auto"/>
              <w:right w:val="nil"/>
            </w:tcBorders>
            <w:shd w:val="clear" w:color="000000" w:fill="CCFFCC"/>
            <w:noWrap/>
            <w:vAlign w:val="center"/>
            <w:hideMark/>
          </w:tcPr>
          <w:p>
            <w:pPr>
              <w:spacing w:before="40" w:after="40"/>
              <w:rPr>
                <w:b/>
                <w:bCs/>
                <w:noProof/>
                <w:color w:val="000000"/>
                <w:sz w:val="20"/>
              </w:rPr>
            </w:pPr>
            <w:r>
              <w:rPr>
                <w:b/>
                <w:noProof/>
                <w:color w:val="000000"/>
                <w:sz w:val="20"/>
              </w:rPr>
              <w:t>SORTIES</w:t>
            </w:r>
          </w:p>
        </w:tc>
        <w:tc>
          <w:tcPr>
            <w:tcW w:w="1134" w:type="dxa"/>
            <w:tcBorders>
              <w:top w:val="nil"/>
              <w:left w:val="nil"/>
              <w:bottom w:val="single" w:sz="4" w:space="0" w:color="auto"/>
              <w:right w:val="nil"/>
            </w:tcBorders>
            <w:shd w:val="clear" w:color="000000" w:fill="CCFFCC"/>
            <w:noWrap/>
            <w:vAlign w:val="center"/>
            <w:hideMark/>
          </w:tcPr>
          <w:p>
            <w:pPr>
              <w:spacing w:before="40" w:after="40"/>
              <w:jc w:val="center"/>
              <w:rPr>
                <w:b/>
                <w:bCs/>
                <w:noProof/>
                <w:color w:val="000000"/>
                <w:sz w:val="20"/>
                <w:szCs w:val="22"/>
              </w:rPr>
            </w:pPr>
            <w:r>
              <w:rPr>
                <w:b/>
                <w:noProof/>
                <w:color w:val="000000"/>
                <w:sz w:val="20"/>
              </w:rPr>
              <w:t> </w:t>
            </w:r>
          </w:p>
        </w:tc>
        <w:tc>
          <w:tcPr>
            <w:tcW w:w="1134" w:type="dxa"/>
            <w:tcBorders>
              <w:top w:val="nil"/>
              <w:left w:val="nil"/>
              <w:bottom w:val="single" w:sz="4" w:space="0" w:color="auto"/>
              <w:right w:val="nil"/>
            </w:tcBorders>
            <w:shd w:val="clear" w:color="000000" w:fill="CCFFCC"/>
            <w:vAlign w:val="center"/>
            <w:hideMark/>
          </w:tcPr>
          <w:p>
            <w:pPr>
              <w:spacing w:before="40" w:after="40"/>
              <w:jc w:val="center"/>
              <w:rPr>
                <w:b/>
                <w:bCs/>
                <w:noProof/>
                <w:color w:val="000000"/>
                <w:sz w:val="20"/>
                <w:szCs w:val="22"/>
              </w:rPr>
            </w:pPr>
            <w:r>
              <w:rPr>
                <w:b/>
                <w:noProof/>
                <w:color w:val="000000"/>
                <w:sz w:val="20"/>
              </w:rPr>
              <w:t> </w:t>
            </w:r>
          </w:p>
        </w:tc>
        <w:tc>
          <w:tcPr>
            <w:tcW w:w="1134" w:type="dxa"/>
            <w:tcBorders>
              <w:top w:val="nil"/>
              <w:left w:val="nil"/>
              <w:bottom w:val="single" w:sz="4" w:space="0" w:color="auto"/>
              <w:right w:val="nil"/>
            </w:tcBorders>
            <w:shd w:val="clear" w:color="000000" w:fill="CCFFCC"/>
            <w:noWrap/>
            <w:vAlign w:val="center"/>
            <w:hideMark/>
          </w:tcPr>
          <w:p>
            <w:pPr>
              <w:spacing w:before="40" w:after="40"/>
              <w:jc w:val="center"/>
              <w:rPr>
                <w:b/>
                <w:bCs/>
                <w:noProof/>
                <w:color w:val="000000"/>
                <w:sz w:val="20"/>
                <w:szCs w:val="22"/>
              </w:rPr>
            </w:pPr>
            <w:r>
              <w:rPr>
                <w:b/>
                <w:noProof/>
                <w:color w:val="000000"/>
                <w:sz w:val="20"/>
              </w:rPr>
              <w:t> </w:t>
            </w:r>
          </w:p>
        </w:tc>
        <w:tc>
          <w:tcPr>
            <w:tcW w:w="1134" w:type="dxa"/>
            <w:tcBorders>
              <w:top w:val="nil"/>
              <w:left w:val="nil"/>
              <w:bottom w:val="single" w:sz="4" w:space="0" w:color="auto"/>
              <w:right w:val="nil"/>
            </w:tcBorders>
            <w:shd w:val="clear" w:color="000000" w:fill="CCFFCC"/>
            <w:noWrap/>
            <w:vAlign w:val="center"/>
            <w:hideMark/>
          </w:tcPr>
          <w:p>
            <w:pPr>
              <w:spacing w:before="40" w:after="40"/>
              <w:jc w:val="center"/>
              <w:rPr>
                <w:b/>
                <w:bCs/>
                <w:noProof/>
                <w:color w:val="000000"/>
                <w:sz w:val="20"/>
                <w:szCs w:val="22"/>
              </w:rPr>
            </w:pPr>
            <w:r>
              <w:rPr>
                <w:b/>
                <w:noProof/>
                <w:color w:val="000000"/>
                <w:sz w:val="20"/>
              </w:rPr>
              <w:t> </w:t>
            </w:r>
          </w:p>
        </w:tc>
        <w:tc>
          <w:tcPr>
            <w:tcW w:w="1134" w:type="dxa"/>
            <w:tcBorders>
              <w:top w:val="nil"/>
              <w:left w:val="nil"/>
              <w:bottom w:val="single" w:sz="4" w:space="0" w:color="auto"/>
              <w:right w:val="single" w:sz="4" w:space="0" w:color="auto"/>
            </w:tcBorders>
            <w:shd w:val="clear" w:color="000000" w:fill="CCFFCC"/>
            <w:noWrap/>
            <w:vAlign w:val="center"/>
            <w:hideMark/>
          </w:tcPr>
          <w:p>
            <w:pPr>
              <w:spacing w:before="40" w:after="40"/>
              <w:jc w:val="center"/>
              <w:rPr>
                <w:b/>
                <w:bCs/>
                <w:noProof/>
                <w:color w:val="000000"/>
                <w:sz w:val="20"/>
                <w:szCs w:val="22"/>
              </w:rPr>
            </w:pPr>
            <w:r>
              <w:rPr>
                <w:b/>
                <w:noProof/>
                <w:color w:val="000000"/>
                <w:sz w:val="20"/>
              </w:rPr>
              <w:t> </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rPr>
                <w:i/>
                <w:iCs/>
                <w:noProof/>
                <w:color w:val="000000"/>
                <w:sz w:val="20"/>
                <w:szCs w:val="22"/>
              </w:rPr>
            </w:pPr>
            <w:r>
              <w:rPr>
                <w:i/>
                <w:noProof/>
                <w:color w:val="000000"/>
                <w:sz w:val="20"/>
              </w:rPr>
              <w:t>Plafond des engagements</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164,1</w:t>
            </w:r>
          </w:p>
        </w:tc>
        <w:tc>
          <w:tcPr>
            <w:tcW w:w="1134" w:type="dxa"/>
            <w:tcBorders>
              <w:top w:val="nil"/>
              <w:left w:val="nil"/>
              <w:bottom w:val="nil"/>
              <w:right w:val="single" w:sz="8" w:space="0" w:color="auto"/>
            </w:tcBorders>
            <w:shd w:val="clear" w:color="auto" w:fill="auto"/>
            <w:vAlign w:val="center"/>
            <w:hideMark/>
          </w:tcPr>
          <w:p>
            <w:pPr>
              <w:spacing w:before="40" w:after="40"/>
              <w:jc w:val="right"/>
              <w:rPr>
                <w:i/>
                <w:iCs/>
                <w:noProof/>
                <w:color w:val="000000"/>
                <w:sz w:val="20"/>
                <w:szCs w:val="22"/>
              </w:rPr>
            </w:pPr>
            <w:r>
              <w:rPr>
                <w:i/>
                <w:noProof/>
                <w:color w:val="000000"/>
                <w:sz w:val="20"/>
              </w:rPr>
              <w:t>168,8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166,7</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173,7</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179,4</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rPr>
                <w:i/>
                <w:iCs/>
                <w:noProof/>
                <w:color w:val="000000"/>
                <w:sz w:val="20"/>
                <w:szCs w:val="22"/>
              </w:rPr>
            </w:pPr>
            <w:r>
              <w:rPr>
                <w:i/>
                <w:noProof/>
                <w:color w:val="000000"/>
                <w:sz w:val="20"/>
              </w:rPr>
              <w:t>Plafond des paiements</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166,7</w:t>
            </w:r>
          </w:p>
        </w:tc>
        <w:tc>
          <w:tcPr>
            <w:tcW w:w="1134" w:type="dxa"/>
            <w:tcBorders>
              <w:top w:val="nil"/>
              <w:left w:val="nil"/>
              <w:bottom w:val="single" w:sz="8" w:space="0" w:color="auto"/>
              <w:right w:val="single" w:sz="8" w:space="0" w:color="auto"/>
            </w:tcBorders>
            <w:shd w:val="clear" w:color="auto" w:fill="auto"/>
            <w:vAlign w:val="center"/>
            <w:hideMark/>
          </w:tcPr>
          <w:p>
            <w:pPr>
              <w:spacing w:before="40" w:after="40"/>
              <w:jc w:val="right"/>
              <w:rPr>
                <w:i/>
                <w:iCs/>
                <w:noProof/>
                <w:color w:val="000000"/>
                <w:sz w:val="20"/>
                <w:szCs w:val="22"/>
              </w:rPr>
            </w:pPr>
            <w:r>
              <w:rPr>
                <w:i/>
                <w:noProof/>
                <w:color w:val="000000"/>
                <w:sz w:val="20"/>
              </w:rPr>
              <w:t>172,2</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159,4</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164,0</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177,3</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rPr>
                <w:b/>
                <w:bCs/>
                <w:noProof/>
                <w:color w:val="000000"/>
                <w:sz w:val="20"/>
                <w:szCs w:val="22"/>
              </w:rPr>
            </w:pPr>
            <w:r>
              <w:rPr>
                <w:b/>
                <w:noProof/>
                <w:color w:val="000000"/>
                <w:sz w:val="20"/>
              </w:rPr>
              <w:t>Crédits d’engagement</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164,9</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167,8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166,7</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173,7</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179,4</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rPr>
                <w:b/>
                <w:bCs/>
                <w:noProof/>
                <w:color w:val="000000"/>
                <w:sz w:val="20"/>
                <w:szCs w:val="22"/>
              </w:rPr>
            </w:pPr>
            <w:r>
              <w:rPr>
                <w:b/>
                <w:noProof/>
                <w:color w:val="000000"/>
                <w:sz w:val="20"/>
              </w:rPr>
              <w:t>Crédits de paiement</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148,1</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160,1</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159,4</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164,0</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177,3</w:t>
            </w:r>
          </w:p>
        </w:tc>
      </w:tr>
      <w:tr>
        <w:trPr>
          <w:trHeight w:val="227"/>
        </w:trPr>
        <w:tc>
          <w:tcPr>
            <w:tcW w:w="447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pPr>
              <w:spacing w:before="40" w:after="40"/>
              <w:rPr>
                <w:noProof/>
                <w:color w:val="000000"/>
                <w:sz w:val="20"/>
                <w:szCs w:val="22"/>
              </w:rPr>
            </w:pPr>
            <w:r>
              <w:rPr>
                <w:noProof/>
                <w:color w:val="000000"/>
                <w:sz w:val="20"/>
              </w:rPr>
              <w:t>dont paiements des engagements antérieurs à 2021</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148,1</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160,1</w:t>
            </w:r>
          </w:p>
        </w:tc>
        <w:tc>
          <w:tcPr>
            <w:tcW w:w="1134" w:type="dxa"/>
            <w:tcBorders>
              <w:top w:val="single" w:sz="8" w:space="0" w:color="auto"/>
              <w:left w:val="nil"/>
              <w:bottom w:val="single" w:sz="4" w:space="0" w:color="auto"/>
              <w:right w:val="nil"/>
            </w:tcBorders>
            <w:shd w:val="clear" w:color="auto" w:fill="auto"/>
            <w:noWrap/>
            <w:vAlign w:val="center"/>
            <w:hideMark/>
          </w:tcPr>
          <w:p>
            <w:pPr>
              <w:spacing w:before="40" w:after="40"/>
              <w:jc w:val="right"/>
              <w:rPr>
                <w:noProof/>
                <w:color w:val="000000"/>
                <w:sz w:val="20"/>
                <w:szCs w:val="22"/>
              </w:rPr>
            </w:pPr>
            <w:r>
              <w:rPr>
                <w:noProof/>
                <w:color w:val="000000"/>
                <w:sz w:val="20"/>
              </w:rPr>
              <w:t>88,1</w:t>
            </w:r>
          </w:p>
        </w:tc>
        <w:tc>
          <w:tcPr>
            <w:tcW w:w="113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76,6</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56,0</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1a. Compétitivité pour la croissance et l’emploi</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20,5</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23,0</w:t>
            </w:r>
          </w:p>
        </w:tc>
        <w:tc>
          <w:tcPr>
            <w:tcW w:w="1134" w:type="dxa"/>
            <w:tcBorders>
              <w:top w:val="nil"/>
              <w:left w:val="nil"/>
              <w:bottom w:val="nil"/>
              <w:right w:val="nil"/>
            </w:tcBorders>
            <w:shd w:val="clear" w:color="auto" w:fill="auto"/>
            <w:noWrap/>
            <w:vAlign w:val="center"/>
            <w:hideMark/>
          </w:tcPr>
          <w:p>
            <w:pPr>
              <w:spacing w:before="40" w:after="40"/>
              <w:jc w:val="right"/>
              <w:rPr>
                <w:i/>
                <w:iCs/>
                <w:noProof/>
                <w:color w:val="000000"/>
                <w:sz w:val="20"/>
                <w:szCs w:val="22"/>
              </w:rPr>
            </w:pPr>
            <w:r>
              <w:rPr>
                <w:i/>
                <w:noProof/>
                <w:color w:val="000000"/>
                <w:sz w:val="20"/>
              </w:rPr>
              <w:t>13,9</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9,0</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6,4</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1b. Cohésion économique, sociale et territoriale</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47,0</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52,1</w:t>
            </w:r>
          </w:p>
        </w:tc>
        <w:tc>
          <w:tcPr>
            <w:tcW w:w="1134" w:type="dxa"/>
            <w:tcBorders>
              <w:top w:val="nil"/>
              <w:left w:val="nil"/>
              <w:bottom w:val="nil"/>
              <w:right w:val="nil"/>
            </w:tcBorders>
            <w:shd w:val="clear" w:color="auto" w:fill="auto"/>
            <w:noWrap/>
            <w:vAlign w:val="center"/>
            <w:hideMark/>
          </w:tcPr>
          <w:p>
            <w:pPr>
              <w:spacing w:before="40" w:after="40"/>
              <w:jc w:val="right"/>
              <w:rPr>
                <w:i/>
                <w:iCs/>
                <w:noProof/>
                <w:color w:val="000000"/>
                <w:sz w:val="20"/>
                <w:szCs w:val="22"/>
              </w:rPr>
            </w:pPr>
            <w:r>
              <w:rPr>
                <w:i/>
                <w:noProof/>
                <w:color w:val="000000"/>
                <w:sz w:val="20"/>
              </w:rPr>
              <w:t>48,5</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47,8</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36,7</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2. Croissance durable: ressources naturelles</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57,6</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59,6</w:t>
            </w:r>
          </w:p>
        </w:tc>
        <w:tc>
          <w:tcPr>
            <w:tcW w:w="1134" w:type="dxa"/>
            <w:tcBorders>
              <w:top w:val="nil"/>
              <w:left w:val="nil"/>
              <w:bottom w:val="nil"/>
              <w:right w:val="nil"/>
            </w:tcBorders>
            <w:shd w:val="clear" w:color="auto" w:fill="auto"/>
            <w:noWrap/>
            <w:vAlign w:val="center"/>
            <w:hideMark/>
          </w:tcPr>
          <w:p>
            <w:pPr>
              <w:spacing w:before="40" w:after="40"/>
              <w:jc w:val="right"/>
              <w:rPr>
                <w:i/>
                <w:iCs/>
                <w:noProof/>
                <w:color w:val="000000"/>
                <w:sz w:val="20"/>
                <w:szCs w:val="22"/>
              </w:rPr>
            </w:pPr>
            <w:r>
              <w:rPr>
                <w:i/>
                <w:noProof/>
                <w:color w:val="000000"/>
                <w:sz w:val="20"/>
              </w:rPr>
              <w:t>15,2</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11,8</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7,3</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3. Sécurité et citoyenneté</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3,5</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4,1</w:t>
            </w:r>
          </w:p>
        </w:tc>
        <w:tc>
          <w:tcPr>
            <w:tcW w:w="1134" w:type="dxa"/>
            <w:tcBorders>
              <w:top w:val="nil"/>
              <w:left w:val="nil"/>
              <w:bottom w:val="nil"/>
              <w:right w:val="nil"/>
            </w:tcBorders>
            <w:shd w:val="clear" w:color="auto" w:fill="auto"/>
            <w:noWrap/>
            <w:vAlign w:val="center"/>
            <w:hideMark/>
          </w:tcPr>
          <w:p>
            <w:pPr>
              <w:spacing w:before="40" w:after="40"/>
              <w:jc w:val="right"/>
              <w:rPr>
                <w:i/>
                <w:iCs/>
                <w:noProof/>
                <w:color w:val="000000"/>
                <w:sz w:val="20"/>
                <w:szCs w:val="22"/>
              </w:rPr>
            </w:pPr>
            <w:r>
              <w:rPr>
                <w:i/>
                <w:noProof/>
                <w:color w:val="000000"/>
                <w:sz w:val="20"/>
              </w:rPr>
              <w:t>1,7</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0,7</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0,2</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4. L’Europe dans le monde</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9,5</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11,0</w:t>
            </w:r>
          </w:p>
        </w:tc>
        <w:tc>
          <w:tcPr>
            <w:tcW w:w="1134" w:type="dxa"/>
            <w:tcBorders>
              <w:top w:val="nil"/>
              <w:left w:val="nil"/>
              <w:bottom w:val="nil"/>
              <w:right w:val="nil"/>
            </w:tcBorders>
            <w:shd w:val="clear" w:color="auto" w:fill="auto"/>
            <w:noWrap/>
            <w:vAlign w:val="center"/>
            <w:hideMark/>
          </w:tcPr>
          <w:p>
            <w:pPr>
              <w:spacing w:before="40" w:after="40"/>
              <w:jc w:val="right"/>
              <w:rPr>
                <w:i/>
                <w:iCs/>
                <w:noProof/>
                <w:color w:val="000000"/>
                <w:sz w:val="20"/>
                <w:szCs w:val="22"/>
              </w:rPr>
            </w:pPr>
            <w:r>
              <w:rPr>
                <w:i/>
                <w:noProof/>
                <w:color w:val="000000"/>
                <w:sz w:val="20"/>
              </w:rPr>
              <w:t>8,9</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7,3</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5,4</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 xml:space="preserve">5. Administration </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10,0</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10,3</w:t>
            </w:r>
          </w:p>
        </w:tc>
        <w:tc>
          <w:tcPr>
            <w:tcW w:w="1134" w:type="dxa"/>
            <w:tcBorders>
              <w:top w:val="nil"/>
              <w:left w:val="nil"/>
              <w:bottom w:val="single" w:sz="8" w:space="0" w:color="auto"/>
              <w:right w:val="nil"/>
            </w:tcBorders>
            <w:shd w:val="clear" w:color="auto" w:fill="auto"/>
            <w:noWrap/>
            <w:vAlign w:val="center"/>
            <w:hideMark/>
          </w:tcPr>
          <w:p>
            <w:pPr>
              <w:spacing w:before="40" w:after="40"/>
              <w:jc w:val="right"/>
              <w:rPr>
                <w:i/>
                <w:iCs/>
                <w:noProof/>
                <w:color w:val="000000"/>
                <w:sz w:val="20"/>
                <w:szCs w:val="22"/>
              </w:rPr>
            </w:pPr>
            <w:r>
              <w:rPr>
                <w:i/>
                <w:noProof/>
                <w:color w:val="000000"/>
                <w:sz w:val="20"/>
              </w:rPr>
              <w:t>0,0</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0,0</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0,0</w:t>
            </w:r>
          </w:p>
        </w:tc>
      </w:tr>
      <w:tr>
        <w:trPr>
          <w:trHeight w:val="227"/>
        </w:trPr>
        <w:tc>
          <w:tcPr>
            <w:tcW w:w="4479" w:type="dxa"/>
            <w:tcBorders>
              <w:top w:val="nil"/>
              <w:left w:val="single" w:sz="8" w:space="0" w:color="auto"/>
              <w:bottom w:val="single" w:sz="4" w:space="0" w:color="auto"/>
              <w:right w:val="single" w:sz="8" w:space="0" w:color="auto"/>
            </w:tcBorders>
            <w:shd w:val="clear" w:color="auto" w:fill="auto"/>
            <w:noWrap/>
            <w:vAlign w:val="center"/>
            <w:hideMark/>
          </w:tcPr>
          <w:p>
            <w:pPr>
              <w:spacing w:before="40" w:after="40"/>
              <w:rPr>
                <w:noProof/>
                <w:color w:val="000000"/>
                <w:sz w:val="20"/>
                <w:szCs w:val="22"/>
              </w:rPr>
            </w:pPr>
            <w:r>
              <w:rPr>
                <w:noProof/>
                <w:color w:val="000000"/>
                <w:sz w:val="20"/>
              </w:rPr>
              <w:t>dont paiements des engagements relatifs à la période 2021-2023*</w:t>
            </w:r>
          </w:p>
        </w:tc>
        <w:tc>
          <w:tcPr>
            <w:tcW w:w="1134" w:type="dxa"/>
            <w:tcBorders>
              <w:top w:val="nil"/>
              <w:left w:val="single" w:sz="8" w:space="0" w:color="auto"/>
              <w:bottom w:val="single" w:sz="4" w:space="0" w:color="auto"/>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single" w:sz="4" w:space="0" w:color="auto"/>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71,2</w:t>
            </w:r>
          </w:p>
        </w:tc>
        <w:tc>
          <w:tcPr>
            <w:tcW w:w="1134"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87,3</w:t>
            </w:r>
          </w:p>
        </w:tc>
        <w:tc>
          <w:tcPr>
            <w:tcW w:w="1134" w:type="dxa"/>
            <w:tcBorders>
              <w:top w:val="nil"/>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121,4</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 Marché unique, innovation et numérique</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7,8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14,2</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17,1</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 xml:space="preserve">2. Cohésion et valeurs </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5,2</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6,8</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31,1</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3. Ressources naturelles et environnement</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41,3</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44,8</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47,8</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4. Migration et gestion des frontières</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2,4</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3,1</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5. Sécurité et défense</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0,8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1,5</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2,0</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6. Voisinage et le monde</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3,3</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6,2</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8,6</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7. Administration publique européenne</w:t>
            </w:r>
          </w:p>
        </w:tc>
        <w:tc>
          <w:tcPr>
            <w:tcW w:w="1134" w:type="dxa"/>
            <w:tcBorders>
              <w:top w:val="nil"/>
              <w:left w:val="single" w:sz="8" w:space="0" w:color="auto"/>
              <w:bottom w:val="single" w:sz="8" w:space="0" w:color="auto"/>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single" w:sz="8" w:space="0" w:color="auto"/>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11,0</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11,4</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11,8</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rPr>
                <w:noProof/>
                <w:color w:val="000000"/>
                <w:sz w:val="20"/>
                <w:szCs w:val="22"/>
              </w:rPr>
            </w:pPr>
            <w:r>
              <w:rPr>
                <w:noProof/>
                <w:color w:val="000000"/>
                <w:sz w:val="20"/>
              </w:rPr>
              <w:t>Autres instruments spéciaux**</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right"/>
              <w:rPr>
                <w:noProof/>
                <w:sz w:val="20"/>
                <w:szCs w:val="22"/>
              </w:rPr>
            </w:pPr>
            <w:r>
              <w:rPr>
                <w:noProof/>
                <w:sz w:val="20"/>
              </w:rPr>
              <w:t>0,4</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p.m.</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p.m.</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p.m.</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p.m.</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rPr>
                <w:b/>
                <w:bCs/>
                <w:noProof/>
                <w:color w:val="000000"/>
                <w:sz w:val="20"/>
                <w:szCs w:val="22"/>
              </w:rPr>
            </w:pPr>
            <w:r>
              <w:rPr>
                <w:b/>
                <w:noProof/>
                <w:color w:val="000000"/>
                <w:sz w:val="20"/>
              </w:rPr>
              <w:t>Total des crédits de paiement, instruments spéciaux compris</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right"/>
              <w:rPr>
                <w:b/>
                <w:bCs/>
                <w:noProof/>
                <w:sz w:val="20"/>
                <w:szCs w:val="22"/>
              </w:rPr>
            </w:pPr>
            <w:r>
              <w:rPr>
                <w:b/>
                <w:noProof/>
                <w:sz w:val="20"/>
              </w:rPr>
              <w:t>148,5</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2"/>
              </w:rPr>
            </w:pPr>
            <w:r>
              <w:rPr>
                <w:b/>
                <w:noProof/>
                <w:color w:val="000000"/>
                <w:sz w:val="20"/>
              </w:rPr>
              <w:t>160,1</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2"/>
              </w:rPr>
            </w:pPr>
            <w:r>
              <w:rPr>
                <w:b/>
                <w:noProof/>
                <w:color w:val="000000"/>
                <w:sz w:val="20"/>
              </w:rPr>
              <w:t>159,4</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2"/>
              </w:rPr>
            </w:pPr>
            <w:r>
              <w:rPr>
                <w:b/>
                <w:noProof/>
                <w:color w:val="000000"/>
                <w:sz w:val="20"/>
              </w:rPr>
              <w:t>164,0</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2"/>
              </w:rPr>
            </w:pPr>
            <w:r>
              <w:rPr>
                <w:b/>
                <w:noProof/>
                <w:color w:val="000000"/>
                <w:sz w:val="20"/>
              </w:rPr>
              <w:t>177,3</w:t>
            </w:r>
          </w:p>
        </w:tc>
      </w:tr>
      <w:tr>
        <w:trPr>
          <w:trHeight w:val="227"/>
        </w:trPr>
        <w:tc>
          <w:tcPr>
            <w:tcW w:w="4479" w:type="dxa"/>
            <w:tcBorders>
              <w:top w:val="nil"/>
              <w:left w:val="single" w:sz="8" w:space="0" w:color="auto"/>
              <w:bottom w:val="nil"/>
              <w:right w:val="nil"/>
            </w:tcBorders>
            <w:shd w:val="clear" w:color="auto" w:fill="auto"/>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nil"/>
            </w:tcBorders>
            <w:shd w:val="clear" w:color="auto" w:fill="auto"/>
            <w:noWrap/>
            <w:vAlign w:val="center"/>
            <w:hideMark/>
          </w:tcPr>
          <w:p>
            <w:pPr>
              <w:spacing w:before="40" w:after="40"/>
              <w:rPr>
                <w:noProof/>
                <w:sz w:val="20"/>
                <w:szCs w:val="22"/>
              </w:rPr>
            </w:pPr>
          </w:p>
        </w:tc>
        <w:tc>
          <w:tcPr>
            <w:tcW w:w="1134" w:type="dxa"/>
            <w:tcBorders>
              <w:top w:val="nil"/>
              <w:left w:val="nil"/>
              <w:bottom w:val="nil"/>
              <w:right w:val="nil"/>
            </w:tcBorders>
            <w:shd w:val="clear" w:color="auto" w:fill="auto"/>
            <w:noWrap/>
            <w:vAlign w:val="center"/>
            <w:hideMark/>
          </w:tcPr>
          <w:p>
            <w:pPr>
              <w:spacing w:before="40" w:after="40"/>
              <w:rPr>
                <w:noProof/>
                <w:color w:val="000000"/>
                <w:sz w:val="20"/>
                <w:szCs w:val="22"/>
              </w:rPr>
            </w:pPr>
          </w:p>
        </w:tc>
        <w:tc>
          <w:tcPr>
            <w:tcW w:w="1134" w:type="dxa"/>
            <w:tcBorders>
              <w:top w:val="nil"/>
              <w:left w:val="nil"/>
              <w:bottom w:val="nil"/>
              <w:right w:val="nil"/>
            </w:tcBorders>
            <w:shd w:val="clear" w:color="auto" w:fill="auto"/>
            <w:noWrap/>
            <w:vAlign w:val="center"/>
            <w:hideMark/>
          </w:tcPr>
          <w:p>
            <w:pPr>
              <w:spacing w:before="40" w:after="40"/>
              <w:rPr>
                <w:noProof/>
                <w:color w:val="000000"/>
                <w:sz w:val="20"/>
                <w:szCs w:val="22"/>
              </w:rPr>
            </w:pPr>
          </w:p>
        </w:tc>
        <w:tc>
          <w:tcPr>
            <w:tcW w:w="1134" w:type="dxa"/>
            <w:tcBorders>
              <w:top w:val="nil"/>
              <w:left w:val="nil"/>
              <w:bottom w:val="nil"/>
              <w:right w:val="nil"/>
            </w:tcBorders>
            <w:shd w:val="clear" w:color="auto" w:fill="auto"/>
            <w:noWrap/>
            <w:vAlign w:val="center"/>
            <w:hideMark/>
          </w:tcPr>
          <w:p>
            <w:pPr>
              <w:spacing w:before="40" w:after="40"/>
              <w:rPr>
                <w:noProof/>
                <w:color w:val="000000"/>
                <w:sz w:val="20"/>
                <w:szCs w:val="22"/>
              </w:rPr>
            </w:pPr>
          </w:p>
        </w:tc>
        <w:tc>
          <w:tcPr>
            <w:tcW w:w="1134" w:type="dxa"/>
            <w:tcBorders>
              <w:top w:val="nil"/>
              <w:left w:val="nil"/>
              <w:bottom w:val="nil"/>
              <w:right w:val="single" w:sz="8" w:space="0" w:color="auto"/>
            </w:tcBorders>
            <w:shd w:val="clear" w:color="auto" w:fill="auto"/>
            <w:noWrap/>
            <w:vAlign w:val="center"/>
            <w:hideMark/>
          </w:tcPr>
          <w:p>
            <w:pPr>
              <w:spacing w:before="40" w:after="40"/>
              <w:rPr>
                <w:noProof/>
                <w:color w:val="000000"/>
                <w:sz w:val="20"/>
                <w:szCs w:val="22"/>
              </w:rPr>
            </w:pPr>
            <w:r>
              <w:rPr>
                <w:noProof/>
                <w:color w:val="000000"/>
                <w:sz w:val="20"/>
              </w:rPr>
              <w:t> </w:t>
            </w:r>
          </w:p>
        </w:tc>
      </w:tr>
      <w:tr>
        <w:trPr>
          <w:trHeight w:val="227"/>
        </w:trPr>
        <w:tc>
          <w:tcPr>
            <w:tcW w:w="4479" w:type="dxa"/>
            <w:tcBorders>
              <w:top w:val="single" w:sz="8" w:space="0" w:color="auto"/>
              <w:left w:val="single" w:sz="8" w:space="0" w:color="auto"/>
              <w:bottom w:val="single" w:sz="4" w:space="0" w:color="auto"/>
              <w:right w:val="nil"/>
            </w:tcBorders>
            <w:shd w:val="clear" w:color="000000" w:fill="CCFFCC"/>
            <w:noWrap/>
            <w:vAlign w:val="center"/>
            <w:hideMark/>
          </w:tcPr>
          <w:p>
            <w:pPr>
              <w:spacing w:before="40" w:after="40"/>
              <w:rPr>
                <w:b/>
                <w:bCs/>
                <w:noProof/>
                <w:color w:val="000000"/>
                <w:sz w:val="20"/>
              </w:rPr>
            </w:pPr>
            <w:r>
              <w:rPr>
                <w:b/>
                <w:noProof/>
                <w:color w:val="000000"/>
                <w:sz w:val="20"/>
              </w:rPr>
              <w:t>ENTRÉES</w:t>
            </w:r>
          </w:p>
        </w:tc>
        <w:tc>
          <w:tcPr>
            <w:tcW w:w="1134" w:type="dxa"/>
            <w:tcBorders>
              <w:top w:val="single" w:sz="8" w:space="0" w:color="auto"/>
              <w:left w:val="nil"/>
              <w:bottom w:val="single" w:sz="4" w:space="0" w:color="auto"/>
              <w:right w:val="nil"/>
            </w:tcBorders>
            <w:shd w:val="clear" w:color="000000" w:fill="CCFFCC"/>
            <w:noWrap/>
            <w:vAlign w:val="center"/>
            <w:hideMark/>
          </w:tcPr>
          <w:p>
            <w:pPr>
              <w:spacing w:before="40" w:after="40"/>
              <w:rPr>
                <w:noProof/>
                <w:sz w:val="20"/>
                <w:szCs w:val="22"/>
              </w:rPr>
            </w:pPr>
            <w:r>
              <w:rPr>
                <w:noProof/>
                <w:sz w:val="20"/>
              </w:rPr>
              <w:t> </w:t>
            </w:r>
          </w:p>
        </w:tc>
        <w:tc>
          <w:tcPr>
            <w:tcW w:w="1134" w:type="dxa"/>
            <w:tcBorders>
              <w:top w:val="single" w:sz="8" w:space="0" w:color="auto"/>
              <w:left w:val="nil"/>
              <w:bottom w:val="single" w:sz="4" w:space="0" w:color="auto"/>
              <w:right w:val="nil"/>
            </w:tcBorders>
            <w:shd w:val="clear" w:color="000000" w:fill="CCFFCC"/>
            <w:noWrap/>
            <w:vAlign w:val="center"/>
            <w:hideMark/>
          </w:tcPr>
          <w:p>
            <w:pPr>
              <w:spacing w:before="40" w:after="40"/>
              <w:rPr>
                <w:noProof/>
                <w:color w:val="000000"/>
                <w:sz w:val="20"/>
                <w:szCs w:val="22"/>
              </w:rPr>
            </w:pPr>
            <w:r>
              <w:rPr>
                <w:noProof/>
                <w:color w:val="000000"/>
                <w:sz w:val="20"/>
              </w:rPr>
              <w:t> </w:t>
            </w:r>
          </w:p>
        </w:tc>
        <w:tc>
          <w:tcPr>
            <w:tcW w:w="1134" w:type="dxa"/>
            <w:tcBorders>
              <w:top w:val="single" w:sz="8" w:space="0" w:color="auto"/>
              <w:left w:val="nil"/>
              <w:bottom w:val="single" w:sz="4" w:space="0" w:color="auto"/>
              <w:right w:val="nil"/>
            </w:tcBorders>
            <w:shd w:val="clear" w:color="000000" w:fill="CCFFCC"/>
            <w:noWrap/>
            <w:vAlign w:val="center"/>
            <w:hideMark/>
          </w:tcPr>
          <w:p>
            <w:pPr>
              <w:spacing w:before="40" w:after="40"/>
              <w:rPr>
                <w:noProof/>
                <w:color w:val="000000"/>
                <w:sz w:val="20"/>
                <w:szCs w:val="22"/>
              </w:rPr>
            </w:pPr>
            <w:r>
              <w:rPr>
                <w:noProof/>
                <w:color w:val="000000"/>
                <w:sz w:val="20"/>
              </w:rPr>
              <w:t> </w:t>
            </w:r>
          </w:p>
        </w:tc>
        <w:tc>
          <w:tcPr>
            <w:tcW w:w="1134" w:type="dxa"/>
            <w:tcBorders>
              <w:top w:val="single" w:sz="8" w:space="0" w:color="auto"/>
              <w:left w:val="nil"/>
              <w:bottom w:val="single" w:sz="4" w:space="0" w:color="auto"/>
              <w:right w:val="nil"/>
            </w:tcBorders>
            <w:shd w:val="clear" w:color="000000" w:fill="CCFFCC"/>
            <w:noWrap/>
            <w:vAlign w:val="center"/>
            <w:hideMark/>
          </w:tcPr>
          <w:p>
            <w:pPr>
              <w:spacing w:before="40" w:after="40"/>
              <w:rPr>
                <w:noProof/>
                <w:color w:val="000000"/>
                <w:sz w:val="20"/>
                <w:szCs w:val="22"/>
              </w:rPr>
            </w:pPr>
            <w:r>
              <w:rPr>
                <w:noProof/>
                <w:color w:val="000000"/>
                <w:sz w:val="20"/>
              </w:rPr>
              <w:t> </w:t>
            </w:r>
          </w:p>
        </w:tc>
        <w:tc>
          <w:tcPr>
            <w:tcW w:w="1134" w:type="dxa"/>
            <w:tcBorders>
              <w:top w:val="single" w:sz="8" w:space="0" w:color="auto"/>
              <w:left w:val="nil"/>
              <w:bottom w:val="single" w:sz="4" w:space="0" w:color="auto"/>
              <w:right w:val="single" w:sz="8" w:space="0" w:color="auto"/>
            </w:tcBorders>
            <w:shd w:val="clear" w:color="000000" w:fill="CCFFCC"/>
            <w:noWrap/>
            <w:vAlign w:val="center"/>
            <w:hideMark/>
          </w:tcPr>
          <w:p>
            <w:pPr>
              <w:spacing w:before="40" w:after="40"/>
              <w:rPr>
                <w:noProof/>
                <w:color w:val="000000"/>
                <w:sz w:val="20"/>
                <w:szCs w:val="22"/>
              </w:rPr>
            </w:pPr>
            <w:r>
              <w:rPr>
                <w:noProof/>
                <w:color w:val="000000"/>
                <w:sz w:val="20"/>
              </w:rPr>
              <w:t> </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rPr>
                <w:noProof/>
                <w:color w:val="000000"/>
                <w:sz w:val="20"/>
                <w:szCs w:val="22"/>
              </w:rPr>
            </w:pPr>
            <w:r>
              <w:rPr>
                <w:noProof/>
                <w:color w:val="000000"/>
                <w:sz w:val="20"/>
              </w:rPr>
              <w:t>Ressources propres totales:</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noProof/>
                <w:sz w:val="20"/>
                <w:szCs w:val="22"/>
              </w:rPr>
            </w:pPr>
            <w:r>
              <w:rPr>
                <w:noProof/>
                <w:sz w:val="20"/>
              </w:rPr>
              <w:t>146,6</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158,2</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157,5</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162,1</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175,4</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dont montant net des ressources propres traditionnelles</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noProof/>
                <w:sz w:val="20"/>
                <w:szCs w:val="22"/>
              </w:rPr>
            </w:pPr>
            <w:r>
              <w:rPr>
                <w:noProof/>
                <w:sz w:val="20"/>
              </w:rPr>
              <w:t>21,5</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22,2</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21,8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22,4</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23,2</w:t>
            </w:r>
          </w:p>
        </w:tc>
      </w:tr>
      <w:tr>
        <w:trPr>
          <w:trHeight w:val="227"/>
        </w:trPr>
        <w:tc>
          <w:tcPr>
            <w:tcW w:w="4479" w:type="dxa"/>
            <w:tcBorders>
              <w:top w:val="nil"/>
              <w:left w:val="single" w:sz="8" w:space="0" w:color="auto"/>
              <w:bottom w:val="single" w:sz="4" w:space="0" w:color="auto"/>
              <w:right w:val="single" w:sz="8" w:space="0" w:color="auto"/>
            </w:tcBorders>
            <w:shd w:val="clear" w:color="auto" w:fill="auto"/>
            <w:vAlign w:val="center"/>
            <w:hideMark/>
          </w:tcPr>
          <w:p>
            <w:pPr>
              <w:spacing w:before="40" w:after="40"/>
              <w:jc w:val="right"/>
              <w:rPr>
                <w:i/>
                <w:iCs/>
                <w:noProof/>
                <w:color w:val="000000"/>
                <w:sz w:val="20"/>
                <w:szCs w:val="22"/>
              </w:rPr>
            </w:pPr>
            <w:r>
              <w:rPr>
                <w:i/>
                <w:noProof/>
                <w:color w:val="000000"/>
                <w:sz w:val="20"/>
              </w:rPr>
              <w:t>dont contributions nationales***</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pPr>
              <w:spacing w:before="40" w:after="40"/>
              <w:jc w:val="right"/>
              <w:rPr>
                <w:noProof/>
                <w:sz w:val="20"/>
                <w:szCs w:val="22"/>
              </w:rPr>
            </w:pPr>
            <w:r>
              <w:rPr>
                <w:noProof/>
                <w:sz w:val="20"/>
              </w:rPr>
              <w:t>125,1</w:t>
            </w:r>
          </w:p>
        </w:tc>
        <w:tc>
          <w:tcPr>
            <w:tcW w:w="1134" w:type="dxa"/>
            <w:tcBorders>
              <w:top w:val="nil"/>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136,0</w:t>
            </w:r>
          </w:p>
        </w:tc>
        <w:tc>
          <w:tcPr>
            <w:tcW w:w="1134"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135,7</w:t>
            </w:r>
          </w:p>
        </w:tc>
        <w:tc>
          <w:tcPr>
            <w:tcW w:w="1134"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139,6</w:t>
            </w:r>
          </w:p>
        </w:tc>
        <w:tc>
          <w:tcPr>
            <w:tcW w:w="1134" w:type="dxa"/>
            <w:tcBorders>
              <w:top w:val="nil"/>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152,3</w:t>
            </w:r>
          </w:p>
        </w:tc>
      </w:tr>
      <w:tr>
        <w:trPr>
          <w:trHeight w:val="227"/>
        </w:trPr>
        <w:tc>
          <w:tcPr>
            <w:tcW w:w="4479" w:type="dxa"/>
            <w:tcBorders>
              <w:top w:val="nil"/>
              <w:left w:val="single" w:sz="8" w:space="0" w:color="auto"/>
              <w:bottom w:val="nil"/>
              <w:right w:val="single" w:sz="8" w:space="0" w:color="auto"/>
            </w:tcBorders>
            <w:shd w:val="clear" w:color="auto" w:fill="auto"/>
            <w:vAlign w:val="center"/>
            <w:hideMark/>
          </w:tcPr>
          <w:p>
            <w:pPr>
              <w:spacing w:before="40" w:after="40"/>
              <w:rPr>
                <w:noProof/>
                <w:color w:val="000000"/>
                <w:sz w:val="20"/>
                <w:szCs w:val="22"/>
              </w:rPr>
            </w:pPr>
            <w:r>
              <w:rPr>
                <w:noProof/>
                <w:color w:val="000000"/>
                <w:sz w:val="20"/>
              </w:rPr>
              <w:t>Autres recettes</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noProof/>
                <w:sz w:val="20"/>
                <w:szCs w:val="22"/>
              </w:rPr>
            </w:pPr>
            <w:r>
              <w:rPr>
                <w:noProof/>
                <w:sz w:val="20"/>
              </w:rPr>
              <w:t>1,9</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1,9</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1,9</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1,9</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1,9</w:t>
            </w:r>
          </w:p>
        </w:tc>
      </w:tr>
      <w:tr>
        <w:trPr>
          <w:trHeight w:val="227"/>
        </w:trPr>
        <w:tc>
          <w:tcPr>
            <w:tcW w:w="447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spacing w:before="40" w:after="40"/>
              <w:rPr>
                <w:b/>
                <w:bCs/>
                <w:noProof/>
                <w:color w:val="000000"/>
                <w:sz w:val="20"/>
                <w:szCs w:val="22"/>
              </w:rPr>
            </w:pPr>
            <w:r>
              <w:rPr>
                <w:b/>
                <w:noProof/>
                <w:color w:val="000000"/>
                <w:sz w:val="20"/>
              </w:rPr>
              <w:t>Total des recettes</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pPr>
              <w:spacing w:before="40" w:after="40"/>
              <w:jc w:val="right"/>
              <w:rPr>
                <w:b/>
                <w:bCs/>
                <w:noProof/>
                <w:sz w:val="20"/>
                <w:szCs w:val="22"/>
              </w:rPr>
            </w:pPr>
            <w:r>
              <w:rPr>
                <w:b/>
                <w:noProof/>
                <w:sz w:val="20"/>
              </w:rPr>
              <w:t>148,5</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2"/>
              </w:rPr>
            </w:pPr>
            <w:r>
              <w:rPr>
                <w:b/>
                <w:noProof/>
                <w:color w:val="000000"/>
                <w:sz w:val="20"/>
              </w:rPr>
              <w:t>160,1</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2"/>
              </w:rPr>
            </w:pPr>
            <w:r>
              <w:rPr>
                <w:b/>
                <w:noProof/>
                <w:color w:val="000000"/>
                <w:sz w:val="20"/>
              </w:rPr>
              <w:t>159,4</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2"/>
              </w:rPr>
            </w:pPr>
            <w:r>
              <w:rPr>
                <w:b/>
                <w:noProof/>
                <w:color w:val="000000"/>
                <w:sz w:val="20"/>
              </w:rPr>
              <w:t>164,0</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2"/>
              </w:rPr>
            </w:pPr>
            <w:r>
              <w:rPr>
                <w:b/>
                <w:noProof/>
                <w:color w:val="000000"/>
                <w:sz w:val="20"/>
              </w:rPr>
              <w:t>177,3</w:t>
            </w:r>
          </w:p>
        </w:tc>
      </w:tr>
    </w:tbl>
    <w:p>
      <w:pPr>
        <w:rPr>
          <w:i/>
          <w:noProof/>
          <w:sz w:val="18"/>
          <w:szCs w:val="18"/>
        </w:rPr>
      </w:pPr>
      <w:r>
        <w:rPr>
          <w:i/>
          <w:noProof/>
          <w:sz w:val="18"/>
        </w:rPr>
        <w:t>* Les paiements relatifs à l’utilisation éventuelle des marges et à la réserve de l’Union (correspondant aux dégagements prévus) ont été ajoutés au total de chaque rubrique et provisoirement répartis de manière proportionnelle aux marges des rubriques.</w:t>
      </w:r>
    </w:p>
    <w:p>
      <w:pPr>
        <w:pStyle w:val="Text1"/>
        <w:spacing w:after="0"/>
        <w:ind w:left="0"/>
        <w:rPr>
          <w:i/>
          <w:noProof/>
          <w:sz w:val="18"/>
          <w:szCs w:val="18"/>
        </w:rPr>
      </w:pPr>
      <w:r>
        <w:rPr>
          <w:i/>
          <w:noProof/>
          <w:sz w:val="18"/>
        </w:rPr>
        <w:t xml:space="preserve">** Les montants suivants correspondent aux paiements prévus dans le cadre du projet de budget 2019 pour le Fonds européen d’ajustement à la mondialisation, le Fonds de solidarité de l’Union européenne et la réserve d’aide d’urgence. En raison de la nature particulière de ces instruments, leur utilisation ne peut être anticipée après 2019. </w:t>
      </w:r>
    </w:p>
    <w:p>
      <w:pPr>
        <w:pStyle w:val="Text1"/>
        <w:spacing w:after="0"/>
        <w:ind w:left="0"/>
        <w:rPr>
          <w:i/>
          <w:noProof/>
          <w:sz w:val="18"/>
          <w:szCs w:val="18"/>
        </w:rPr>
      </w:pPr>
      <w:r>
        <w:rPr>
          <w:i/>
          <w:noProof/>
          <w:sz w:val="18"/>
        </w:rPr>
        <w:t>Les crédits relatifs à ces instruments sont considérés comme étant en dehors des plafonds du cadre financier pluriannuel aux fins du calcul des marges correspondantes. Il en va de même pour les crédits liés à l’instrument de flexibilité.</w:t>
      </w:r>
    </w:p>
    <w:p>
      <w:pPr>
        <w:pStyle w:val="Text1"/>
        <w:spacing w:after="0"/>
        <w:ind w:left="0"/>
        <w:rPr>
          <w:i/>
          <w:noProof/>
          <w:sz w:val="18"/>
          <w:szCs w:val="18"/>
        </w:rPr>
      </w:pPr>
      <w:r>
        <w:rPr>
          <w:i/>
          <w:noProof/>
          <w:sz w:val="18"/>
        </w:rPr>
        <w:t>*** Les contributions nationales comprennent la ressource propre fondée sur le revenu national brut, la ressource propre fondée sur la TVA et les nouvelles ressources propres définies dans la proposition de la Commission relative au CFP 2021-2027. Toute contribution du Royaume-Uni aux engagements restant à liquider à la fin de l’année 2020 devrait être considérée comme étant d’autres recettes et, par conséquent, entraîner une réduction des contributions nationales.</w:t>
      </w:r>
    </w:p>
    <w:p>
      <w:pPr>
        <w:pStyle w:val="Text1"/>
        <w:ind w:left="0"/>
        <w:rPr>
          <w:noProof/>
        </w:rPr>
      </w:pPr>
      <w:r>
        <w:rPr>
          <w:noProof/>
        </w:rPr>
        <w:br w:type="page"/>
      </w:r>
    </w:p>
    <w:p>
      <w:pPr>
        <w:pStyle w:val="Caption"/>
        <w:keepNext/>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xml:space="preserve"> - Prévisions de dégagements pour la période 2019-2023</w:t>
      </w:r>
    </w:p>
    <w:tbl>
      <w:tblPr>
        <w:tblW w:w="9881" w:type="dxa"/>
        <w:tblInd w:w="93" w:type="dxa"/>
        <w:tblLook w:val="04A0" w:firstRow="1" w:lastRow="0" w:firstColumn="1" w:lastColumn="0" w:noHBand="0" w:noVBand="1"/>
      </w:tblPr>
      <w:tblGrid>
        <w:gridCol w:w="236"/>
        <w:gridCol w:w="236"/>
        <w:gridCol w:w="236"/>
        <w:gridCol w:w="4394"/>
        <w:gridCol w:w="1372"/>
        <w:gridCol w:w="1701"/>
        <w:gridCol w:w="1706"/>
      </w:tblGrid>
      <w:tr>
        <w:trPr>
          <w:trHeight w:val="300"/>
        </w:trPr>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9173" w:type="dxa"/>
            <w:gridSpan w:val="4"/>
            <w:tcBorders>
              <w:top w:val="nil"/>
              <w:left w:val="nil"/>
              <w:bottom w:val="nil"/>
              <w:right w:val="nil"/>
            </w:tcBorders>
            <w:shd w:val="clear" w:color="auto" w:fill="auto"/>
            <w:noWrap/>
            <w:vAlign w:val="center"/>
            <w:hideMark/>
          </w:tcPr>
          <w:p>
            <w:pPr>
              <w:jc w:val="right"/>
              <w:rPr>
                <w:i/>
                <w:iCs/>
                <w:noProof/>
                <w:color w:val="000000"/>
                <w:sz w:val="20"/>
                <w:szCs w:val="22"/>
              </w:rPr>
            </w:pPr>
            <w:r>
              <w:rPr>
                <w:i/>
                <w:noProof/>
                <w:color w:val="000000"/>
                <w:sz w:val="20"/>
              </w:rPr>
              <w:t>(En Mrd EUR à prix courants)</w:t>
            </w:r>
          </w:p>
        </w:tc>
      </w:tr>
      <w:tr>
        <w:trPr>
          <w:trHeight w:val="675"/>
        </w:trPr>
        <w:tc>
          <w:tcPr>
            <w:tcW w:w="5102" w:type="dxa"/>
            <w:gridSpan w:val="4"/>
            <w:vMerge w:val="restart"/>
            <w:tcBorders>
              <w:top w:val="single" w:sz="4" w:space="0" w:color="4F81BD"/>
              <w:left w:val="nil"/>
              <w:bottom w:val="single" w:sz="4" w:space="0" w:color="4F81BD"/>
              <w:right w:val="nil"/>
            </w:tcBorders>
            <w:shd w:val="clear" w:color="auto" w:fill="auto"/>
            <w:vAlign w:val="center"/>
            <w:hideMark/>
          </w:tcPr>
          <w:p>
            <w:pPr>
              <w:jc w:val="center"/>
              <w:rPr>
                <w:b/>
                <w:bCs/>
                <w:noProof/>
                <w:sz w:val="20"/>
              </w:rPr>
            </w:pPr>
            <w:r>
              <w:rPr>
                <w:b/>
                <w:noProof/>
                <w:sz w:val="20"/>
              </w:rPr>
              <w:t>Dégagements*</w:t>
            </w:r>
          </w:p>
        </w:tc>
        <w:tc>
          <w:tcPr>
            <w:tcW w:w="1372" w:type="dxa"/>
            <w:tcBorders>
              <w:top w:val="single" w:sz="4" w:space="0" w:color="4F81BD"/>
              <w:left w:val="nil"/>
              <w:bottom w:val="single" w:sz="4" w:space="0" w:color="4F81BD"/>
              <w:right w:val="nil"/>
            </w:tcBorders>
            <w:shd w:val="clear" w:color="auto" w:fill="auto"/>
            <w:vAlign w:val="center"/>
            <w:hideMark/>
          </w:tcPr>
          <w:p>
            <w:pPr>
              <w:rPr>
                <w:b/>
                <w:bCs/>
                <w:noProof/>
                <w:sz w:val="20"/>
                <w:szCs w:val="22"/>
              </w:rPr>
            </w:pPr>
            <w:r>
              <w:rPr>
                <w:b/>
                <w:noProof/>
                <w:sz w:val="20"/>
              </w:rPr>
              <w:t>Pour les engagements antérieurs à 2014</w:t>
            </w:r>
          </w:p>
        </w:tc>
        <w:tc>
          <w:tcPr>
            <w:tcW w:w="1701" w:type="dxa"/>
            <w:tcBorders>
              <w:top w:val="single" w:sz="4" w:space="0" w:color="4F81BD"/>
              <w:left w:val="nil"/>
              <w:bottom w:val="single" w:sz="4" w:space="0" w:color="4F81BD"/>
              <w:right w:val="nil"/>
            </w:tcBorders>
            <w:shd w:val="clear" w:color="auto" w:fill="auto"/>
            <w:vAlign w:val="center"/>
            <w:hideMark/>
          </w:tcPr>
          <w:p>
            <w:pPr>
              <w:jc w:val="center"/>
              <w:rPr>
                <w:b/>
                <w:bCs/>
                <w:noProof/>
                <w:sz w:val="20"/>
                <w:szCs w:val="22"/>
              </w:rPr>
            </w:pPr>
            <w:r>
              <w:rPr>
                <w:b/>
                <w:noProof/>
                <w:sz w:val="20"/>
              </w:rPr>
              <w:t>Pour les engagements relatifs à la période 2014-2020</w:t>
            </w:r>
          </w:p>
        </w:tc>
        <w:tc>
          <w:tcPr>
            <w:tcW w:w="1706" w:type="dxa"/>
            <w:tcBorders>
              <w:top w:val="single" w:sz="4" w:space="0" w:color="4F81BD"/>
              <w:left w:val="nil"/>
              <w:bottom w:val="nil"/>
              <w:right w:val="nil"/>
            </w:tcBorders>
            <w:shd w:val="clear" w:color="auto" w:fill="auto"/>
            <w:vAlign w:val="center"/>
            <w:hideMark/>
          </w:tcPr>
          <w:p>
            <w:pPr>
              <w:jc w:val="center"/>
              <w:rPr>
                <w:b/>
                <w:bCs/>
                <w:noProof/>
                <w:sz w:val="20"/>
                <w:szCs w:val="22"/>
              </w:rPr>
            </w:pPr>
            <w:r>
              <w:rPr>
                <w:b/>
                <w:noProof/>
                <w:sz w:val="20"/>
              </w:rPr>
              <w:t>TOTAL 2018-2023</w:t>
            </w:r>
          </w:p>
        </w:tc>
      </w:tr>
      <w:tr>
        <w:trPr>
          <w:trHeight w:val="300"/>
        </w:trPr>
        <w:tc>
          <w:tcPr>
            <w:tcW w:w="5102" w:type="dxa"/>
            <w:gridSpan w:val="4"/>
            <w:vMerge/>
            <w:tcBorders>
              <w:top w:val="single" w:sz="4" w:space="0" w:color="4F81BD"/>
              <w:left w:val="nil"/>
              <w:bottom w:val="single" w:sz="4" w:space="0" w:color="4F81BD"/>
              <w:right w:val="nil"/>
            </w:tcBorders>
            <w:vAlign w:val="center"/>
            <w:hideMark/>
          </w:tcPr>
          <w:p>
            <w:pPr>
              <w:rPr>
                <w:b/>
                <w:bCs/>
                <w:noProof/>
                <w:sz w:val="20"/>
              </w:rPr>
            </w:pPr>
          </w:p>
        </w:tc>
        <w:tc>
          <w:tcPr>
            <w:tcW w:w="1372" w:type="dxa"/>
            <w:tcBorders>
              <w:top w:val="nil"/>
              <w:left w:val="nil"/>
              <w:bottom w:val="nil"/>
              <w:right w:val="nil"/>
            </w:tcBorders>
            <w:shd w:val="clear" w:color="auto" w:fill="auto"/>
            <w:vAlign w:val="center"/>
            <w:hideMark/>
          </w:tcPr>
          <w:p>
            <w:pPr>
              <w:jc w:val="center"/>
              <w:rPr>
                <w:i/>
                <w:iCs/>
                <w:noProof/>
                <w:sz w:val="20"/>
                <w:szCs w:val="18"/>
              </w:rPr>
            </w:pPr>
            <w:r>
              <w:rPr>
                <w:i/>
                <w:noProof/>
                <w:sz w:val="20"/>
              </w:rPr>
              <w:t>(a)</w:t>
            </w:r>
          </w:p>
        </w:tc>
        <w:tc>
          <w:tcPr>
            <w:tcW w:w="1701" w:type="dxa"/>
            <w:tcBorders>
              <w:top w:val="nil"/>
              <w:left w:val="nil"/>
              <w:bottom w:val="nil"/>
              <w:right w:val="nil"/>
            </w:tcBorders>
            <w:shd w:val="clear" w:color="auto" w:fill="auto"/>
            <w:vAlign w:val="center"/>
            <w:hideMark/>
          </w:tcPr>
          <w:p>
            <w:pPr>
              <w:jc w:val="center"/>
              <w:rPr>
                <w:i/>
                <w:iCs/>
                <w:noProof/>
                <w:sz w:val="20"/>
                <w:szCs w:val="18"/>
              </w:rPr>
            </w:pPr>
            <w:r>
              <w:rPr>
                <w:i/>
                <w:noProof/>
                <w:sz w:val="20"/>
              </w:rPr>
              <w:t>(b)</w:t>
            </w:r>
          </w:p>
        </w:tc>
        <w:tc>
          <w:tcPr>
            <w:tcW w:w="1706" w:type="dxa"/>
            <w:tcBorders>
              <w:top w:val="single" w:sz="4" w:space="0" w:color="4F81BD"/>
              <w:left w:val="nil"/>
              <w:bottom w:val="nil"/>
              <w:right w:val="nil"/>
            </w:tcBorders>
            <w:shd w:val="clear" w:color="auto" w:fill="auto"/>
            <w:vAlign w:val="center"/>
            <w:hideMark/>
          </w:tcPr>
          <w:p>
            <w:pPr>
              <w:jc w:val="center"/>
              <w:rPr>
                <w:i/>
                <w:iCs/>
                <w:noProof/>
                <w:sz w:val="20"/>
                <w:szCs w:val="18"/>
              </w:rPr>
            </w:pPr>
            <w:r>
              <w:rPr>
                <w:i/>
                <w:noProof/>
                <w:sz w:val="20"/>
              </w:rPr>
              <w:t>(a+b)</w:t>
            </w:r>
          </w:p>
        </w:tc>
      </w:tr>
      <w:tr>
        <w:trPr>
          <w:trHeight w:val="375"/>
        </w:trPr>
        <w:tc>
          <w:tcPr>
            <w:tcW w:w="5102" w:type="dxa"/>
            <w:gridSpan w:val="4"/>
            <w:tcBorders>
              <w:top w:val="nil"/>
              <w:left w:val="nil"/>
              <w:bottom w:val="nil"/>
              <w:right w:val="nil"/>
            </w:tcBorders>
            <w:shd w:val="clear" w:color="auto" w:fill="auto"/>
            <w:noWrap/>
            <w:vAlign w:val="center"/>
            <w:hideMark/>
          </w:tcPr>
          <w:p>
            <w:pPr>
              <w:rPr>
                <w:noProof/>
                <w:sz w:val="20"/>
                <w:szCs w:val="28"/>
              </w:rPr>
            </w:pPr>
            <w:r>
              <w:rPr>
                <w:noProof/>
                <w:sz w:val="20"/>
              </w:rPr>
              <w:t>1a. Compétitivité pour la croissance et l’emploi</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-1,0</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-1,0</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-1,9</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8"/>
              </w:rPr>
            </w:pPr>
            <w:r>
              <w:rPr>
                <w:noProof/>
                <w:sz w:val="20"/>
              </w:rPr>
              <w:t>1b. Cohésion économique, sociale et territoriale</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-0,1</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-0,2</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-0,3</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8"/>
              </w:rPr>
            </w:pPr>
            <w:r>
              <w:rPr>
                <w:noProof/>
                <w:sz w:val="20"/>
              </w:rPr>
              <w:t>2. Croissance durable: ressources naturelles</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-0,4</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-0,1</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-0,5</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8"/>
              </w:rPr>
            </w:pPr>
            <w:r>
              <w:rPr>
                <w:noProof/>
                <w:sz w:val="20"/>
              </w:rPr>
              <w:t>3. Sécurité et citoyenneté</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-0,2</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-2,1</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-2,3</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8"/>
              </w:rPr>
            </w:pPr>
            <w:r>
              <w:rPr>
                <w:noProof/>
                <w:sz w:val="20"/>
              </w:rPr>
              <w:t>4. L’Europe dans le monde</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-0,4</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-0,9</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-1,3</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8"/>
              </w:rPr>
            </w:pPr>
            <w:r>
              <w:rPr>
                <w:noProof/>
                <w:sz w:val="20"/>
              </w:rPr>
              <w:t xml:space="preserve">5. Administration </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0,0</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0,0</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0,0</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jc w:val="right"/>
              <w:rPr>
                <w:b/>
                <w:bCs/>
                <w:noProof/>
                <w:sz w:val="20"/>
                <w:szCs w:val="28"/>
              </w:rPr>
            </w:pPr>
            <w:r>
              <w:rPr>
                <w:b/>
                <w:noProof/>
                <w:sz w:val="20"/>
              </w:rPr>
              <w:t>TOTAL</w:t>
            </w:r>
          </w:p>
        </w:tc>
        <w:tc>
          <w:tcPr>
            <w:tcW w:w="1372" w:type="dxa"/>
            <w:tcBorders>
              <w:top w:val="single" w:sz="4" w:space="0" w:color="4F81BD"/>
              <w:left w:val="nil"/>
              <w:bottom w:val="nil"/>
              <w:right w:val="nil"/>
            </w:tcBorders>
            <w:shd w:val="clear" w:color="auto" w:fill="auto"/>
            <w:noWrap/>
            <w:vAlign w:val="center"/>
            <w:hideMark/>
          </w:tcPr>
          <w:p>
            <w:pPr>
              <w:jc w:val="right"/>
              <w:rPr>
                <w:b/>
                <w:bCs/>
                <w:noProof/>
                <w:sz w:val="20"/>
                <w:szCs w:val="28"/>
              </w:rPr>
            </w:pPr>
            <w:r>
              <w:rPr>
                <w:b/>
                <w:noProof/>
                <w:sz w:val="20"/>
              </w:rPr>
              <w:t>-2,1</w:t>
            </w:r>
          </w:p>
        </w:tc>
        <w:tc>
          <w:tcPr>
            <w:tcW w:w="1701" w:type="dxa"/>
            <w:tcBorders>
              <w:top w:val="single" w:sz="4" w:space="0" w:color="4F81BD"/>
              <w:left w:val="nil"/>
              <w:bottom w:val="nil"/>
              <w:right w:val="nil"/>
            </w:tcBorders>
            <w:shd w:val="clear" w:color="auto" w:fill="auto"/>
            <w:noWrap/>
            <w:vAlign w:val="center"/>
            <w:hideMark/>
          </w:tcPr>
          <w:p>
            <w:pPr>
              <w:jc w:val="right"/>
              <w:rPr>
                <w:b/>
                <w:bCs/>
                <w:noProof/>
                <w:sz w:val="20"/>
                <w:szCs w:val="28"/>
              </w:rPr>
            </w:pPr>
            <w:r>
              <w:rPr>
                <w:b/>
                <w:noProof/>
                <w:sz w:val="20"/>
              </w:rPr>
              <w:t>-4,3</w:t>
            </w:r>
          </w:p>
        </w:tc>
        <w:tc>
          <w:tcPr>
            <w:tcW w:w="1706" w:type="dxa"/>
            <w:tcBorders>
              <w:top w:val="single" w:sz="4" w:space="0" w:color="4F81BD"/>
              <w:left w:val="nil"/>
              <w:bottom w:val="nil"/>
              <w:right w:val="nil"/>
            </w:tcBorders>
            <w:shd w:val="clear" w:color="auto" w:fill="auto"/>
            <w:noWrap/>
            <w:vAlign w:val="center"/>
            <w:hideMark/>
          </w:tcPr>
          <w:p>
            <w:pPr>
              <w:jc w:val="right"/>
              <w:rPr>
                <w:b/>
                <w:bCs/>
                <w:noProof/>
                <w:sz w:val="20"/>
                <w:szCs w:val="28"/>
              </w:rPr>
            </w:pPr>
            <w:r>
              <w:rPr>
                <w:b/>
                <w:noProof/>
                <w:sz w:val="20"/>
              </w:rPr>
              <w:t>-6,4</w:t>
            </w:r>
          </w:p>
        </w:tc>
      </w:tr>
    </w:tbl>
    <w:p>
      <w:pPr>
        <w:rPr>
          <w:noProof/>
        </w:rPr>
      </w:pPr>
    </w:p>
    <w:p>
      <w:pPr>
        <w:pStyle w:val="Text1"/>
        <w:ind w:left="0"/>
        <w:rPr>
          <w:i/>
          <w:noProof/>
          <w:sz w:val="20"/>
        </w:rPr>
      </w:pPr>
      <w:r>
        <w:rPr>
          <w:i/>
          <w:noProof/>
          <w:sz w:val="20"/>
        </w:rPr>
        <w:t>* Aucun dégagement n’est prévu pour les engagements proposés au titre du cadre financier 2021-2027.</w:t>
      </w:r>
    </w:p>
    <w:p>
      <w:pPr>
        <w:pStyle w:val="Text1"/>
        <w:ind w:left="0"/>
        <w:rPr>
          <w:i/>
          <w:noProof/>
          <w:sz w:val="20"/>
        </w:rPr>
      </w:pPr>
    </w:p>
    <w:p>
      <w:pPr>
        <w:pStyle w:val="Caption"/>
        <w:keepNext/>
        <w:jc w:val="both"/>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xml:space="preserve"> – Variation du total des engagements restant à liquider entre 2019 et 2023</w:t>
      </w:r>
    </w:p>
    <w:tbl>
      <w:tblPr>
        <w:tblW w:w="9920" w:type="dxa"/>
        <w:tblInd w:w="93" w:type="dxa"/>
        <w:tblLook w:val="04A0" w:firstRow="1" w:lastRow="0" w:firstColumn="1" w:lastColumn="0" w:noHBand="0" w:noVBand="1"/>
      </w:tblPr>
      <w:tblGrid>
        <w:gridCol w:w="1701"/>
        <w:gridCol w:w="283"/>
        <w:gridCol w:w="1418"/>
        <w:gridCol w:w="566"/>
        <w:gridCol w:w="1135"/>
        <w:gridCol w:w="849"/>
        <w:gridCol w:w="852"/>
        <w:gridCol w:w="1132"/>
        <w:gridCol w:w="1984"/>
      </w:tblGrid>
      <w:tr>
        <w:trPr>
          <w:trHeight w:val="315"/>
        </w:trPr>
        <w:tc>
          <w:tcPr>
            <w:tcW w:w="1701" w:type="dxa"/>
            <w:tcBorders>
              <w:top w:val="nil"/>
              <w:left w:val="nil"/>
              <w:bottom w:val="nil"/>
              <w:right w:val="nil"/>
            </w:tcBorders>
            <w:shd w:val="clear" w:color="auto" w:fill="auto"/>
            <w:noWrap/>
            <w:vAlign w:val="center"/>
            <w:hideMark/>
          </w:tcPr>
          <w:p>
            <w:pPr>
              <w:rPr>
                <w:noProof/>
                <w:color w:val="000000"/>
                <w:sz w:val="22"/>
                <w:szCs w:val="22"/>
              </w:rPr>
            </w:pPr>
          </w:p>
        </w:tc>
        <w:tc>
          <w:tcPr>
            <w:tcW w:w="1701" w:type="dxa"/>
            <w:gridSpan w:val="2"/>
            <w:tcBorders>
              <w:top w:val="nil"/>
              <w:left w:val="nil"/>
              <w:bottom w:val="nil"/>
              <w:right w:val="nil"/>
            </w:tcBorders>
            <w:shd w:val="clear" w:color="auto" w:fill="auto"/>
            <w:noWrap/>
            <w:vAlign w:val="center"/>
            <w:hideMark/>
          </w:tcPr>
          <w:p>
            <w:pPr>
              <w:rPr>
                <w:noProof/>
                <w:color w:val="000000"/>
                <w:sz w:val="22"/>
                <w:szCs w:val="22"/>
              </w:rPr>
            </w:pPr>
          </w:p>
        </w:tc>
        <w:tc>
          <w:tcPr>
            <w:tcW w:w="1701" w:type="dxa"/>
            <w:gridSpan w:val="2"/>
            <w:tcBorders>
              <w:top w:val="nil"/>
              <w:left w:val="nil"/>
              <w:bottom w:val="nil"/>
              <w:right w:val="nil"/>
            </w:tcBorders>
            <w:shd w:val="clear" w:color="auto" w:fill="auto"/>
            <w:noWrap/>
            <w:vAlign w:val="center"/>
            <w:hideMark/>
          </w:tcPr>
          <w:p>
            <w:pPr>
              <w:rPr>
                <w:noProof/>
                <w:color w:val="000000"/>
                <w:sz w:val="22"/>
                <w:szCs w:val="22"/>
              </w:rPr>
            </w:pPr>
          </w:p>
        </w:tc>
        <w:tc>
          <w:tcPr>
            <w:tcW w:w="1701" w:type="dxa"/>
            <w:gridSpan w:val="2"/>
            <w:tcBorders>
              <w:top w:val="nil"/>
              <w:left w:val="nil"/>
              <w:bottom w:val="nil"/>
              <w:right w:val="nil"/>
            </w:tcBorders>
            <w:shd w:val="clear" w:color="auto" w:fill="auto"/>
            <w:noWrap/>
            <w:vAlign w:val="center"/>
            <w:hideMark/>
          </w:tcPr>
          <w:p>
            <w:pPr>
              <w:rPr>
                <w:noProof/>
                <w:color w:val="000000"/>
                <w:sz w:val="22"/>
                <w:szCs w:val="22"/>
              </w:rPr>
            </w:pPr>
          </w:p>
        </w:tc>
        <w:tc>
          <w:tcPr>
            <w:tcW w:w="3116" w:type="dxa"/>
            <w:gridSpan w:val="2"/>
            <w:tcBorders>
              <w:top w:val="nil"/>
              <w:left w:val="nil"/>
              <w:bottom w:val="nil"/>
              <w:right w:val="nil"/>
            </w:tcBorders>
            <w:shd w:val="clear" w:color="auto" w:fill="auto"/>
            <w:noWrap/>
            <w:vAlign w:val="center"/>
            <w:hideMark/>
          </w:tcPr>
          <w:p>
            <w:pPr>
              <w:jc w:val="right"/>
              <w:rPr>
                <w:i/>
                <w:iCs/>
                <w:noProof/>
                <w:color w:val="000000"/>
                <w:sz w:val="22"/>
                <w:szCs w:val="22"/>
              </w:rPr>
            </w:pPr>
            <w:r>
              <w:rPr>
                <w:i/>
                <w:noProof/>
                <w:color w:val="000000"/>
                <w:sz w:val="22"/>
              </w:rPr>
              <w:t>(En Mrd EUR à prix courants)</w:t>
            </w:r>
          </w:p>
        </w:tc>
      </w:tr>
      <w:tr>
        <w:trPr>
          <w:trHeight w:val="645"/>
        </w:trPr>
        <w:tc>
          <w:tcPr>
            <w:tcW w:w="1984" w:type="dxa"/>
            <w:gridSpan w:val="2"/>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2"/>
                <w:szCs w:val="22"/>
              </w:rPr>
            </w:pPr>
            <w:r>
              <w:rPr>
                <w:b/>
                <w:noProof/>
                <w:color w:val="000000"/>
                <w:sz w:val="22"/>
              </w:rPr>
              <w:t>RAL fin 2018*</w:t>
            </w:r>
          </w:p>
        </w:tc>
        <w:tc>
          <w:tcPr>
            <w:tcW w:w="1984" w:type="dxa"/>
            <w:gridSpan w:val="2"/>
            <w:tcBorders>
              <w:top w:val="single" w:sz="8" w:space="0" w:color="auto"/>
              <w:left w:val="nil"/>
              <w:bottom w:val="nil"/>
              <w:right w:val="nil"/>
            </w:tcBorders>
            <w:shd w:val="clear" w:color="auto" w:fill="auto"/>
            <w:noWrap/>
            <w:vAlign w:val="center"/>
            <w:hideMark/>
          </w:tcPr>
          <w:p>
            <w:pPr>
              <w:jc w:val="center"/>
              <w:rPr>
                <w:b/>
                <w:bCs/>
                <w:noProof/>
                <w:color w:val="000000"/>
                <w:sz w:val="22"/>
                <w:szCs w:val="22"/>
              </w:rPr>
            </w:pPr>
            <w:r>
              <w:rPr>
                <w:b/>
                <w:noProof/>
                <w:color w:val="000000"/>
                <w:sz w:val="22"/>
              </w:rPr>
              <w:t>Engagements 2018-2023</w:t>
            </w:r>
          </w:p>
        </w:tc>
        <w:tc>
          <w:tcPr>
            <w:tcW w:w="1984" w:type="dxa"/>
            <w:gridSpan w:val="2"/>
            <w:tcBorders>
              <w:top w:val="single" w:sz="8" w:space="0" w:color="auto"/>
              <w:left w:val="single" w:sz="8" w:space="0" w:color="auto"/>
              <w:bottom w:val="nil"/>
              <w:right w:val="nil"/>
            </w:tcBorders>
            <w:shd w:val="clear" w:color="auto" w:fill="auto"/>
            <w:noWrap/>
            <w:vAlign w:val="center"/>
            <w:hideMark/>
          </w:tcPr>
          <w:p>
            <w:pPr>
              <w:jc w:val="center"/>
              <w:rPr>
                <w:b/>
                <w:bCs/>
                <w:noProof/>
                <w:color w:val="000000"/>
                <w:sz w:val="22"/>
                <w:szCs w:val="22"/>
              </w:rPr>
            </w:pPr>
            <w:r>
              <w:rPr>
                <w:b/>
                <w:noProof/>
                <w:color w:val="000000"/>
                <w:sz w:val="22"/>
              </w:rPr>
              <w:t>Paiements 2018-2023</w:t>
            </w:r>
          </w:p>
        </w:tc>
        <w:tc>
          <w:tcPr>
            <w:tcW w:w="1984" w:type="dxa"/>
            <w:gridSpan w:val="2"/>
            <w:tcBorders>
              <w:top w:val="single" w:sz="8" w:space="0" w:color="auto"/>
              <w:left w:val="single" w:sz="8" w:space="0" w:color="auto"/>
              <w:bottom w:val="nil"/>
              <w:right w:val="nil"/>
            </w:tcBorders>
            <w:shd w:val="clear" w:color="auto" w:fill="auto"/>
            <w:vAlign w:val="center"/>
            <w:hideMark/>
          </w:tcPr>
          <w:p>
            <w:pPr>
              <w:jc w:val="center"/>
              <w:rPr>
                <w:b/>
                <w:bCs/>
                <w:noProof/>
                <w:color w:val="000000"/>
                <w:sz w:val="22"/>
                <w:szCs w:val="22"/>
              </w:rPr>
            </w:pPr>
            <w:r>
              <w:rPr>
                <w:b/>
                <w:noProof/>
                <w:color w:val="000000"/>
                <w:sz w:val="22"/>
              </w:rPr>
              <w:t>Dégagements**</w:t>
            </w:r>
          </w:p>
        </w:tc>
        <w:tc>
          <w:tcPr>
            <w:tcW w:w="1984" w:type="dxa"/>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2"/>
                <w:szCs w:val="22"/>
              </w:rPr>
            </w:pPr>
            <w:r>
              <w:rPr>
                <w:b/>
                <w:noProof/>
                <w:color w:val="000000"/>
                <w:sz w:val="22"/>
              </w:rPr>
              <w:t>RAL fin 2023</w:t>
            </w:r>
          </w:p>
        </w:tc>
      </w:tr>
      <w:tr>
        <w:trPr>
          <w:trHeight w:val="300"/>
        </w:trPr>
        <w:tc>
          <w:tcPr>
            <w:tcW w:w="1984" w:type="dxa"/>
            <w:gridSpan w:val="2"/>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18"/>
                <w:szCs w:val="18"/>
              </w:rPr>
            </w:pPr>
            <w:r>
              <w:rPr>
                <w:i/>
                <w:noProof/>
                <w:color w:val="000000"/>
                <w:sz w:val="18"/>
              </w:rPr>
              <w:t>(a)</w:t>
            </w:r>
          </w:p>
        </w:tc>
        <w:tc>
          <w:tcPr>
            <w:tcW w:w="1984" w:type="dxa"/>
            <w:gridSpan w:val="2"/>
            <w:tcBorders>
              <w:top w:val="nil"/>
              <w:left w:val="nil"/>
              <w:bottom w:val="nil"/>
              <w:right w:val="nil"/>
            </w:tcBorders>
            <w:shd w:val="clear" w:color="auto" w:fill="auto"/>
            <w:noWrap/>
            <w:vAlign w:val="center"/>
            <w:hideMark/>
          </w:tcPr>
          <w:p>
            <w:pPr>
              <w:jc w:val="center"/>
              <w:rPr>
                <w:i/>
                <w:iCs/>
                <w:noProof/>
                <w:color w:val="000000"/>
                <w:sz w:val="18"/>
                <w:szCs w:val="18"/>
              </w:rPr>
            </w:pPr>
            <w:r>
              <w:rPr>
                <w:i/>
                <w:noProof/>
                <w:color w:val="000000"/>
                <w:sz w:val="18"/>
              </w:rPr>
              <w:t>(b)</w:t>
            </w:r>
          </w:p>
        </w:tc>
        <w:tc>
          <w:tcPr>
            <w:tcW w:w="1984" w:type="dxa"/>
            <w:gridSpan w:val="2"/>
            <w:tcBorders>
              <w:top w:val="nil"/>
              <w:left w:val="single" w:sz="8" w:space="0" w:color="auto"/>
              <w:bottom w:val="nil"/>
              <w:right w:val="nil"/>
            </w:tcBorders>
            <w:shd w:val="clear" w:color="auto" w:fill="auto"/>
            <w:noWrap/>
            <w:vAlign w:val="center"/>
            <w:hideMark/>
          </w:tcPr>
          <w:p>
            <w:pPr>
              <w:jc w:val="center"/>
              <w:rPr>
                <w:i/>
                <w:iCs/>
                <w:noProof/>
                <w:color w:val="000000"/>
                <w:sz w:val="18"/>
                <w:szCs w:val="18"/>
              </w:rPr>
            </w:pPr>
            <w:r>
              <w:rPr>
                <w:i/>
                <w:noProof/>
                <w:color w:val="000000"/>
                <w:sz w:val="18"/>
              </w:rPr>
              <w:t>(c )</w:t>
            </w:r>
          </w:p>
        </w:tc>
        <w:tc>
          <w:tcPr>
            <w:tcW w:w="1984" w:type="dxa"/>
            <w:gridSpan w:val="2"/>
            <w:tcBorders>
              <w:top w:val="nil"/>
              <w:left w:val="single" w:sz="8" w:space="0" w:color="auto"/>
              <w:bottom w:val="nil"/>
              <w:right w:val="nil"/>
            </w:tcBorders>
            <w:shd w:val="clear" w:color="auto" w:fill="auto"/>
            <w:vAlign w:val="center"/>
            <w:hideMark/>
          </w:tcPr>
          <w:p>
            <w:pPr>
              <w:jc w:val="center"/>
              <w:rPr>
                <w:i/>
                <w:iCs/>
                <w:noProof/>
                <w:color w:val="000000"/>
                <w:sz w:val="16"/>
                <w:szCs w:val="16"/>
              </w:rPr>
            </w:pPr>
            <w:r>
              <w:rPr>
                <w:i/>
                <w:noProof/>
                <w:color w:val="000000"/>
                <w:sz w:val="16"/>
              </w:rPr>
              <w:t>(d)</w:t>
            </w:r>
          </w:p>
        </w:tc>
        <w:tc>
          <w:tcPr>
            <w:tcW w:w="1984" w:type="dxa"/>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18"/>
                <w:szCs w:val="18"/>
              </w:rPr>
            </w:pPr>
            <w:r>
              <w:rPr>
                <w:i/>
                <w:noProof/>
                <w:color w:val="000000"/>
                <w:sz w:val="18"/>
              </w:rPr>
              <w:t>(a+b-c-d)</w:t>
            </w:r>
          </w:p>
        </w:tc>
      </w:tr>
      <w:tr>
        <w:trPr>
          <w:trHeight w:val="600"/>
        </w:trPr>
        <w:tc>
          <w:tcPr>
            <w:tcW w:w="1984"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2"/>
                <w:szCs w:val="22"/>
              </w:rPr>
            </w:pPr>
            <w:r>
              <w:rPr>
                <w:noProof/>
                <w:color w:val="000000"/>
                <w:sz w:val="22"/>
              </w:rPr>
              <w:t>276,3</w:t>
            </w:r>
          </w:p>
        </w:tc>
        <w:tc>
          <w:tcPr>
            <w:tcW w:w="1984" w:type="dxa"/>
            <w:gridSpan w:val="2"/>
            <w:tcBorders>
              <w:top w:val="single" w:sz="4" w:space="0" w:color="auto"/>
              <w:left w:val="nil"/>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rPr>
              <w:t>852,6</w:t>
            </w:r>
          </w:p>
        </w:tc>
        <w:tc>
          <w:tcPr>
            <w:tcW w:w="1984" w:type="dxa"/>
            <w:gridSpan w:val="2"/>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rPr>
              <w:t>809,0</w:t>
            </w:r>
          </w:p>
        </w:tc>
        <w:tc>
          <w:tcPr>
            <w:tcW w:w="1984" w:type="dxa"/>
            <w:gridSpan w:val="2"/>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rPr>
              <w:t>-6,0</w:t>
            </w:r>
          </w:p>
        </w:tc>
        <w:tc>
          <w:tcPr>
            <w:tcW w:w="198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2"/>
                <w:szCs w:val="22"/>
              </w:rPr>
            </w:pPr>
            <w:r>
              <w:rPr>
                <w:noProof/>
                <w:color w:val="000000"/>
                <w:sz w:val="22"/>
              </w:rPr>
              <w:t>313,8</w:t>
            </w:r>
          </w:p>
        </w:tc>
      </w:tr>
      <w:tr>
        <w:trPr>
          <w:trHeight w:val="435"/>
        </w:trPr>
        <w:tc>
          <w:tcPr>
            <w:tcW w:w="1984" w:type="dxa"/>
            <w:gridSpan w:val="2"/>
            <w:tcBorders>
              <w:top w:val="nil"/>
              <w:left w:val="nil"/>
              <w:bottom w:val="nil"/>
              <w:right w:val="nil"/>
            </w:tcBorders>
            <w:shd w:val="clear" w:color="auto" w:fill="auto"/>
            <w:noWrap/>
            <w:vAlign w:val="center"/>
            <w:hideMark/>
          </w:tcPr>
          <w:p>
            <w:pPr>
              <w:outlineLvl w:val="0"/>
              <w:rPr>
                <w:i/>
                <w:iCs/>
                <w:noProof/>
                <w:color w:val="000000"/>
                <w:sz w:val="22"/>
                <w:szCs w:val="22"/>
              </w:rPr>
            </w:pPr>
            <w:r>
              <w:rPr>
                <w:i/>
                <w:noProof/>
                <w:color w:val="000000"/>
                <w:sz w:val="22"/>
              </w:rPr>
              <w:t>Dont:</w:t>
            </w:r>
          </w:p>
        </w:tc>
        <w:tc>
          <w:tcPr>
            <w:tcW w:w="1984" w:type="dxa"/>
            <w:gridSpan w:val="2"/>
            <w:tcBorders>
              <w:top w:val="nil"/>
              <w:left w:val="nil"/>
              <w:bottom w:val="nil"/>
              <w:right w:val="nil"/>
            </w:tcBorders>
            <w:shd w:val="clear" w:color="auto" w:fill="auto"/>
            <w:noWrap/>
            <w:vAlign w:val="center"/>
            <w:hideMark/>
          </w:tcPr>
          <w:p>
            <w:pPr>
              <w:outlineLvl w:val="0"/>
              <w:rPr>
                <w:noProof/>
                <w:color w:val="000000"/>
                <w:sz w:val="22"/>
                <w:szCs w:val="22"/>
              </w:rPr>
            </w:pPr>
          </w:p>
        </w:tc>
        <w:tc>
          <w:tcPr>
            <w:tcW w:w="1984" w:type="dxa"/>
            <w:gridSpan w:val="2"/>
            <w:tcBorders>
              <w:top w:val="nil"/>
              <w:left w:val="nil"/>
              <w:bottom w:val="nil"/>
              <w:right w:val="nil"/>
            </w:tcBorders>
            <w:shd w:val="clear" w:color="auto" w:fill="auto"/>
            <w:noWrap/>
            <w:vAlign w:val="center"/>
            <w:hideMark/>
          </w:tcPr>
          <w:p>
            <w:pPr>
              <w:outlineLvl w:val="0"/>
              <w:rPr>
                <w:noProof/>
                <w:color w:val="000000"/>
                <w:sz w:val="22"/>
                <w:szCs w:val="22"/>
              </w:rPr>
            </w:pPr>
          </w:p>
        </w:tc>
        <w:tc>
          <w:tcPr>
            <w:tcW w:w="1984" w:type="dxa"/>
            <w:gridSpan w:val="2"/>
            <w:tcBorders>
              <w:top w:val="nil"/>
              <w:left w:val="nil"/>
              <w:bottom w:val="nil"/>
              <w:right w:val="nil"/>
            </w:tcBorders>
            <w:shd w:val="clear" w:color="auto" w:fill="auto"/>
            <w:noWrap/>
            <w:vAlign w:val="center"/>
            <w:hideMark/>
          </w:tcPr>
          <w:p>
            <w:pPr>
              <w:outlineLvl w:val="0"/>
              <w:rPr>
                <w:noProof/>
                <w:color w:val="000000"/>
                <w:sz w:val="22"/>
                <w:szCs w:val="22"/>
              </w:rPr>
            </w:pPr>
          </w:p>
        </w:tc>
        <w:tc>
          <w:tcPr>
            <w:tcW w:w="1984" w:type="dxa"/>
            <w:tcBorders>
              <w:top w:val="nil"/>
              <w:left w:val="nil"/>
              <w:bottom w:val="nil"/>
              <w:right w:val="nil"/>
            </w:tcBorders>
            <w:shd w:val="clear" w:color="auto" w:fill="auto"/>
            <w:noWrap/>
            <w:vAlign w:val="center"/>
            <w:hideMark/>
          </w:tcPr>
          <w:p>
            <w:pPr>
              <w:outlineLvl w:val="0"/>
              <w:rPr>
                <w:noProof/>
                <w:color w:val="000000"/>
                <w:sz w:val="22"/>
                <w:szCs w:val="22"/>
              </w:rPr>
            </w:pPr>
          </w:p>
        </w:tc>
      </w:tr>
      <w:tr>
        <w:trPr>
          <w:trHeight w:val="600"/>
        </w:trPr>
        <w:tc>
          <w:tcPr>
            <w:tcW w:w="1984" w:type="dxa"/>
            <w:gridSpan w:val="2"/>
            <w:tcBorders>
              <w:top w:val="single" w:sz="8"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2"/>
                <w:szCs w:val="22"/>
              </w:rPr>
            </w:pPr>
            <w:r>
              <w:rPr>
                <w:b/>
                <w:noProof/>
                <w:color w:val="000000"/>
                <w:sz w:val="22"/>
              </w:rPr>
              <w:t>CFP 2014-2020</w:t>
            </w:r>
          </w:p>
        </w:tc>
        <w:tc>
          <w:tcPr>
            <w:tcW w:w="1984" w:type="dxa"/>
            <w:gridSpan w:val="2"/>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rPr>
              <w:t> </w:t>
            </w:r>
          </w:p>
        </w:tc>
        <w:tc>
          <w:tcPr>
            <w:tcW w:w="1984" w:type="dxa"/>
            <w:gridSpan w:val="2"/>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rPr>
              <w:t> </w:t>
            </w:r>
          </w:p>
        </w:tc>
        <w:tc>
          <w:tcPr>
            <w:tcW w:w="1984" w:type="dxa"/>
            <w:gridSpan w:val="2"/>
            <w:tcBorders>
              <w:top w:val="single" w:sz="8" w:space="0" w:color="auto"/>
              <w:left w:val="nil"/>
              <w:bottom w:val="nil"/>
              <w:right w:val="nil"/>
            </w:tcBorders>
            <w:shd w:val="clear" w:color="auto" w:fill="auto"/>
            <w:vAlign w:val="center"/>
            <w:hideMark/>
          </w:tcPr>
          <w:p>
            <w:pPr>
              <w:jc w:val="center"/>
              <w:outlineLvl w:val="0"/>
              <w:rPr>
                <w:noProof/>
                <w:color w:val="000000"/>
                <w:sz w:val="18"/>
                <w:szCs w:val="18"/>
              </w:rPr>
            </w:pPr>
            <w:r>
              <w:rPr>
                <w:noProof/>
                <w:color w:val="000000"/>
                <w:sz w:val="18"/>
              </w:rPr>
              <w:t>Total des dégagements et montant payé par d’autres sources de financement</w:t>
            </w:r>
          </w:p>
        </w:tc>
        <w:tc>
          <w:tcPr>
            <w:tcW w:w="1984" w:type="dxa"/>
            <w:tcBorders>
              <w:top w:val="single" w:sz="8" w:space="0" w:color="auto"/>
              <w:left w:val="single" w:sz="8" w:space="0" w:color="auto"/>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rPr>
              <w:t> </w:t>
            </w:r>
          </w:p>
        </w:tc>
      </w:tr>
      <w:tr>
        <w:trPr>
          <w:trHeight w:val="450"/>
        </w:trPr>
        <w:tc>
          <w:tcPr>
            <w:tcW w:w="1984" w:type="dxa"/>
            <w:gridSpan w:val="2"/>
            <w:tcBorders>
              <w:top w:val="nil"/>
              <w:left w:val="single" w:sz="8" w:space="0" w:color="auto"/>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276,3</w:t>
            </w:r>
          </w:p>
        </w:tc>
        <w:tc>
          <w:tcPr>
            <w:tcW w:w="1984"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332,8</w:t>
            </w:r>
          </w:p>
        </w:tc>
        <w:tc>
          <w:tcPr>
            <w:tcW w:w="1984"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529,1</w:t>
            </w:r>
          </w:p>
        </w:tc>
        <w:tc>
          <w:tcPr>
            <w:tcW w:w="1984"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-7,9</w:t>
            </w:r>
          </w:p>
        </w:tc>
        <w:tc>
          <w:tcPr>
            <w:tcW w:w="1984" w:type="dxa"/>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72,1</w:t>
            </w:r>
          </w:p>
        </w:tc>
      </w:tr>
      <w:tr>
        <w:trPr>
          <w:trHeight w:val="480"/>
        </w:trPr>
        <w:tc>
          <w:tcPr>
            <w:tcW w:w="1984" w:type="dxa"/>
            <w:gridSpan w:val="2"/>
            <w:tcBorders>
              <w:top w:val="single" w:sz="4"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2"/>
                <w:szCs w:val="22"/>
              </w:rPr>
            </w:pPr>
            <w:r>
              <w:rPr>
                <w:b/>
                <w:noProof/>
                <w:color w:val="000000"/>
                <w:sz w:val="22"/>
              </w:rPr>
              <w:t>CFP 2021-2027</w:t>
            </w:r>
          </w:p>
        </w:tc>
        <w:tc>
          <w:tcPr>
            <w:tcW w:w="1984" w:type="dxa"/>
            <w:gridSpan w:val="2"/>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rPr>
              <w:t> </w:t>
            </w:r>
          </w:p>
        </w:tc>
        <w:tc>
          <w:tcPr>
            <w:tcW w:w="1984" w:type="dxa"/>
            <w:gridSpan w:val="2"/>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rPr>
              <w:t> </w:t>
            </w:r>
          </w:p>
        </w:tc>
        <w:tc>
          <w:tcPr>
            <w:tcW w:w="1984" w:type="dxa"/>
            <w:gridSpan w:val="2"/>
            <w:tcBorders>
              <w:top w:val="single" w:sz="4" w:space="0" w:color="auto"/>
              <w:left w:val="nil"/>
              <w:bottom w:val="nil"/>
              <w:right w:val="single" w:sz="8" w:space="0" w:color="auto"/>
            </w:tcBorders>
            <w:shd w:val="clear" w:color="auto" w:fill="auto"/>
            <w:vAlign w:val="center"/>
            <w:hideMark/>
          </w:tcPr>
          <w:p>
            <w:pPr>
              <w:jc w:val="center"/>
              <w:outlineLvl w:val="0"/>
              <w:rPr>
                <w:noProof/>
                <w:color w:val="000000"/>
                <w:sz w:val="18"/>
                <w:szCs w:val="18"/>
              </w:rPr>
            </w:pPr>
            <w:r>
              <w:rPr>
                <w:noProof/>
                <w:color w:val="000000"/>
                <w:sz w:val="18"/>
              </w:rPr>
              <w:t>Dégagements, réutilisés ultérieurement</w:t>
            </w:r>
          </w:p>
        </w:tc>
        <w:tc>
          <w:tcPr>
            <w:tcW w:w="1984" w:type="dxa"/>
            <w:tcBorders>
              <w:top w:val="single" w:sz="4" w:space="0" w:color="auto"/>
              <w:left w:val="nil"/>
              <w:bottom w:val="nil"/>
              <w:right w:val="single" w:sz="8" w:space="0" w:color="auto"/>
            </w:tcBorders>
            <w:shd w:val="clear" w:color="auto" w:fill="auto"/>
            <w:noWrap/>
            <w:vAlign w:val="center"/>
            <w:hideMark/>
          </w:tcPr>
          <w:p>
            <w:pPr>
              <w:outlineLvl w:val="0"/>
              <w:rPr>
                <w:noProof/>
                <w:color w:val="FF0000"/>
                <w:sz w:val="22"/>
                <w:szCs w:val="22"/>
              </w:rPr>
            </w:pPr>
            <w:r>
              <w:rPr>
                <w:noProof/>
                <w:color w:val="FF0000"/>
                <w:sz w:val="22"/>
              </w:rPr>
              <w:t> </w:t>
            </w:r>
          </w:p>
        </w:tc>
      </w:tr>
      <w:tr>
        <w:trPr>
          <w:trHeight w:val="510"/>
        </w:trPr>
        <w:tc>
          <w:tcPr>
            <w:tcW w:w="1984" w:type="dxa"/>
            <w:gridSpan w:val="2"/>
            <w:tcBorders>
              <w:top w:val="nil"/>
              <w:left w:val="single" w:sz="8" w:space="0" w:color="auto"/>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s.o.</w:t>
            </w:r>
          </w:p>
        </w:tc>
        <w:tc>
          <w:tcPr>
            <w:tcW w:w="1984"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519,8</w:t>
            </w:r>
          </w:p>
        </w:tc>
        <w:tc>
          <w:tcPr>
            <w:tcW w:w="1984"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279,9</w:t>
            </w:r>
          </w:p>
        </w:tc>
        <w:tc>
          <w:tcPr>
            <w:tcW w:w="1984"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1,9</w:t>
            </w:r>
          </w:p>
        </w:tc>
        <w:tc>
          <w:tcPr>
            <w:tcW w:w="1984" w:type="dxa"/>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241,8</w:t>
            </w:r>
          </w:p>
        </w:tc>
      </w:tr>
    </w:tbl>
    <w:p>
      <w:pPr>
        <w:rPr>
          <w:noProof/>
        </w:rPr>
      </w:pPr>
    </w:p>
    <w:p>
      <w:pPr>
        <w:pStyle w:val="Text1"/>
        <w:spacing w:after="0"/>
        <w:ind w:left="0"/>
        <w:rPr>
          <w:i/>
          <w:noProof/>
          <w:sz w:val="20"/>
        </w:rPr>
      </w:pPr>
      <w:r>
        <w:rPr>
          <w:i/>
          <w:noProof/>
          <w:sz w:val="20"/>
        </w:rPr>
        <w:t>* La réserve de performance constituée au cours de la période 2014-2018 est incluse dans le RAL, mais aucun paiement lié à ces engagements n’est prévu avant 2020.</w:t>
      </w:r>
      <w:r>
        <w:rPr>
          <w:noProof/>
        </w:rPr>
        <w:tab/>
      </w:r>
      <w:r>
        <w:rPr>
          <w:noProof/>
        </w:rPr>
        <w:tab/>
      </w:r>
      <w:r>
        <w:rPr>
          <w:noProof/>
        </w:rPr>
        <w:tab/>
      </w:r>
      <w:r>
        <w:rPr>
          <w:noProof/>
        </w:rPr>
        <w:tab/>
      </w:r>
    </w:p>
    <w:p>
      <w:pPr>
        <w:pStyle w:val="Text1"/>
        <w:spacing w:after="0"/>
        <w:ind w:left="0"/>
        <w:rPr>
          <w:i/>
          <w:noProof/>
          <w:sz w:val="20"/>
        </w:rPr>
      </w:pPr>
      <w:r>
        <w:rPr>
          <w:i/>
          <w:noProof/>
          <w:sz w:val="20"/>
        </w:rPr>
        <w:t>** Il s’agit du résultat net des dégagements prévus jusqu’en 2020 (réduisant le RAL) et des dégagements postérieurs à 2020 (qui pourraient mener à de nouveaux engagements par l’intermédiaire de la réserve de l’Union); les chiffres comprennent également les montants devant être couverts par d’autres sources de financement (à savoir les recouvrements).</w:t>
      </w:r>
      <w:r>
        <w:rPr>
          <w:noProof/>
        </w:rPr>
        <w:tab/>
      </w:r>
      <w:r>
        <w:rPr>
          <w:noProof/>
        </w:rPr>
        <w:tab/>
      </w:r>
      <w:r>
        <w:rPr>
          <w:noProof/>
        </w:rPr>
        <w:tab/>
      </w:r>
      <w:r>
        <w:rPr>
          <w:noProof/>
        </w:rPr>
        <w:tab/>
      </w:r>
    </w:p>
    <w:sectPr>
      <w:headerReference w:type="even" r:id="rId16"/>
      <w:headerReference w:type="default" r:id="rId17"/>
      <w:footerReference w:type="even" r:id="rId18"/>
      <w:footerReference w:type="default" r:id="rId19"/>
      <w:headerReference w:type="first" r:id="rId20"/>
      <w:footerReference w:type="first" r:id="rId21"/>
      <w:pgSz w:w="11906" w:h="16838"/>
      <w:pgMar w:top="1320" w:right="1151" w:bottom="1440" w:left="1151" w:header="720" w:footer="720"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4169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
  </w:footnote>
  <w:footnote w:id="2">
    <w:p>
      <w:pPr>
        <w:pStyle w:val="FootnoteText"/>
      </w:pPr>
      <w:r>
        <w:rPr>
          <w:rStyle w:val="FootnoteReference"/>
        </w:rPr>
        <w:footnoteRef/>
      </w:r>
      <w:r>
        <w:t xml:space="preserve"> Règlement financier applicable au budget général de l’Union et ses règles d’application, règlement (UE, Euratom) 2018/1046 du 30 juillet 2018.</w:t>
      </w:r>
    </w:p>
  </w:footnote>
  <w:footnote w:id="3">
    <w:p>
      <w:pPr>
        <w:pStyle w:val="FootnoteText"/>
      </w:pPr>
      <w:r>
        <w:rPr>
          <w:rStyle w:val="FootnoteReference"/>
        </w:rPr>
        <w:footnoteRef/>
      </w:r>
      <w:r>
        <w:t xml:space="preserve"> TF50(2018)33 – Commission à l’UE-27, 28 février 2018.</w:t>
      </w:r>
    </w:p>
  </w:footnote>
  <w:footnote w:id="4">
    <w:p>
      <w:pPr>
        <w:pStyle w:val="FootnoteText"/>
      </w:pPr>
      <w:r>
        <w:rPr>
          <w:rStyle w:val="FootnoteReference"/>
        </w:rPr>
        <w:footnoteRef/>
      </w:r>
      <w:r>
        <w:t xml:space="preserve"> COM(2018) 321 à 328 du 2.5.2018.</w:t>
      </w:r>
    </w:p>
  </w:footnote>
  <w:footnote w:id="5">
    <w:p>
      <w:pPr>
        <w:pStyle w:val="FootnoteText"/>
      </w:pPr>
      <w:r>
        <w:rPr>
          <w:rStyle w:val="FootnoteReference"/>
        </w:rPr>
        <w:footnoteRef/>
      </w:r>
      <w:r>
        <w:t xml:space="preserve"> Fonds européen de développement régional (FEDER), Fonds social européen (FSE), Fonds de cohésion (FC), Fonds européen agricole pour le développement rural (FEADER) et Fonds européen pour les affaires maritimes et la pêche (FEAMP).</w:t>
      </w:r>
    </w:p>
  </w:footnote>
  <w:footnote w:id="6">
    <w:p>
      <w:pPr>
        <w:pStyle w:val="FootnoteText"/>
        <w:rPr>
          <w:lang w:val="pt-PT"/>
        </w:rPr>
      </w:pPr>
      <w:r>
        <w:rPr>
          <w:rStyle w:val="FootnoteReference"/>
        </w:rPr>
        <w:footnoteRef/>
      </w:r>
      <w:r>
        <w:rPr>
          <w:lang w:val="pt-PT"/>
        </w:rPr>
        <w:t xml:space="preserve"> COM(2018) 537 du 10.7.2018.</w:t>
      </w:r>
    </w:p>
  </w:footnote>
  <w:footnote w:id="7">
    <w:p>
      <w:pPr>
        <w:pStyle w:val="FootnoteText"/>
        <w:rPr>
          <w:lang w:val="pt-PT"/>
        </w:rPr>
      </w:pPr>
      <w:r>
        <w:rPr>
          <w:rStyle w:val="FootnoteReference"/>
        </w:rPr>
        <w:footnoteRef/>
      </w:r>
      <w:r>
        <w:rPr>
          <w:lang w:val="pt-PT"/>
        </w:rPr>
        <w:t xml:space="preserve"> COM(2018) 631 final du 12.9.2018 et COM(633) final du 12.9.2018.</w:t>
      </w:r>
    </w:p>
  </w:footnote>
  <w:footnote w:id="8">
    <w:p>
      <w:pPr>
        <w:pStyle w:val="FootnoteText"/>
      </w:pPr>
      <w:r>
        <w:rPr>
          <w:rStyle w:val="FootnoteReference"/>
        </w:rPr>
        <w:footnoteRef/>
      </w:r>
      <w:r>
        <w:t xml:space="preserve"> COM(2018) 600, mai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258"/>
    <w:multiLevelType w:val="hybridMultilevel"/>
    <w:tmpl w:val="F3A242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157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4D226D"/>
    <w:multiLevelType w:val="hybridMultilevel"/>
    <w:tmpl w:val="B6A09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ED505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29572355"/>
    <w:multiLevelType w:val="hybridMultilevel"/>
    <w:tmpl w:val="5608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9C68F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566"/>
        </w:tabs>
        <w:ind w:left="156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CC371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AC28B0"/>
    <w:multiLevelType w:val="hybridMultilevel"/>
    <w:tmpl w:val="213685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40A54562"/>
    <w:multiLevelType w:val="hybridMultilevel"/>
    <w:tmpl w:val="8286EDAC"/>
    <w:lvl w:ilvl="0" w:tplc="08090001">
      <w:start w:val="1"/>
      <w:numFmt w:val="bullet"/>
      <w:lvlText w:val=""/>
      <w:lvlJc w:val="left"/>
      <w:pPr>
        <w:tabs>
          <w:tab w:val="num" w:pos="720"/>
        </w:tabs>
        <w:ind w:left="720" w:hanging="360"/>
      </w:pPr>
      <w:rPr>
        <w:rFonts w:ascii="Symbol" w:hAnsi="Symbol" w:hint="default"/>
      </w:rPr>
    </w:lvl>
    <w:lvl w:ilvl="1" w:tplc="08090019">
      <w:start w:val="1"/>
      <w:numFmt w:val="bullet"/>
      <w:lvlText w:val=""/>
      <w:lvlJc w:val="left"/>
      <w:pPr>
        <w:tabs>
          <w:tab w:val="num" w:pos="3905"/>
        </w:tabs>
        <w:ind w:left="3905" w:hanging="360"/>
      </w:pPr>
      <w:rPr>
        <w:rFonts w:ascii="Wingdings" w:hAnsi="Wingdings" w:hint="default"/>
      </w:rPr>
    </w:lvl>
    <w:lvl w:ilvl="2" w:tplc="0809001B">
      <w:start w:val="1"/>
      <w:numFmt w:val="decimal"/>
      <w:lvlText w:val="%3."/>
      <w:lvlJc w:val="left"/>
      <w:pPr>
        <w:tabs>
          <w:tab w:val="num" w:pos="2160"/>
        </w:tabs>
        <w:ind w:left="2160" w:hanging="360"/>
      </w:pPr>
      <w:rPr>
        <w:rFonts w:hint="default"/>
      </w:rPr>
    </w:lvl>
    <w:lvl w:ilvl="3" w:tplc="8184259A">
      <w:numFmt w:val="bullet"/>
      <w:lvlText w:val="•"/>
      <w:lvlJc w:val="left"/>
      <w:pPr>
        <w:ind w:left="2880" w:hanging="360"/>
      </w:pPr>
      <w:rPr>
        <w:rFonts w:ascii="Times New Roman" w:eastAsia="Times New Roman" w:hAnsi="Times New Roman" w:cs="Times New Roman"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nsid w:val="489956A0"/>
    <w:multiLevelType w:val="singleLevel"/>
    <w:tmpl w:val="6520E3F6"/>
    <w:lvl w:ilvl="0">
      <w:start w:val="1"/>
      <w:numFmt w:val="bullet"/>
      <w:lvlRestart w:val="0"/>
      <w:pStyle w:val="Tiret0"/>
      <w:lvlText w:val="–"/>
      <w:lvlJc w:val="left"/>
      <w:pPr>
        <w:tabs>
          <w:tab w:val="num" w:pos="850"/>
        </w:tabs>
        <w:ind w:left="850" w:hanging="850"/>
      </w:pPr>
    </w:lvl>
  </w:abstractNum>
  <w:abstractNum w:abstractNumId="11">
    <w:nsid w:val="4D3527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F8732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6913628"/>
    <w:multiLevelType w:val="hybridMultilevel"/>
    <w:tmpl w:val="C5E810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3905"/>
        </w:tabs>
        <w:ind w:left="3905" w:hanging="360"/>
      </w:pPr>
      <w:rPr>
        <w:rFonts w:ascii="Wingdings" w:hAnsi="Wingdings" w:hint="default"/>
      </w:rPr>
    </w:lvl>
    <w:lvl w:ilvl="2" w:tplc="08090005">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7BF14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AD31103"/>
    <w:multiLevelType w:val="hybridMultilevel"/>
    <w:tmpl w:val="9228A8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3D65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24C4580"/>
    <w:multiLevelType w:val="hybridMultilevel"/>
    <w:tmpl w:val="0D2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4B0DA2"/>
    <w:multiLevelType w:val="hybridMultilevel"/>
    <w:tmpl w:val="5E5C631A"/>
    <w:name w:val="Heading"/>
    <w:lvl w:ilvl="0" w:tplc="70C0E33E">
      <w:start w:val="1"/>
      <w:numFmt w:val="bullet"/>
      <w:lvlText w:val=""/>
      <w:lvlJc w:val="left"/>
      <w:pPr>
        <w:tabs>
          <w:tab w:val="num" w:pos="720"/>
        </w:tabs>
        <w:ind w:left="720" w:hanging="360"/>
      </w:pPr>
      <w:rPr>
        <w:rFonts w:ascii="Wingdings" w:hAnsi="Wingdings" w:hint="default"/>
      </w:rPr>
    </w:lvl>
    <w:lvl w:ilvl="1" w:tplc="5608EE86" w:tentative="1">
      <w:start w:val="1"/>
      <w:numFmt w:val="bullet"/>
      <w:lvlText w:val="o"/>
      <w:lvlJc w:val="left"/>
      <w:pPr>
        <w:tabs>
          <w:tab w:val="num" w:pos="1440"/>
        </w:tabs>
        <w:ind w:left="1440" w:hanging="360"/>
      </w:pPr>
      <w:rPr>
        <w:rFonts w:ascii="Courier New" w:hAnsi="Courier New" w:cs="Courier New" w:hint="default"/>
      </w:rPr>
    </w:lvl>
    <w:lvl w:ilvl="2" w:tplc="30244C20" w:tentative="1">
      <w:start w:val="1"/>
      <w:numFmt w:val="bullet"/>
      <w:lvlText w:val=""/>
      <w:lvlJc w:val="left"/>
      <w:pPr>
        <w:tabs>
          <w:tab w:val="num" w:pos="2160"/>
        </w:tabs>
        <w:ind w:left="2160" w:hanging="360"/>
      </w:pPr>
      <w:rPr>
        <w:rFonts w:ascii="Wingdings" w:hAnsi="Wingdings" w:hint="default"/>
      </w:rPr>
    </w:lvl>
    <w:lvl w:ilvl="3" w:tplc="E5CE95E6" w:tentative="1">
      <w:start w:val="1"/>
      <w:numFmt w:val="bullet"/>
      <w:lvlText w:val=""/>
      <w:lvlJc w:val="left"/>
      <w:pPr>
        <w:tabs>
          <w:tab w:val="num" w:pos="2880"/>
        </w:tabs>
        <w:ind w:left="2880" w:hanging="360"/>
      </w:pPr>
      <w:rPr>
        <w:rFonts w:ascii="Symbol" w:hAnsi="Symbol" w:hint="default"/>
      </w:rPr>
    </w:lvl>
    <w:lvl w:ilvl="4" w:tplc="0100D990" w:tentative="1">
      <w:start w:val="1"/>
      <w:numFmt w:val="bullet"/>
      <w:lvlText w:val="o"/>
      <w:lvlJc w:val="left"/>
      <w:pPr>
        <w:tabs>
          <w:tab w:val="num" w:pos="3600"/>
        </w:tabs>
        <w:ind w:left="3600" w:hanging="360"/>
      </w:pPr>
      <w:rPr>
        <w:rFonts w:ascii="Courier New" w:hAnsi="Courier New" w:cs="Courier New" w:hint="default"/>
      </w:rPr>
    </w:lvl>
    <w:lvl w:ilvl="5" w:tplc="FC88B498" w:tentative="1">
      <w:start w:val="1"/>
      <w:numFmt w:val="bullet"/>
      <w:lvlText w:val=""/>
      <w:lvlJc w:val="left"/>
      <w:pPr>
        <w:tabs>
          <w:tab w:val="num" w:pos="4320"/>
        </w:tabs>
        <w:ind w:left="4320" w:hanging="360"/>
      </w:pPr>
      <w:rPr>
        <w:rFonts w:ascii="Wingdings" w:hAnsi="Wingdings" w:hint="default"/>
      </w:rPr>
    </w:lvl>
    <w:lvl w:ilvl="6" w:tplc="D4D21692" w:tentative="1">
      <w:start w:val="1"/>
      <w:numFmt w:val="bullet"/>
      <w:lvlText w:val=""/>
      <w:lvlJc w:val="left"/>
      <w:pPr>
        <w:tabs>
          <w:tab w:val="num" w:pos="5040"/>
        </w:tabs>
        <w:ind w:left="5040" w:hanging="360"/>
      </w:pPr>
      <w:rPr>
        <w:rFonts w:ascii="Symbol" w:hAnsi="Symbol" w:hint="default"/>
      </w:rPr>
    </w:lvl>
    <w:lvl w:ilvl="7" w:tplc="3B12B370" w:tentative="1">
      <w:start w:val="1"/>
      <w:numFmt w:val="bullet"/>
      <w:lvlText w:val="o"/>
      <w:lvlJc w:val="left"/>
      <w:pPr>
        <w:tabs>
          <w:tab w:val="num" w:pos="5760"/>
        </w:tabs>
        <w:ind w:left="5760" w:hanging="360"/>
      </w:pPr>
      <w:rPr>
        <w:rFonts w:ascii="Courier New" w:hAnsi="Courier New" w:cs="Courier New" w:hint="default"/>
      </w:rPr>
    </w:lvl>
    <w:lvl w:ilvl="8" w:tplc="46463BCA" w:tentative="1">
      <w:start w:val="1"/>
      <w:numFmt w:val="bullet"/>
      <w:lvlText w:val=""/>
      <w:lvlJc w:val="left"/>
      <w:pPr>
        <w:tabs>
          <w:tab w:val="num" w:pos="6480"/>
        </w:tabs>
        <w:ind w:left="6480" w:hanging="360"/>
      </w:pPr>
      <w:rPr>
        <w:rFonts w:ascii="Wingdings" w:hAnsi="Wingdings" w:hint="default"/>
      </w:rPr>
    </w:lvl>
  </w:abstractNum>
  <w:abstractNum w:abstractNumId="19">
    <w:nsid w:val="66870614"/>
    <w:multiLevelType w:val="hybridMultilevel"/>
    <w:tmpl w:val="995A9EA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0">
    <w:nsid w:val="6715525B"/>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2DB0E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5215256"/>
    <w:multiLevelType w:val="hybridMultilevel"/>
    <w:tmpl w:val="F8F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460620"/>
    <w:multiLevelType w:val="hybridMultilevel"/>
    <w:tmpl w:val="6E620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C3634E"/>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F117AE3"/>
    <w:multiLevelType w:val="hybridMultilevel"/>
    <w:tmpl w:val="F7EEF178"/>
    <w:lvl w:ilvl="0" w:tplc="6AAA8028">
      <w:start w:val="1"/>
      <w:numFmt w:val="bullet"/>
      <w:lvlText w:val=""/>
      <w:lvlJc w:val="left"/>
      <w:pPr>
        <w:tabs>
          <w:tab w:val="num" w:pos="720"/>
        </w:tabs>
        <w:ind w:left="720" w:hanging="360"/>
      </w:pPr>
      <w:rPr>
        <w:rFonts w:ascii="Wingdings" w:hAnsi="Wingdings" w:hint="default"/>
      </w:rPr>
    </w:lvl>
    <w:lvl w:ilvl="1" w:tplc="F9AE0BC2">
      <w:start w:val="1"/>
      <w:numFmt w:val="bullet"/>
      <w:lvlText w:val=""/>
      <w:lvlJc w:val="left"/>
      <w:pPr>
        <w:tabs>
          <w:tab w:val="num" w:pos="3905"/>
        </w:tabs>
        <w:ind w:left="3905" w:hanging="360"/>
      </w:pPr>
      <w:rPr>
        <w:rFonts w:ascii="Wingdings" w:hAnsi="Wingdings" w:hint="default"/>
      </w:rPr>
    </w:lvl>
    <w:lvl w:ilvl="2" w:tplc="6FC8AB52">
      <w:start w:val="1"/>
      <w:numFmt w:val="decimal"/>
      <w:lvlText w:val="%3."/>
      <w:lvlJc w:val="left"/>
      <w:pPr>
        <w:tabs>
          <w:tab w:val="num" w:pos="2160"/>
        </w:tabs>
        <w:ind w:left="2160" w:hanging="360"/>
      </w:pPr>
      <w:rPr>
        <w:rFonts w:hint="default"/>
      </w:rPr>
    </w:lvl>
    <w:lvl w:ilvl="3" w:tplc="0E96D468" w:tentative="1">
      <w:start w:val="1"/>
      <w:numFmt w:val="bullet"/>
      <w:lvlText w:val=""/>
      <w:lvlJc w:val="left"/>
      <w:pPr>
        <w:tabs>
          <w:tab w:val="num" w:pos="2880"/>
        </w:tabs>
        <w:ind w:left="2880" w:hanging="360"/>
      </w:pPr>
      <w:rPr>
        <w:rFonts w:ascii="Symbol" w:hAnsi="Symbol" w:hint="default"/>
      </w:rPr>
    </w:lvl>
    <w:lvl w:ilvl="4" w:tplc="2F8C92AC" w:tentative="1">
      <w:start w:val="1"/>
      <w:numFmt w:val="bullet"/>
      <w:lvlText w:val="o"/>
      <w:lvlJc w:val="left"/>
      <w:pPr>
        <w:tabs>
          <w:tab w:val="num" w:pos="3600"/>
        </w:tabs>
        <w:ind w:left="3600" w:hanging="360"/>
      </w:pPr>
      <w:rPr>
        <w:rFonts w:ascii="Courier New" w:hAnsi="Courier New" w:cs="Courier New" w:hint="default"/>
      </w:rPr>
    </w:lvl>
    <w:lvl w:ilvl="5" w:tplc="68BEBA64" w:tentative="1">
      <w:start w:val="1"/>
      <w:numFmt w:val="bullet"/>
      <w:lvlText w:val=""/>
      <w:lvlJc w:val="left"/>
      <w:pPr>
        <w:tabs>
          <w:tab w:val="num" w:pos="4320"/>
        </w:tabs>
        <w:ind w:left="4320" w:hanging="360"/>
      </w:pPr>
      <w:rPr>
        <w:rFonts w:ascii="Wingdings" w:hAnsi="Wingdings" w:hint="default"/>
      </w:rPr>
    </w:lvl>
    <w:lvl w:ilvl="6" w:tplc="466CF938" w:tentative="1">
      <w:start w:val="1"/>
      <w:numFmt w:val="bullet"/>
      <w:lvlText w:val=""/>
      <w:lvlJc w:val="left"/>
      <w:pPr>
        <w:tabs>
          <w:tab w:val="num" w:pos="5040"/>
        </w:tabs>
        <w:ind w:left="5040" w:hanging="360"/>
      </w:pPr>
      <w:rPr>
        <w:rFonts w:ascii="Symbol" w:hAnsi="Symbol" w:hint="default"/>
      </w:rPr>
    </w:lvl>
    <w:lvl w:ilvl="7" w:tplc="8FE826AC" w:tentative="1">
      <w:start w:val="1"/>
      <w:numFmt w:val="bullet"/>
      <w:lvlText w:val="o"/>
      <w:lvlJc w:val="left"/>
      <w:pPr>
        <w:tabs>
          <w:tab w:val="num" w:pos="5760"/>
        </w:tabs>
        <w:ind w:left="5760" w:hanging="360"/>
      </w:pPr>
      <w:rPr>
        <w:rFonts w:ascii="Courier New" w:hAnsi="Courier New" w:cs="Courier New" w:hint="default"/>
      </w:rPr>
    </w:lvl>
    <w:lvl w:ilvl="8" w:tplc="E0524B4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6"/>
  </w:num>
  <w:num w:numId="4">
    <w:abstractNumId w:val="25"/>
  </w:num>
  <w:num w:numId="5">
    <w:abstractNumId w:val="13"/>
  </w:num>
  <w:num w:numId="6">
    <w:abstractNumId w:val="9"/>
  </w:num>
  <w:num w:numId="7">
    <w:abstractNumId w:val="3"/>
  </w:num>
  <w:num w:numId="8">
    <w:abstractNumId w:val="24"/>
  </w:num>
  <w:num w:numId="9">
    <w:abstractNumId w:val="2"/>
  </w:num>
  <w:num w:numId="10">
    <w:abstractNumId w:val="22"/>
  </w:num>
  <w:num w:numId="11">
    <w:abstractNumId w:val="0"/>
  </w:num>
  <w:num w:numId="12">
    <w:abstractNumId w:val="4"/>
  </w:num>
  <w:num w:numId="13">
    <w:abstractNumId w:val="19"/>
  </w:num>
  <w:num w:numId="14">
    <w:abstractNumId w:val="23"/>
  </w:num>
  <w:num w:numId="15">
    <w:abstractNumId w:val="5"/>
  </w:num>
  <w:num w:numId="16">
    <w:abstractNumId w:val="20"/>
  </w:num>
  <w:num w:numId="17">
    <w:abstractNumId w:val="15"/>
  </w:num>
  <w:num w:numId="18">
    <w:abstractNumId w:val="8"/>
  </w:num>
  <w:num w:numId="19">
    <w:abstractNumId w:val="17"/>
  </w:num>
  <w:num w:numId="20">
    <w:abstractNumId w:val="25"/>
    <w:lvlOverride w:ilvl="0"/>
    <w:lvlOverride w:ilvl="1"/>
    <w:lvlOverride w:ilvl="2">
      <w:startOverride w:val="1"/>
    </w:lvlOverride>
    <w:lvlOverride w:ilvl="3"/>
    <w:lvlOverride w:ilvl="4"/>
    <w:lvlOverride w:ilvl="5"/>
    <w:lvlOverride w:ilvl="6"/>
    <w:lvlOverride w:ilvl="7"/>
    <w:lvlOverride w:ilvl="8"/>
  </w:num>
  <w:num w:numId="21">
    <w:abstractNumId w:val="1"/>
  </w:num>
  <w:num w:numId="22">
    <w:abstractNumId w:val="15"/>
  </w:num>
  <w:num w:numId="23">
    <w:abstractNumId w:val="13"/>
    <w:lvlOverride w:ilvl="0"/>
    <w:lvlOverride w:ilvl="1"/>
    <w:lvlOverride w:ilvl="2">
      <w:startOverride w:val="1"/>
    </w:lvlOverride>
    <w:lvlOverride w:ilvl="3"/>
    <w:lvlOverride w:ilvl="4"/>
    <w:lvlOverride w:ilvl="5"/>
    <w:lvlOverride w:ilvl="6"/>
    <w:lvlOverride w:ilvl="7"/>
    <w:lvlOverride w:ilvl="8"/>
  </w:num>
  <w:num w:numId="24">
    <w:abstractNumId w:val="11"/>
  </w:num>
  <w:num w:numId="25">
    <w:abstractNumId w:val="21"/>
  </w:num>
  <w:num w:numId="26">
    <w:abstractNumId w:val="7"/>
  </w:num>
  <w:num w:numId="27">
    <w:abstractNumId w:val="14"/>
  </w:num>
  <w:num w:numId="28">
    <w:abstractNumId w:val="16"/>
  </w:num>
  <w:num w:numId="2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F6C215B6-C171-4F31-BA5E-BB3957B01B69"/>
    <w:docVar w:name="LW_COVERPAGE_TYPE" w:val="1"/>
    <w:docVar w:name="LW_CROSSREFERENCE" w:val="&lt;UNUSED&gt;"/>
    <w:docVar w:name="LW_DocType" w:val="NORMAL"/>
    <w:docVar w:name="LW_EMISSION" w:val="10.10.2018"/>
    <w:docVar w:name="LW_EMISSION_ISODATE" w:val="2018-10-1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6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révisions à long terme concernant les entrées et les sorties futures du budget de l'UE (2019-2023)"/>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rPr>
  </w:style>
  <w:style w:type="paragraph" w:styleId="Heading3">
    <w:name w:val="heading 3"/>
    <w:basedOn w:val="Normal"/>
    <w:next w:val="Normal"/>
    <w:qFormat/>
    <w:pPr>
      <w:keepNext/>
      <w:spacing w:before="240" w:after="60"/>
      <w:outlineLvl w:val="2"/>
    </w:pPr>
    <w:rPr>
      <w:rFonts w:ascii="Arial" w:hAnsi="Arial"/>
      <w:szCs w:val="20"/>
    </w:rPr>
  </w:style>
  <w:style w:type="paragraph" w:styleId="Heading4">
    <w:name w:val="heading 4"/>
    <w:basedOn w:val="Normal"/>
    <w:next w:val="Normal"/>
    <w:qFormat/>
    <w:pPr>
      <w:keepNext/>
      <w:tabs>
        <w:tab w:val="num" w:pos="1920"/>
      </w:tabs>
      <w:spacing w:after="240"/>
      <w:ind w:left="1920" w:hanging="72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customStyle="1" w:styleId="NoteHead">
    <w:name w:val="NoteHead"/>
    <w:basedOn w:val="Normal"/>
    <w:next w:val="Normal"/>
    <w:pPr>
      <w:spacing w:before="720" w:after="720"/>
      <w:jc w:val="center"/>
    </w:pPr>
    <w:rPr>
      <w:b/>
      <w:smallCaps/>
      <w:szCs w:val="20"/>
    </w:rPr>
  </w:style>
  <w:style w:type="paragraph" w:customStyle="1" w:styleId="Text3">
    <w:name w:val="Text 3"/>
    <w:basedOn w:val="Normal"/>
    <w:pPr>
      <w:spacing w:before="120" w:after="120"/>
      <w:ind w:left="851"/>
      <w:jc w:val="both"/>
    </w:pPr>
    <w:rPr>
      <w:szCs w:val="20"/>
    </w:rPr>
  </w:style>
  <w:style w:type="paragraph" w:customStyle="1" w:styleId="Tiret0">
    <w:name w:val="Tiret 0"/>
    <w:basedOn w:val="Normal"/>
    <w:link w:val="Tiret0Char"/>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rPr>
  </w:style>
  <w:style w:type="paragraph" w:customStyle="1" w:styleId="Text2">
    <w:name w:val="Text 2"/>
    <w:basedOn w:val="Normal"/>
    <w:pPr>
      <w:tabs>
        <w:tab w:val="left" w:pos="2160"/>
      </w:tabs>
      <w:spacing w:after="240"/>
      <w:ind w:left="1077"/>
      <w:jc w:val="both"/>
    </w:pPr>
    <w:rPr>
      <w:szCs w:val="20"/>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pPr>
      <w:spacing w:after="480"/>
      <w:ind w:left="1191" w:hanging="1191"/>
    </w:pPr>
    <w:rPr>
      <w:b/>
      <w:szCs w:val="20"/>
    </w:rPr>
  </w:style>
  <w:style w:type="character" w:customStyle="1" w:styleId="Text1Char">
    <w:name w:val="Text 1 Char"/>
    <w:basedOn w:val="DefaultParagraphFont"/>
    <w:link w:val="Text1"/>
    <w:rPr>
      <w:sz w:val="24"/>
      <w:lang w:val="fr-FR" w:eastAsia="fr-FR" w:bidi="fr-FR"/>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fr-FR"/>
    </w:rPr>
  </w:style>
  <w:style w:type="character" w:customStyle="1" w:styleId="Heading2Char">
    <w:name w:val="Heading 2 Char"/>
    <w:basedOn w:val="DefaultParagraphFont"/>
    <w:link w:val="Heading2"/>
    <w:rPr>
      <w:b/>
      <w:sz w:val="24"/>
      <w:lang w:eastAsia="fr-FR"/>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rPr>
  </w:style>
  <w:style w:type="paragraph" w:styleId="Heading3">
    <w:name w:val="heading 3"/>
    <w:basedOn w:val="Normal"/>
    <w:next w:val="Normal"/>
    <w:qFormat/>
    <w:pPr>
      <w:keepNext/>
      <w:spacing w:before="240" w:after="60"/>
      <w:outlineLvl w:val="2"/>
    </w:pPr>
    <w:rPr>
      <w:rFonts w:ascii="Arial" w:hAnsi="Arial"/>
      <w:szCs w:val="20"/>
    </w:rPr>
  </w:style>
  <w:style w:type="paragraph" w:styleId="Heading4">
    <w:name w:val="heading 4"/>
    <w:basedOn w:val="Normal"/>
    <w:next w:val="Normal"/>
    <w:qFormat/>
    <w:pPr>
      <w:keepNext/>
      <w:tabs>
        <w:tab w:val="num" w:pos="1920"/>
      </w:tabs>
      <w:spacing w:after="240"/>
      <w:ind w:left="1920" w:hanging="72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customStyle="1" w:styleId="NoteHead">
    <w:name w:val="NoteHead"/>
    <w:basedOn w:val="Normal"/>
    <w:next w:val="Normal"/>
    <w:pPr>
      <w:spacing w:before="720" w:after="720"/>
      <w:jc w:val="center"/>
    </w:pPr>
    <w:rPr>
      <w:b/>
      <w:smallCaps/>
      <w:szCs w:val="20"/>
    </w:rPr>
  </w:style>
  <w:style w:type="paragraph" w:customStyle="1" w:styleId="Text3">
    <w:name w:val="Text 3"/>
    <w:basedOn w:val="Normal"/>
    <w:pPr>
      <w:spacing w:before="120" w:after="120"/>
      <w:ind w:left="851"/>
      <w:jc w:val="both"/>
    </w:pPr>
    <w:rPr>
      <w:szCs w:val="20"/>
    </w:rPr>
  </w:style>
  <w:style w:type="paragraph" w:customStyle="1" w:styleId="Tiret0">
    <w:name w:val="Tiret 0"/>
    <w:basedOn w:val="Normal"/>
    <w:link w:val="Tiret0Char"/>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rPr>
  </w:style>
  <w:style w:type="paragraph" w:customStyle="1" w:styleId="Text2">
    <w:name w:val="Text 2"/>
    <w:basedOn w:val="Normal"/>
    <w:pPr>
      <w:tabs>
        <w:tab w:val="left" w:pos="2160"/>
      </w:tabs>
      <w:spacing w:after="240"/>
      <w:ind w:left="1077"/>
      <w:jc w:val="both"/>
    </w:pPr>
    <w:rPr>
      <w:szCs w:val="20"/>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pPr>
      <w:spacing w:after="480"/>
      <w:ind w:left="1191" w:hanging="1191"/>
    </w:pPr>
    <w:rPr>
      <w:b/>
      <w:szCs w:val="20"/>
    </w:rPr>
  </w:style>
  <w:style w:type="character" w:customStyle="1" w:styleId="Text1Char">
    <w:name w:val="Text 1 Char"/>
    <w:basedOn w:val="DefaultParagraphFont"/>
    <w:link w:val="Text1"/>
    <w:rPr>
      <w:sz w:val="24"/>
      <w:lang w:val="fr-FR" w:eastAsia="fr-FR" w:bidi="fr-FR"/>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fr-FR"/>
    </w:rPr>
  </w:style>
  <w:style w:type="character" w:customStyle="1" w:styleId="Heading2Char">
    <w:name w:val="Heading 2 Char"/>
    <w:basedOn w:val="DefaultParagraphFont"/>
    <w:link w:val="Heading2"/>
    <w:rPr>
      <w:b/>
      <w:sz w:val="24"/>
      <w:lang w:eastAsia="fr-FR"/>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6312">
      <w:bodyDiv w:val="1"/>
      <w:marLeft w:val="0"/>
      <w:marRight w:val="0"/>
      <w:marTop w:val="0"/>
      <w:marBottom w:val="0"/>
      <w:divBdr>
        <w:top w:val="none" w:sz="0" w:space="0" w:color="auto"/>
        <w:left w:val="none" w:sz="0" w:space="0" w:color="auto"/>
        <w:bottom w:val="none" w:sz="0" w:space="0" w:color="auto"/>
        <w:right w:val="none" w:sz="0" w:space="0" w:color="auto"/>
      </w:divBdr>
    </w:div>
    <w:div w:id="50464669">
      <w:bodyDiv w:val="1"/>
      <w:marLeft w:val="0"/>
      <w:marRight w:val="0"/>
      <w:marTop w:val="0"/>
      <w:marBottom w:val="0"/>
      <w:divBdr>
        <w:top w:val="none" w:sz="0" w:space="0" w:color="auto"/>
        <w:left w:val="none" w:sz="0" w:space="0" w:color="auto"/>
        <w:bottom w:val="none" w:sz="0" w:space="0" w:color="auto"/>
        <w:right w:val="none" w:sz="0" w:space="0" w:color="auto"/>
      </w:divBdr>
    </w:div>
    <w:div w:id="69893873">
      <w:bodyDiv w:val="1"/>
      <w:marLeft w:val="0"/>
      <w:marRight w:val="0"/>
      <w:marTop w:val="0"/>
      <w:marBottom w:val="0"/>
      <w:divBdr>
        <w:top w:val="none" w:sz="0" w:space="0" w:color="auto"/>
        <w:left w:val="none" w:sz="0" w:space="0" w:color="auto"/>
        <w:bottom w:val="none" w:sz="0" w:space="0" w:color="auto"/>
        <w:right w:val="none" w:sz="0" w:space="0" w:color="auto"/>
      </w:divBdr>
    </w:div>
    <w:div w:id="124977635">
      <w:bodyDiv w:val="1"/>
      <w:marLeft w:val="0"/>
      <w:marRight w:val="0"/>
      <w:marTop w:val="0"/>
      <w:marBottom w:val="0"/>
      <w:divBdr>
        <w:top w:val="none" w:sz="0" w:space="0" w:color="auto"/>
        <w:left w:val="none" w:sz="0" w:space="0" w:color="auto"/>
        <w:bottom w:val="none" w:sz="0" w:space="0" w:color="auto"/>
        <w:right w:val="none" w:sz="0" w:space="0" w:color="auto"/>
      </w:divBdr>
    </w:div>
    <w:div w:id="168714907">
      <w:bodyDiv w:val="1"/>
      <w:marLeft w:val="0"/>
      <w:marRight w:val="0"/>
      <w:marTop w:val="0"/>
      <w:marBottom w:val="0"/>
      <w:divBdr>
        <w:top w:val="none" w:sz="0" w:space="0" w:color="auto"/>
        <w:left w:val="none" w:sz="0" w:space="0" w:color="auto"/>
        <w:bottom w:val="none" w:sz="0" w:space="0" w:color="auto"/>
        <w:right w:val="none" w:sz="0" w:space="0" w:color="auto"/>
      </w:divBdr>
    </w:div>
    <w:div w:id="236675874">
      <w:bodyDiv w:val="1"/>
      <w:marLeft w:val="0"/>
      <w:marRight w:val="0"/>
      <w:marTop w:val="0"/>
      <w:marBottom w:val="0"/>
      <w:divBdr>
        <w:top w:val="none" w:sz="0" w:space="0" w:color="auto"/>
        <w:left w:val="none" w:sz="0" w:space="0" w:color="auto"/>
        <w:bottom w:val="none" w:sz="0" w:space="0" w:color="auto"/>
        <w:right w:val="none" w:sz="0" w:space="0" w:color="auto"/>
      </w:divBdr>
    </w:div>
    <w:div w:id="353387099">
      <w:bodyDiv w:val="1"/>
      <w:marLeft w:val="0"/>
      <w:marRight w:val="0"/>
      <w:marTop w:val="0"/>
      <w:marBottom w:val="0"/>
      <w:divBdr>
        <w:top w:val="none" w:sz="0" w:space="0" w:color="auto"/>
        <w:left w:val="none" w:sz="0" w:space="0" w:color="auto"/>
        <w:bottom w:val="none" w:sz="0" w:space="0" w:color="auto"/>
        <w:right w:val="none" w:sz="0" w:space="0" w:color="auto"/>
      </w:divBdr>
    </w:div>
    <w:div w:id="406146174">
      <w:bodyDiv w:val="1"/>
      <w:marLeft w:val="0"/>
      <w:marRight w:val="0"/>
      <w:marTop w:val="0"/>
      <w:marBottom w:val="0"/>
      <w:divBdr>
        <w:top w:val="none" w:sz="0" w:space="0" w:color="auto"/>
        <w:left w:val="none" w:sz="0" w:space="0" w:color="auto"/>
        <w:bottom w:val="none" w:sz="0" w:space="0" w:color="auto"/>
        <w:right w:val="none" w:sz="0" w:space="0" w:color="auto"/>
      </w:divBdr>
    </w:div>
    <w:div w:id="430708809">
      <w:bodyDiv w:val="1"/>
      <w:marLeft w:val="0"/>
      <w:marRight w:val="0"/>
      <w:marTop w:val="0"/>
      <w:marBottom w:val="0"/>
      <w:divBdr>
        <w:top w:val="none" w:sz="0" w:space="0" w:color="auto"/>
        <w:left w:val="none" w:sz="0" w:space="0" w:color="auto"/>
        <w:bottom w:val="none" w:sz="0" w:space="0" w:color="auto"/>
        <w:right w:val="none" w:sz="0" w:space="0" w:color="auto"/>
      </w:divBdr>
    </w:div>
    <w:div w:id="472019001">
      <w:bodyDiv w:val="1"/>
      <w:marLeft w:val="0"/>
      <w:marRight w:val="0"/>
      <w:marTop w:val="0"/>
      <w:marBottom w:val="0"/>
      <w:divBdr>
        <w:top w:val="none" w:sz="0" w:space="0" w:color="auto"/>
        <w:left w:val="none" w:sz="0" w:space="0" w:color="auto"/>
        <w:bottom w:val="none" w:sz="0" w:space="0" w:color="auto"/>
        <w:right w:val="none" w:sz="0" w:space="0" w:color="auto"/>
      </w:divBdr>
    </w:div>
    <w:div w:id="585460266">
      <w:bodyDiv w:val="1"/>
      <w:marLeft w:val="0"/>
      <w:marRight w:val="0"/>
      <w:marTop w:val="0"/>
      <w:marBottom w:val="0"/>
      <w:divBdr>
        <w:top w:val="none" w:sz="0" w:space="0" w:color="auto"/>
        <w:left w:val="none" w:sz="0" w:space="0" w:color="auto"/>
        <w:bottom w:val="none" w:sz="0" w:space="0" w:color="auto"/>
        <w:right w:val="none" w:sz="0" w:space="0" w:color="auto"/>
      </w:divBdr>
    </w:div>
    <w:div w:id="622687901">
      <w:bodyDiv w:val="1"/>
      <w:marLeft w:val="0"/>
      <w:marRight w:val="0"/>
      <w:marTop w:val="0"/>
      <w:marBottom w:val="0"/>
      <w:divBdr>
        <w:top w:val="none" w:sz="0" w:space="0" w:color="auto"/>
        <w:left w:val="none" w:sz="0" w:space="0" w:color="auto"/>
        <w:bottom w:val="none" w:sz="0" w:space="0" w:color="auto"/>
        <w:right w:val="none" w:sz="0" w:space="0" w:color="auto"/>
      </w:divBdr>
    </w:div>
    <w:div w:id="624040646">
      <w:bodyDiv w:val="1"/>
      <w:marLeft w:val="0"/>
      <w:marRight w:val="0"/>
      <w:marTop w:val="0"/>
      <w:marBottom w:val="0"/>
      <w:divBdr>
        <w:top w:val="none" w:sz="0" w:space="0" w:color="auto"/>
        <w:left w:val="none" w:sz="0" w:space="0" w:color="auto"/>
        <w:bottom w:val="none" w:sz="0" w:space="0" w:color="auto"/>
        <w:right w:val="none" w:sz="0" w:space="0" w:color="auto"/>
      </w:divBdr>
    </w:div>
    <w:div w:id="630672173">
      <w:bodyDiv w:val="1"/>
      <w:marLeft w:val="0"/>
      <w:marRight w:val="0"/>
      <w:marTop w:val="0"/>
      <w:marBottom w:val="0"/>
      <w:divBdr>
        <w:top w:val="none" w:sz="0" w:space="0" w:color="auto"/>
        <w:left w:val="none" w:sz="0" w:space="0" w:color="auto"/>
        <w:bottom w:val="none" w:sz="0" w:space="0" w:color="auto"/>
        <w:right w:val="none" w:sz="0" w:space="0" w:color="auto"/>
      </w:divBdr>
    </w:div>
    <w:div w:id="715662890">
      <w:bodyDiv w:val="1"/>
      <w:marLeft w:val="0"/>
      <w:marRight w:val="0"/>
      <w:marTop w:val="0"/>
      <w:marBottom w:val="0"/>
      <w:divBdr>
        <w:top w:val="none" w:sz="0" w:space="0" w:color="auto"/>
        <w:left w:val="none" w:sz="0" w:space="0" w:color="auto"/>
        <w:bottom w:val="none" w:sz="0" w:space="0" w:color="auto"/>
        <w:right w:val="none" w:sz="0" w:space="0" w:color="auto"/>
      </w:divBdr>
    </w:div>
    <w:div w:id="725570813">
      <w:bodyDiv w:val="1"/>
      <w:marLeft w:val="0"/>
      <w:marRight w:val="0"/>
      <w:marTop w:val="0"/>
      <w:marBottom w:val="0"/>
      <w:divBdr>
        <w:top w:val="none" w:sz="0" w:space="0" w:color="auto"/>
        <w:left w:val="none" w:sz="0" w:space="0" w:color="auto"/>
        <w:bottom w:val="none" w:sz="0" w:space="0" w:color="auto"/>
        <w:right w:val="none" w:sz="0" w:space="0" w:color="auto"/>
      </w:divBdr>
    </w:div>
    <w:div w:id="819732435">
      <w:bodyDiv w:val="1"/>
      <w:marLeft w:val="0"/>
      <w:marRight w:val="0"/>
      <w:marTop w:val="0"/>
      <w:marBottom w:val="0"/>
      <w:divBdr>
        <w:top w:val="none" w:sz="0" w:space="0" w:color="auto"/>
        <w:left w:val="none" w:sz="0" w:space="0" w:color="auto"/>
        <w:bottom w:val="none" w:sz="0" w:space="0" w:color="auto"/>
        <w:right w:val="none" w:sz="0" w:space="0" w:color="auto"/>
      </w:divBdr>
    </w:div>
    <w:div w:id="820000942">
      <w:bodyDiv w:val="1"/>
      <w:marLeft w:val="0"/>
      <w:marRight w:val="0"/>
      <w:marTop w:val="0"/>
      <w:marBottom w:val="0"/>
      <w:divBdr>
        <w:top w:val="none" w:sz="0" w:space="0" w:color="auto"/>
        <w:left w:val="none" w:sz="0" w:space="0" w:color="auto"/>
        <w:bottom w:val="none" w:sz="0" w:space="0" w:color="auto"/>
        <w:right w:val="none" w:sz="0" w:space="0" w:color="auto"/>
      </w:divBdr>
    </w:div>
    <w:div w:id="854731241">
      <w:bodyDiv w:val="1"/>
      <w:marLeft w:val="0"/>
      <w:marRight w:val="0"/>
      <w:marTop w:val="0"/>
      <w:marBottom w:val="0"/>
      <w:divBdr>
        <w:top w:val="none" w:sz="0" w:space="0" w:color="auto"/>
        <w:left w:val="none" w:sz="0" w:space="0" w:color="auto"/>
        <w:bottom w:val="none" w:sz="0" w:space="0" w:color="auto"/>
        <w:right w:val="none" w:sz="0" w:space="0" w:color="auto"/>
      </w:divBdr>
    </w:div>
    <w:div w:id="1012879705">
      <w:bodyDiv w:val="1"/>
      <w:marLeft w:val="0"/>
      <w:marRight w:val="0"/>
      <w:marTop w:val="0"/>
      <w:marBottom w:val="0"/>
      <w:divBdr>
        <w:top w:val="none" w:sz="0" w:space="0" w:color="auto"/>
        <w:left w:val="none" w:sz="0" w:space="0" w:color="auto"/>
        <w:bottom w:val="none" w:sz="0" w:space="0" w:color="auto"/>
        <w:right w:val="none" w:sz="0" w:space="0" w:color="auto"/>
      </w:divBdr>
    </w:div>
    <w:div w:id="1047219610">
      <w:bodyDiv w:val="1"/>
      <w:marLeft w:val="0"/>
      <w:marRight w:val="0"/>
      <w:marTop w:val="0"/>
      <w:marBottom w:val="0"/>
      <w:divBdr>
        <w:top w:val="none" w:sz="0" w:space="0" w:color="auto"/>
        <w:left w:val="none" w:sz="0" w:space="0" w:color="auto"/>
        <w:bottom w:val="none" w:sz="0" w:space="0" w:color="auto"/>
        <w:right w:val="none" w:sz="0" w:space="0" w:color="auto"/>
      </w:divBdr>
    </w:div>
    <w:div w:id="1082143029">
      <w:bodyDiv w:val="1"/>
      <w:marLeft w:val="0"/>
      <w:marRight w:val="0"/>
      <w:marTop w:val="0"/>
      <w:marBottom w:val="0"/>
      <w:divBdr>
        <w:top w:val="none" w:sz="0" w:space="0" w:color="auto"/>
        <w:left w:val="none" w:sz="0" w:space="0" w:color="auto"/>
        <w:bottom w:val="none" w:sz="0" w:space="0" w:color="auto"/>
        <w:right w:val="none" w:sz="0" w:space="0" w:color="auto"/>
      </w:divBdr>
    </w:div>
    <w:div w:id="1172601851">
      <w:bodyDiv w:val="1"/>
      <w:marLeft w:val="0"/>
      <w:marRight w:val="0"/>
      <w:marTop w:val="0"/>
      <w:marBottom w:val="0"/>
      <w:divBdr>
        <w:top w:val="none" w:sz="0" w:space="0" w:color="auto"/>
        <w:left w:val="none" w:sz="0" w:space="0" w:color="auto"/>
        <w:bottom w:val="none" w:sz="0" w:space="0" w:color="auto"/>
        <w:right w:val="none" w:sz="0" w:space="0" w:color="auto"/>
      </w:divBdr>
    </w:div>
    <w:div w:id="1180923783">
      <w:bodyDiv w:val="1"/>
      <w:marLeft w:val="0"/>
      <w:marRight w:val="0"/>
      <w:marTop w:val="0"/>
      <w:marBottom w:val="0"/>
      <w:divBdr>
        <w:top w:val="none" w:sz="0" w:space="0" w:color="auto"/>
        <w:left w:val="none" w:sz="0" w:space="0" w:color="auto"/>
        <w:bottom w:val="none" w:sz="0" w:space="0" w:color="auto"/>
        <w:right w:val="none" w:sz="0" w:space="0" w:color="auto"/>
      </w:divBdr>
    </w:div>
    <w:div w:id="1249847079">
      <w:bodyDiv w:val="1"/>
      <w:marLeft w:val="0"/>
      <w:marRight w:val="0"/>
      <w:marTop w:val="0"/>
      <w:marBottom w:val="0"/>
      <w:divBdr>
        <w:top w:val="none" w:sz="0" w:space="0" w:color="auto"/>
        <w:left w:val="none" w:sz="0" w:space="0" w:color="auto"/>
        <w:bottom w:val="none" w:sz="0" w:space="0" w:color="auto"/>
        <w:right w:val="none" w:sz="0" w:space="0" w:color="auto"/>
      </w:divBdr>
    </w:div>
    <w:div w:id="1279408014">
      <w:bodyDiv w:val="1"/>
      <w:marLeft w:val="0"/>
      <w:marRight w:val="0"/>
      <w:marTop w:val="0"/>
      <w:marBottom w:val="0"/>
      <w:divBdr>
        <w:top w:val="none" w:sz="0" w:space="0" w:color="auto"/>
        <w:left w:val="none" w:sz="0" w:space="0" w:color="auto"/>
        <w:bottom w:val="none" w:sz="0" w:space="0" w:color="auto"/>
        <w:right w:val="none" w:sz="0" w:space="0" w:color="auto"/>
      </w:divBdr>
    </w:div>
    <w:div w:id="1281035987">
      <w:bodyDiv w:val="1"/>
      <w:marLeft w:val="0"/>
      <w:marRight w:val="0"/>
      <w:marTop w:val="0"/>
      <w:marBottom w:val="0"/>
      <w:divBdr>
        <w:top w:val="none" w:sz="0" w:space="0" w:color="auto"/>
        <w:left w:val="none" w:sz="0" w:space="0" w:color="auto"/>
        <w:bottom w:val="none" w:sz="0" w:space="0" w:color="auto"/>
        <w:right w:val="none" w:sz="0" w:space="0" w:color="auto"/>
      </w:divBdr>
    </w:div>
    <w:div w:id="1303345598">
      <w:bodyDiv w:val="1"/>
      <w:marLeft w:val="0"/>
      <w:marRight w:val="0"/>
      <w:marTop w:val="0"/>
      <w:marBottom w:val="0"/>
      <w:divBdr>
        <w:top w:val="none" w:sz="0" w:space="0" w:color="auto"/>
        <w:left w:val="none" w:sz="0" w:space="0" w:color="auto"/>
        <w:bottom w:val="none" w:sz="0" w:space="0" w:color="auto"/>
        <w:right w:val="none" w:sz="0" w:space="0" w:color="auto"/>
      </w:divBdr>
    </w:div>
    <w:div w:id="1382484313">
      <w:bodyDiv w:val="1"/>
      <w:marLeft w:val="0"/>
      <w:marRight w:val="0"/>
      <w:marTop w:val="0"/>
      <w:marBottom w:val="0"/>
      <w:divBdr>
        <w:top w:val="none" w:sz="0" w:space="0" w:color="auto"/>
        <w:left w:val="none" w:sz="0" w:space="0" w:color="auto"/>
        <w:bottom w:val="none" w:sz="0" w:space="0" w:color="auto"/>
        <w:right w:val="none" w:sz="0" w:space="0" w:color="auto"/>
      </w:divBdr>
    </w:div>
    <w:div w:id="1390685599">
      <w:bodyDiv w:val="1"/>
      <w:marLeft w:val="0"/>
      <w:marRight w:val="0"/>
      <w:marTop w:val="0"/>
      <w:marBottom w:val="0"/>
      <w:divBdr>
        <w:top w:val="none" w:sz="0" w:space="0" w:color="auto"/>
        <w:left w:val="none" w:sz="0" w:space="0" w:color="auto"/>
        <w:bottom w:val="none" w:sz="0" w:space="0" w:color="auto"/>
        <w:right w:val="none" w:sz="0" w:space="0" w:color="auto"/>
      </w:divBdr>
    </w:div>
    <w:div w:id="1494880304">
      <w:bodyDiv w:val="1"/>
      <w:marLeft w:val="0"/>
      <w:marRight w:val="0"/>
      <w:marTop w:val="0"/>
      <w:marBottom w:val="0"/>
      <w:divBdr>
        <w:top w:val="none" w:sz="0" w:space="0" w:color="auto"/>
        <w:left w:val="none" w:sz="0" w:space="0" w:color="auto"/>
        <w:bottom w:val="none" w:sz="0" w:space="0" w:color="auto"/>
        <w:right w:val="none" w:sz="0" w:space="0" w:color="auto"/>
      </w:divBdr>
    </w:div>
    <w:div w:id="1575428796">
      <w:bodyDiv w:val="1"/>
      <w:marLeft w:val="0"/>
      <w:marRight w:val="0"/>
      <w:marTop w:val="0"/>
      <w:marBottom w:val="0"/>
      <w:divBdr>
        <w:top w:val="none" w:sz="0" w:space="0" w:color="auto"/>
        <w:left w:val="none" w:sz="0" w:space="0" w:color="auto"/>
        <w:bottom w:val="none" w:sz="0" w:space="0" w:color="auto"/>
        <w:right w:val="none" w:sz="0" w:space="0" w:color="auto"/>
      </w:divBdr>
    </w:div>
    <w:div w:id="1581716515">
      <w:bodyDiv w:val="1"/>
      <w:marLeft w:val="0"/>
      <w:marRight w:val="0"/>
      <w:marTop w:val="0"/>
      <w:marBottom w:val="0"/>
      <w:divBdr>
        <w:top w:val="none" w:sz="0" w:space="0" w:color="auto"/>
        <w:left w:val="none" w:sz="0" w:space="0" w:color="auto"/>
        <w:bottom w:val="none" w:sz="0" w:space="0" w:color="auto"/>
        <w:right w:val="none" w:sz="0" w:space="0" w:color="auto"/>
      </w:divBdr>
    </w:div>
    <w:div w:id="1694306379">
      <w:bodyDiv w:val="1"/>
      <w:marLeft w:val="0"/>
      <w:marRight w:val="0"/>
      <w:marTop w:val="0"/>
      <w:marBottom w:val="0"/>
      <w:divBdr>
        <w:top w:val="none" w:sz="0" w:space="0" w:color="auto"/>
        <w:left w:val="none" w:sz="0" w:space="0" w:color="auto"/>
        <w:bottom w:val="none" w:sz="0" w:space="0" w:color="auto"/>
        <w:right w:val="none" w:sz="0" w:space="0" w:color="auto"/>
      </w:divBdr>
    </w:div>
    <w:div w:id="1709836315">
      <w:bodyDiv w:val="1"/>
      <w:marLeft w:val="0"/>
      <w:marRight w:val="0"/>
      <w:marTop w:val="0"/>
      <w:marBottom w:val="0"/>
      <w:divBdr>
        <w:top w:val="none" w:sz="0" w:space="0" w:color="auto"/>
        <w:left w:val="none" w:sz="0" w:space="0" w:color="auto"/>
        <w:bottom w:val="none" w:sz="0" w:space="0" w:color="auto"/>
        <w:right w:val="none" w:sz="0" w:space="0" w:color="auto"/>
      </w:divBdr>
    </w:div>
    <w:div w:id="1736581803">
      <w:bodyDiv w:val="1"/>
      <w:marLeft w:val="0"/>
      <w:marRight w:val="0"/>
      <w:marTop w:val="0"/>
      <w:marBottom w:val="0"/>
      <w:divBdr>
        <w:top w:val="none" w:sz="0" w:space="0" w:color="auto"/>
        <w:left w:val="none" w:sz="0" w:space="0" w:color="auto"/>
        <w:bottom w:val="none" w:sz="0" w:space="0" w:color="auto"/>
        <w:right w:val="none" w:sz="0" w:space="0" w:color="auto"/>
      </w:divBdr>
    </w:div>
    <w:div w:id="1750498497">
      <w:bodyDiv w:val="1"/>
      <w:marLeft w:val="0"/>
      <w:marRight w:val="0"/>
      <w:marTop w:val="0"/>
      <w:marBottom w:val="0"/>
      <w:divBdr>
        <w:top w:val="none" w:sz="0" w:space="0" w:color="auto"/>
        <w:left w:val="none" w:sz="0" w:space="0" w:color="auto"/>
        <w:bottom w:val="none" w:sz="0" w:space="0" w:color="auto"/>
        <w:right w:val="none" w:sz="0" w:space="0" w:color="auto"/>
      </w:divBdr>
    </w:div>
    <w:div w:id="1857382742">
      <w:bodyDiv w:val="1"/>
      <w:marLeft w:val="0"/>
      <w:marRight w:val="0"/>
      <w:marTop w:val="0"/>
      <w:marBottom w:val="0"/>
      <w:divBdr>
        <w:top w:val="none" w:sz="0" w:space="0" w:color="auto"/>
        <w:left w:val="none" w:sz="0" w:space="0" w:color="auto"/>
        <w:bottom w:val="none" w:sz="0" w:space="0" w:color="auto"/>
        <w:right w:val="none" w:sz="0" w:space="0" w:color="auto"/>
      </w:divBdr>
    </w:div>
    <w:div w:id="1870340211">
      <w:bodyDiv w:val="1"/>
      <w:marLeft w:val="0"/>
      <w:marRight w:val="0"/>
      <w:marTop w:val="0"/>
      <w:marBottom w:val="0"/>
      <w:divBdr>
        <w:top w:val="none" w:sz="0" w:space="0" w:color="auto"/>
        <w:left w:val="none" w:sz="0" w:space="0" w:color="auto"/>
        <w:bottom w:val="none" w:sz="0" w:space="0" w:color="auto"/>
        <w:right w:val="none" w:sz="0" w:space="0" w:color="auto"/>
      </w:divBdr>
    </w:div>
    <w:div w:id="1874733109">
      <w:bodyDiv w:val="1"/>
      <w:marLeft w:val="0"/>
      <w:marRight w:val="0"/>
      <w:marTop w:val="0"/>
      <w:marBottom w:val="0"/>
      <w:divBdr>
        <w:top w:val="none" w:sz="0" w:space="0" w:color="auto"/>
        <w:left w:val="none" w:sz="0" w:space="0" w:color="auto"/>
        <w:bottom w:val="none" w:sz="0" w:space="0" w:color="auto"/>
        <w:right w:val="none" w:sz="0" w:space="0" w:color="auto"/>
      </w:divBdr>
    </w:div>
    <w:div w:id="1879659289">
      <w:bodyDiv w:val="1"/>
      <w:marLeft w:val="0"/>
      <w:marRight w:val="0"/>
      <w:marTop w:val="0"/>
      <w:marBottom w:val="0"/>
      <w:divBdr>
        <w:top w:val="none" w:sz="0" w:space="0" w:color="auto"/>
        <w:left w:val="none" w:sz="0" w:space="0" w:color="auto"/>
        <w:bottom w:val="none" w:sz="0" w:space="0" w:color="auto"/>
        <w:right w:val="none" w:sz="0" w:space="0" w:color="auto"/>
      </w:divBdr>
    </w:div>
    <w:div w:id="1920096061">
      <w:bodyDiv w:val="1"/>
      <w:marLeft w:val="0"/>
      <w:marRight w:val="0"/>
      <w:marTop w:val="0"/>
      <w:marBottom w:val="0"/>
      <w:divBdr>
        <w:top w:val="none" w:sz="0" w:space="0" w:color="auto"/>
        <w:left w:val="none" w:sz="0" w:space="0" w:color="auto"/>
        <w:bottom w:val="none" w:sz="0" w:space="0" w:color="auto"/>
        <w:right w:val="none" w:sz="0" w:space="0" w:color="auto"/>
      </w:divBdr>
    </w:div>
    <w:div w:id="1991591538">
      <w:bodyDiv w:val="1"/>
      <w:marLeft w:val="0"/>
      <w:marRight w:val="0"/>
      <w:marTop w:val="0"/>
      <w:marBottom w:val="0"/>
      <w:divBdr>
        <w:top w:val="none" w:sz="0" w:space="0" w:color="auto"/>
        <w:left w:val="none" w:sz="0" w:space="0" w:color="auto"/>
        <w:bottom w:val="none" w:sz="0" w:space="0" w:color="auto"/>
        <w:right w:val="none" w:sz="0" w:space="0" w:color="auto"/>
      </w:divBdr>
    </w:div>
    <w:div w:id="20108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151BA-27E2-4AE7-A67B-BE140260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2851</Words>
  <Characters>15597</Characters>
  <Application>Microsoft Office Word</Application>
  <DocSecurity>0</DocSecurity>
  <Lines>487</Lines>
  <Paragraphs>318</Paragraphs>
  <ScaleCrop>false</ScaleCrop>
  <HeadingPairs>
    <vt:vector size="2" baseType="variant">
      <vt:variant>
        <vt:lpstr>Title</vt:lpstr>
      </vt:variant>
      <vt:variant>
        <vt:i4>1</vt:i4>
      </vt:variant>
    </vt:vector>
  </HeadingPairs>
  <TitlesOfParts>
    <vt:vector size="1" baseType="lpstr">
      <vt:lpstr>Oral question O-0008/05</vt:lpstr>
    </vt:vector>
  </TitlesOfParts>
  <Manager/>
  <Company/>
  <LinksUpToDate>false</LinksUpToDate>
  <CharactersWithSpaces>18130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question O-0008/05</dc:title>
  <dc:creator/>
  <cp:lastModifiedBy>DIGIT/C6</cp:lastModifiedBy>
  <cp:revision>19</cp:revision>
  <cp:lastPrinted>2018-09-25T14:05:00Z</cp:lastPrinted>
  <dcterms:created xsi:type="dcterms:W3CDTF">2018-10-05T08:34:00Z</dcterms:created>
  <dcterms:modified xsi:type="dcterms:W3CDTF">2018-10-16T06:46:00Z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6.0.1, Build 20180503</vt:lpwstr>
  </property>
</Properties>
</file>