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2958D1F-C757-4B68-A895-71DC26CD2EF3"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rPr>
          <w:noProof/>
        </w:rPr>
      </w:pPr>
      <w:bookmarkStart w:id="1" w:name="_GoBack"/>
      <w:bookmarkEnd w:id="1"/>
      <w:r>
        <w:rPr>
          <w:noProof/>
        </w:rPr>
        <w:lastRenderedPageBreak/>
        <w:t>Having regard to:</w:t>
      </w:r>
    </w:p>
    <w:p>
      <w:pPr>
        <w:pStyle w:val="Tiret0"/>
        <w:tabs>
          <w:tab w:val="clear" w:pos="850"/>
          <w:tab w:val="num" w:pos="1004"/>
        </w:tabs>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tabs>
          <w:tab w:val="clear" w:pos="850"/>
          <w:tab w:val="num" w:pos="927"/>
        </w:tabs>
        <w:rPr>
          <w:rFonts w:cs="Arial"/>
          <w:noProof/>
          <w:szCs w:val="18"/>
        </w:rPr>
      </w:pPr>
      <w:r>
        <w:rPr>
          <w:noProof/>
        </w:rPr>
        <w:t>Regulation (EU, Euratom) 2018/1046 of the European Parliament and of the Council of 18 July 2018 on the financial rules applicable to the general budget of the Union (…)</w:t>
      </w:r>
      <w:r>
        <w:rPr>
          <w:rStyle w:val="FootnoteReference"/>
          <w:noProof/>
        </w:rPr>
        <w:footnoteReference w:id="2"/>
      </w:r>
      <w:r>
        <w:rPr>
          <w:noProof/>
        </w:rPr>
        <w:t>, and in particular Article 42 thereof,</w:t>
      </w:r>
    </w:p>
    <w:p>
      <w:pPr>
        <w:pStyle w:val="Tiret0"/>
        <w:tabs>
          <w:tab w:val="clear" w:pos="850"/>
          <w:tab w:val="num" w:pos="927"/>
        </w:tabs>
        <w:rPr>
          <w:noProof/>
        </w:rPr>
      </w:pPr>
      <w:r>
        <w:rPr>
          <w:noProof/>
        </w:rPr>
        <w:t>the draft general budget of the European Union for the financial year 2019, as adopted by the Commission on 21 June 2018</w:t>
      </w:r>
      <w:r>
        <w:rPr>
          <w:rStyle w:val="FootnoteReference"/>
          <w:noProof/>
        </w:rPr>
        <w:footnoteReference w:id="3"/>
      </w:r>
      <w:r>
        <w:rPr>
          <w:noProof/>
        </w:rPr>
        <w:t>,</w:t>
      </w:r>
    </w:p>
    <w:p>
      <w:pPr>
        <w:spacing w:after="600"/>
        <w:jc w:val="both"/>
        <w:rPr>
          <w:noProof/>
        </w:rPr>
      </w:pPr>
      <w:r>
        <w:rPr>
          <w:noProof/>
        </w:rPr>
        <w:t>The European Commission hereby presents to the European Parliament and to the Council the Amending Letter No 1 to the draft general budget of the European Union for the financial year 2019 for the reasons set out in the explanatory memorandum.</w:t>
      </w:r>
    </w:p>
    <w:p>
      <w:pPr>
        <w:spacing w:after="240"/>
        <w:jc w:val="both"/>
        <w:rPr>
          <w:b/>
          <w:noProof/>
          <w:u w:val="single"/>
          <w:lang w:eastAsia="ko-KR"/>
        </w:rPr>
      </w:pPr>
      <w:r>
        <w:rPr>
          <w:b/>
          <w:noProof/>
          <w:u w:val="single"/>
          <w:lang w:eastAsia="ko-KR"/>
        </w:rPr>
        <w:t>CHANGES TO THE STATEMENT OF REVENUE AND EXPENDITURE BY SECTION</w:t>
      </w:r>
    </w:p>
    <w:p>
      <w:pPr>
        <w:jc w:val="both"/>
        <w:rPr>
          <w:noProof/>
          <w:lang w:eastAsia="ko-KR"/>
        </w:rPr>
      </w:pPr>
      <w:r>
        <w:rPr>
          <w:noProof/>
        </w:rPr>
        <w:t>The changes to the statement of revenue and expenditure by section are available on EUR-Lex (</w:t>
      </w:r>
      <w:hyperlink r:id="rId16" w:history="1">
        <w:r>
          <w:rPr>
            <w:rStyle w:val="Hyperlink"/>
            <w:noProof/>
            <w:color w:val="auto"/>
          </w:rPr>
          <w:t>http://eur-lex.europa.eu/budget/www/index-en.htm</w:t>
        </w:r>
      </w:hyperlink>
      <w:r>
        <w:rPr>
          <w:noProof/>
        </w:rPr>
        <w:t>). An English version of the changes to this statement is attached for information as a budgetary annex.</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cols w:space="720"/>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lastRenderedPageBreak/>
        <w:t>TABLE OF CONTENTS</w:t>
      </w:r>
    </w:p>
    <w:p>
      <w:pPr>
        <w:pStyle w:val="TOC1"/>
        <w:tabs>
          <w:tab w:val="left" w:pos="709"/>
          <w:tab w:val="right" w:leader="dot" w:pos="9061"/>
        </w:tabs>
        <w:rPr>
          <w:rFonts w:asciiTheme="minorHAnsi" w:eastAsiaTheme="minorEastAsia" w:hAnsiTheme="minorHAnsi" w:cstheme="minorBidi"/>
          <w:b w:val="0"/>
          <w:bCs w:val="0"/>
          <w:caps w:val="0"/>
          <w:noProof/>
          <w:sz w:val="22"/>
          <w:szCs w:val="22"/>
        </w:rPr>
      </w:pPr>
      <w:r>
        <w:rPr>
          <w:noProof/>
        </w:rPr>
        <w:fldChar w:fldCharType="begin"/>
      </w:r>
      <w:r>
        <w:rPr>
          <w:noProof/>
        </w:rPr>
        <w:instrText xml:space="preserve"> TOC \o "1-3" \h \z \u </w:instrText>
      </w:r>
      <w:r>
        <w:rPr>
          <w:noProof/>
        </w:rPr>
        <w:fldChar w:fldCharType="separate"/>
      </w:r>
      <w:hyperlink w:anchor="_Toc527106851" w:history="1">
        <w:r>
          <w:rPr>
            <w:rStyle w:val="Hyperlink"/>
            <w:noProof/>
          </w:rPr>
          <w:t>1.</w:t>
        </w:r>
        <w:r>
          <w:rPr>
            <w:rFonts w:asciiTheme="minorHAnsi" w:eastAsiaTheme="minorEastAsia" w:hAnsiTheme="minorHAnsi" w:cstheme="minorBidi"/>
            <w:b w:val="0"/>
            <w:bCs w:val="0"/>
            <w:caps w:val="0"/>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_Toc527106851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527106852" w:history="1">
        <w:r>
          <w:rPr>
            <w:rStyle w:val="Hyperlink"/>
            <w:noProof/>
          </w:rPr>
          <w:t>2.</w:t>
        </w:r>
        <w:r>
          <w:rPr>
            <w:rFonts w:asciiTheme="minorHAnsi" w:eastAsiaTheme="minorEastAsia" w:hAnsiTheme="minorHAnsi" w:cstheme="minorBidi"/>
            <w:b w:val="0"/>
            <w:bCs w:val="0"/>
            <w:caps w:val="0"/>
            <w:noProof/>
            <w:sz w:val="22"/>
            <w:szCs w:val="22"/>
          </w:rPr>
          <w:tab/>
        </w:r>
        <w:r>
          <w:rPr>
            <w:rStyle w:val="Hyperlink"/>
            <w:noProof/>
          </w:rPr>
          <w:t>European Agriculture Guarantee Fund</w:t>
        </w:r>
        <w:r>
          <w:rPr>
            <w:noProof/>
            <w:webHidden/>
          </w:rPr>
          <w:tab/>
        </w:r>
        <w:r>
          <w:rPr>
            <w:noProof/>
            <w:webHidden/>
          </w:rPr>
          <w:fldChar w:fldCharType="begin"/>
        </w:r>
        <w:r>
          <w:rPr>
            <w:noProof/>
            <w:webHidden/>
          </w:rPr>
          <w:instrText xml:space="preserve"> PAGEREF _Toc527106852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527106853" w:history="1">
        <w:r>
          <w:rPr>
            <w:rStyle w:val="Hyperlink"/>
            <w:rFonts w:eastAsia="Calibri"/>
            <w:b/>
            <w:noProof/>
            <w:lang w:eastAsia="en-US"/>
          </w:rPr>
          <w:t xml:space="preserve">2.1 </w:t>
        </w:r>
        <w:r>
          <w:rPr>
            <w:rFonts w:asciiTheme="minorHAnsi" w:eastAsiaTheme="minorEastAsia" w:hAnsiTheme="minorHAnsi" w:cstheme="minorBidi"/>
            <w:smallCaps w:val="0"/>
            <w:noProof/>
            <w:sz w:val="22"/>
            <w:szCs w:val="22"/>
          </w:rPr>
          <w:tab/>
        </w:r>
        <w:r>
          <w:rPr>
            <w:rStyle w:val="Hyperlink"/>
            <w:rFonts w:eastAsia="Calibri"/>
            <w:b/>
            <w:noProof/>
            <w:lang w:eastAsia="en-US"/>
          </w:rPr>
          <w:t>Overview</w:t>
        </w:r>
        <w:r>
          <w:rPr>
            <w:noProof/>
            <w:webHidden/>
          </w:rPr>
          <w:tab/>
        </w:r>
        <w:r>
          <w:rPr>
            <w:noProof/>
            <w:webHidden/>
          </w:rPr>
          <w:fldChar w:fldCharType="begin"/>
        </w:r>
        <w:r>
          <w:rPr>
            <w:noProof/>
            <w:webHidden/>
          </w:rPr>
          <w:instrText xml:space="preserve"> PAGEREF _Toc527106853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527106854" w:history="1">
        <w:r>
          <w:rPr>
            <w:rStyle w:val="Hyperlink"/>
            <w:rFonts w:eastAsia="Calibri"/>
            <w:b/>
            <w:noProof/>
            <w:lang w:eastAsia="en-US"/>
          </w:rPr>
          <w:t xml:space="preserve">2.2 </w:t>
        </w:r>
        <w:r>
          <w:rPr>
            <w:rFonts w:asciiTheme="minorHAnsi" w:eastAsiaTheme="minorEastAsia" w:hAnsiTheme="minorHAnsi" w:cstheme="minorBidi"/>
            <w:smallCaps w:val="0"/>
            <w:noProof/>
            <w:sz w:val="22"/>
            <w:szCs w:val="22"/>
          </w:rPr>
          <w:tab/>
        </w:r>
        <w:r>
          <w:rPr>
            <w:rStyle w:val="Hyperlink"/>
            <w:rFonts w:eastAsia="Calibri"/>
            <w:b/>
            <w:noProof/>
            <w:lang w:eastAsia="en-US"/>
          </w:rPr>
          <w:t>Detailed comments</w:t>
        </w:r>
        <w:r>
          <w:rPr>
            <w:noProof/>
            <w:webHidden/>
          </w:rPr>
          <w:tab/>
        </w:r>
        <w:r>
          <w:rPr>
            <w:noProof/>
            <w:webHidden/>
          </w:rPr>
          <w:fldChar w:fldCharType="begin"/>
        </w:r>
        <w:r>
          <w:rPr>
            <w:noProof/>
            <w:webHidden/>
          </w:rPr>
          <w:instrText xml:space="preserve"> PAGEREF _Toc527106854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527106855" w:history="1">
        <w:r>
          <w:rPr>
            <w:rStyle w:val="Hyperlink"/>
            <w:rFonts w:eastAsia="Calibri"/>
            <w:b/>
            <w:noProof/>
            <w:lang w:eastAsia="en-US"/>
          </w:rPr>
          <w:t xml:space="preserve">2.3 </w:t>
        </w:r>
        <w:r>
          <w:rPr>
            <w:rFonts w:asciiTheme="minorHAnsi" w:eastAsiaTheme="minorEastAsia" w:hAnsiTheme="minorHAnsi" w:cstheme="minorBidi"/>
            <w:smallCaps w:val="0"/>
            <w:noProof/>
            <w:sz w:val="22"/>
            <w:szCs w:val="22"/>
          </w:rPr>
          <w:tab/>
        </w:r>
        <w:r>
          <w:rPr>
            <w:rStyle w:val="Hyperlink"/>
            <w:rFonts w:eastAsia="Calibri"/>
            <w:b/>
            <w:noProof/>
            <w:lang w:eastAsia="en-US"/>
          </w:rPr>
          <w:t>Detailed figures by budget line</w:t>
        </w:r>
        <w:r>
          <w:rPr>
            <w:noProof/>
            <w:webHidden/>
          </w:rPr>
          <w:tab/>
        </w:r>
        <w:r>
          <w:rPr>
            <w:noProof/>
            <w:webHidden/>
          </w:rPr>
          <w:fldChar w:fldCharType="begin"/>
        </w:r>
        <w:r>
          <w:rPr>
            <w:noProof/>
            <w:webHidden/>
          </w:rPr>
          <w:instrText xml:space="preserve"> PAGEREF _Toc527106855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527106856" w:history="1">
        <w:r>
          <w:rPr>
            <w:rStyle w:val="Hyperlink"/>
            <w:noProof/>
          </w:rPr>
          <w:t>3.</w:t>
        </w:r>
        <w:r>
          <w:rPr>
            <w:rFonts w:asciiTheme="minorHAnsi" w:eastAsiaTheme="minorEastAsia" w:hAnsiTheme="minorHAnsi" w:cstheme="minorBidi"/>
            <w:b w:val="0"/>
            <w:bCs w:val="0"/>
            <w:caps w:val="0"/>
            <w:noProof/>
            <w:sz w:val="22"/>
            <w:szCs w:val="22"/>
          </w:rPr>
          <w:tab/>
        </w:r>
        <w:r>
          <w:rPr>
            <w:rStyle w:val="Hyperlink"/>
            <w:noProof/>
          </w:rPr>
          <w:t>Impact of agreements on Commission proposals</w:t>
        </w:r>
        <w:r>
          <w:rPr>
            <w:noProof/>
            <w:webHidden/>
          </w:rPr>
          <w:tab/>
        </w:r>
        <w:r>
          <w:rPr>
            <w:noProof/>
            <w:webHidden/>
          </w:rPr>
          <w:fldChar w:fldCharType="begin"/>
        </w:r>
        <w:r>
          <w:rPr>
            <w:noProof/>
            <w:webHidden/>
          </w:rPr>
          <w:instrText xml:space="preserve"> PAGEREF _Toc527106856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527106857" w:history="1">
        <w:r>
          <w:rPr>
            <w:rStyle w:val="Hyperlink"/>
            <w:rFonts w:eastAsia="Calibri"/>
            <w:b/>
            <w:noProof/>
            <w:lang w:eastAsia="en-US"/>
          </w:rPr>
          <w:t xml:space="preserve">3.1 </w:t>
        </w:r>
        <w:r>
          <w:rPr>
            <w:rFonts w:asciiTheme="minorHAnsi" w:eastAsiaTheme="minorEastAsia" w:hAnsiTheme="minorHAnsi" w:cstheme="minorBidi"/>
            <w:smallCaps w:val="0"/>
            <w:noProof/>
            <w:sz w:val="22"/>
            <w:szCs w:val="22"/>
          </w:rPr>
          <w:tab/>
        </w:r>
        <w:r>
          <w:rPr>
            <w:rStyle w:val="Hyperlink"/>
            <w:rFonts w:eastAsia="Calibri"/>
            <w:b/>
            <w:noProof/>
            <w:lang w:eastAsia="en-US"/>
          </w:rPr>
          <w:t>European Defence Industrial Development Programme</w:t>
        </w:r>
        <w:r>
          <w:rPr>
            <w:noProof/>
            <w:webHidden/>
          </w:rPr>
          <w:tab/>
        </w:r>
        <w:r>
          <w:rPr>
            <w:noProof/>
            <w:webHidden/>
          </w:rPr>
          <w:fldChar w:fldCharType="begin"/>
        </w:r>
        <w:r>
          <w:rPr>
            <w:noProof/>
            <w:webHidden/>
          </w:rPr>
          <w:instrText xml:space="preserve"> PAGEREF _Toc527106857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527106858" w:history="1">
        <w:r>
          <w:rPr>
            <w:rStyle w:val="Hyperlink"/>
            <w:rFonts w:eastAsia="Calibri"/>
            <w:b/>
            <w:noProof/>
            <w:lang w:eastAsia="en-US"/>
          </w:rPr>
          <w:t xml:space="preserve">3.2 </w:t>
        </w:r>
        <w:r>
          <w:rPr>
            <w:rFonts w:asciiTheme="minorHAnsi" w:eastAsiaTheme="minorEastAsia" w:hAnsiTheme="minorHAnsi" w:cstheme="minorBidi"/>
            <w:smallCaps w:val="0"/>
            <w:noProof/>
            <w:sz w:val="22"/>
            <w:szCs w:val="22"/>
          </w:rPr>
          <w:tab/>
        </w:r>
        <w:r>
          <w:rPr>
            <w:rStyle w:val="Hyperlink"/>
            <w:rFonts w:eastAsia="Calibri"/>
            <w:b/>
            <w:noProof/>
            <w:lang w:eastAsia="en-US"/>
          </w:rPr>
          <w:t>European Solidarity Corps</w:t>
        </w:r>
        <w:r>
          <w:rPr>
            <w:noProof/>
            <w:webHidden/>
          </w:rPr>
          <w:tab/>
        </w:r>
        <w:r>
          <w:rPr>
            <w:noProof/>
            <w:webHidden/>
          </w:rPr>
          <w:fldChar w:fldCharType="begin"/>
        </w:r>
        <w:r>
          <w:rPr>
            <w:noProof/>
            <w:webHidden/>
          </w:rPr>
          <w:instrText xml:space="preserve"> PAGEREF _Toc527106858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527106859" w:history="1">
        <w:r>
          <w:rPr>
            <w:rStyle w:val="Hyperlink"/>
            <w:rFonts w:eastAsia="Calibri"/>
            <w:b/>
            <w:noProof/>
            <w:lang w:eastAsia="en-US"/>
          </w:rPr>
          <w:t xml:space="preserve">3.3 </w:t>
        </w:r>
        <w:r>
          <w:rPr>
            <w:rFonts w:asciiTheme="minorHAnsi" w:eastAsiaTheme="minorEastAsia" w:hAnsiTheme="minorHAnsi" w:cstheme="minorBidi"/>
            <w:smallCaps w:val="0"/>
            <w:noProof/>
            <w:sz w:val="22"/>
            <w:szCs w:val="22"/>
          </w:rPr>
          <w:tab/>
        </w:r>
        <w:r>
          <w:rPr>
            <w:rStyle w:val="Hyperlink"/>
            <w:rFonts w:eastAsia="Calibri"/>
            <w:b/>
            <w:noProof/>
            <w:lang w:eastAsia="en-US"/>
          </w:rPr>
          <w:t>Structural Reform Support Programme</w:t>
        </w:r>
        <w:r>
          <w:rPr>
            <w:noProof/>
            <w:webHidden/>
          </w:rPr>
          <w:tab/>
        </w:r>
        <w:r>
          <w:rPr>
            <w:noProof/>
            <w:webHidden/>
          </w:rPr>
          <w:fldChar w:fldCharType="begin"/>
        </w:r>
        <w:r>
          <w:rPr>
            <w:noProof/>
            <w:webHidden/>
          </w:rPr>
          <w:instrText xml:space="preserve"> PAGEREF _Toc527106859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527106860" w:history="1">
        <w:r>
          <w:rPr>
            <w:rStyle w:val="Hyperlink"/>
            <w:noProof/>
          </w:rPr>
          <w:t>4.</w:t>
        </w:r>
        <w:r>
          <w:rPr>
            <w:rFonts w:asciiTheme="minorHAnsi" w:eastAsiaTheme="minorEastAsia" w:hAnsiTheme="minorHAnsi" w:cstheme="minorBidi"/>
            <w:b w:val="0"/>
            <w:bCs w:val="0"/>
            <w:caps w:val="0"/>
            <w:noProof/>
            <w:sz w:val="22"/>
            <w:szCs w:val="22"/>
          </w:rPr>
          <w:tab/>
        </w:r>
        <w:r>
          <w:rPr>
            <w:rStyle w:val="Hyperlink"/>
            <w:noProof/>
          </w:rPr>
          <w:t>Impact of new Commission initiatives</w:t>
        </w:r>
        <w:r>
          <w:rPr>
            <w:noProof/>
            <w:webHidden/>
          </w:rPr>
          <w:tab/>
        </w:r>
        <w:r>
          <w:rPr>
            <w:noProof/>
            <w:webHidden/>
          </w:rPr>
          <w:fldChar w:fldCharType="begin"/>
        </w:r>
        <w:r>
          <w:rPr>
            <w:noProof/>
            <w:webHidden/>
          </w:rPr>
          <w:instrText xml:space="preserve"> PAGEREF _Toc527106860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527106861" w:history="1">
        <w:r>
          <w:rPr>
            <w:rStyle w:val="Hyperlink"/>
            <w:rFonts w:eastAsia="Calibri"/>
            <w:b/>
            <w:noProof/>
            <w:lang w:eastAsia="en-US"/>
          </w:rPr>
          <w:t xml:space="preserve">4.1 </w:t>
        </w:r>
        <w:r>
          <w:rPr>
            <w:rFonts w:asciiTheme="minorHAnsi" w:eastAsiaTheme="minorEastAsia" w:hAnsiTheme="minorHAnsi" w:cstheme="minorBidi"/>
            <w:smallCaps w:val="0"/>
            <w:noProof/>
            <w:sz w:val="22"/>
            <w:szCs w:val="22"/>
          </w:rPr>
          <w:tab/>
        </w:r>
        <w:r>
          <w:rPr>
            <w:rStyle w:val="Hyperlink"/>
            <w:rFonts w:eastAsia="Calibri"/>
            <w:b/>
            <w:noProof/>
            <w:lang w:eastAsia="en-US"/>
          </w:rPr>
          <w:t>Reinforcement of the European Border and Coast Guard Agency</w:t>
        </w:r>
        <w:r>
          <w:rPr>
            <w:noProof/>
            <w:webHidden/>
          </w:rPr>
          <w:tab/>
        </w:r>
        <w:r>
          <w:rPr>
            <w:noProof/>
            <w:webHidden/>
          </w:rPr>
          <w:fldChar w:fldCharType="begin"/>
        </w:r>
        <w:r>
          <w:rPr>
            <w:noProof/>
            <w:webHidden/>
          </w:rPr>
          <w:instrText xml:space="preserve"> PAGEREF _Toc527106861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527106862" w:history="1">
        <w:r>
          <w:rPr>
            <w:rStyle w:val="Hyperlink"/>
            <w:rFonts w:eastAsia="Calibri"/>
            <w:b/>
            <w:noProof/>
            <w:lang w:eastAsia="en-US"/>
          </w:rPr>
          <w:t xml:space="preserve">4.2 </w:t>
        </w:r>
        <w:r>
          <w:rPr>
            <w:rFonts w:asciiTheme="minorHAnsi" w:eastAsiaTheme="minorEastAsia" w:hAnsiTheme="minorHAnsi" w:cstheme="minorBidi"/>
            <w:smallCaps w:val="0"/>
            <w:noProof/>
            <w:sz w:val="22"/>
            <w:szCs w:val="22"/>
          </w:rPr>
          <w:tab/>
        </w:r>
        <w:r>
          <w:rPr>
            <w:rStyle w:val="Hyperlink"/>
            <w:rFonts w:eastAsia="Calibri"/>
            <w:b/>
            <w:noProof/>
            <w:lang w:eastAsia="en-US"/>
          </w:rPr>
          <w:t>Reinforcement of the EU contribution to the European Union Agency for Asylum</w:t>
        </w:r>
        <w:r>
          <w:rPr>
            <w:noProof/>
            <w:webHidden/>
          </w:rPr>
          <w:tab/>
        </w:r>
        <w:r>
          <w:rPr>
            <w:noProof/>
            <w:webHidden/>
          </w:rPr>
          <w:fldChar w:fldCharType="begin"/>
        </w:r>
        <w:r>
          <w:rPr>
            <w:noProof/>
            <w:webHidden/>
          </w:rPr>
          <w:instrText xml:space="preserve"> PAGEREF _Toc527106862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527106863" w:history="1">
        <w:r>
          <w:rPr>
            <w:rStyle w:val="Hyperlink"/>
            <w:rFonts w:eastAsia="Calibri"/>
            <w:b/>
            <w:noProof/>
            <w:lang w:eastAsia="en-US"/>
          </w:rPr>
          <w:t xml:space="preserve">4.3 </w:t>
        </w:r>
        <w:r>
          <w:rPr>
            <w:rFonts w:asciiTheme="minorHAnsi" w:eastAsiaTheme="minorEastAsia" w:hAnsiTheme="minorHAnsi" w:cstheme="minorBidi"/>
            <w:smallCaps w:val="0"/>
            <w:noProof/>
            <w:sz w:val="22"/>
            <w:szCs w:val="22"/>
          </w:rPr>
          <w:tab/>
        </w:r>
        <w:r>
          <w:rPr>
            <w:rStyle w:val="Hyperlink"/>
            <w:rFonts w:eastAsia="Calibri"/>
            <w:b/>
            <w:noProof/>
            <w:lang w:eastAsia="en-US"/>
          </w:rPr>
          <w:t>Amendment of the Authority for European Political Parties and European Political Foundations' Regulation</w:t>
        </w:r>
        <w:r>
          <w:rPr>
            <w:noProof/>
            <w:webHidden/>
          </w:rPr>
          <w:tab/>
        </w:r>
        <w:r>
          <w:rPr>
            <w:noProof/>
            <w:webHidden/>
          </w:rPr>
          <w:fldChar w:fldCharType="begin"/>
        </w:r>
        <w:r>
          <w:rPr>
            <w:noProof/>
            <w:webHidden/>
          </w:rPr>
          <w:instrText xml:space="preserve"> PAGEREF _Toc527106863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527106864" w:history="1">
        <w:r>
          <w:rPr>
            <w:rStyle w:val="Hyperlink"/>
            <w:noProof/>
          </w:rPr>
          <w:t>5.</w:t>
        </w:r>
        <w:r>
          <w:rPr>
            <w:rFonts w:asciiTheme="minorHAnsi" w:eastAsiaTheme="minorEastAsia" w:hAnsiTheme="minorHAnsi" w:cstheme="minorBidi"/>
            <w:b w:val="0"/>
            <w:bCs w:val="0"/>
            <w:caps w:val="0"/>
            <w:noProof/>
            <w:sz w:val="22"/>
            <w:szCs w:val="22"/>
          </w:rPr>
          <w:tab/>
        </w:r>
        <w:r>
          <w:rPr>
            <w:rStyle w:val="Hyperlink"/>
            <w:noProof/>
          </w:rPr>
          <w:t>Other adjustments based on recent developments</w:t>
        </w:r>
        <w:r>
          <w:rPr>
            <w:noProof/>
            <w:webHidden/>
          </w:rPr>
          <w:tab/>
        </w:r>
        <w:r>
          <w:rPr>
            <w:noProof/>
            <w:webHidden/>
          </w:rPr>
          <w:fldChar w:fldCharType="begin"/>
        </w:r>
        <w:r>
          <w:rPr>
            <w:noProof/>
            <w:webHidden/>
          </w:rPr>
          <w:instrText xml:space="preserve"> PAGEREF _Toc527106864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527106865" w:history="1">
        <w:r>
          <w:rPr>
            <w:rStyle w:val="Hyperlink"/>
            <w:rFonts w:eastAsia="Calibri"/>
            <w:b/>
            <w:noProof/>
            <w:lang w:eastAsia="en-US"/>
          </w:rPr>
          <w:t xml:space="preserve">5.1 </w:t>
        </w:r>
        <w:r>
          <w:rPr>
            <w:rFonts w:asciiTheme="minorHAnsi" w:eastAsiaTheme="minorEastAsia" w:hAnsiTheme="minorHAnsi" w:cstheme="minorBidi"/>
            <w:smallCaps w:val="0"/>
            <w:noProof/>
            <w:sz w:val="22"/>
            <w:szCs w:val="22"/>
          </w:rPr>
          <w:tab/>
        </w:r>
        <w:r>
          <w:rPr>
            <w:rStyle w:val="Hyperlink"/>
            <w:rFonts w:eastAsia="Calibri"/>
            <w:b/>
            <w:noProof/>
            <w:lang w:eastAsia="en-US"/>
          </w:rPr>
          <w:t>Reinforcement of the EU contribution to the European Union Agency for Law Enforcement Cooperation</w:t>
        </w:r>
        <w:r>
          <w:rPr>
            <w:noProof/>
            <w:webHidden/>
          </w:rPr>
          <w:tab/>
        </w:r>
        <w:r>
          <w:rPr>
            <w:noProof/>
            <w:webHidden/>
          </w:rPr>
          <w:fldChar w:fldCharType="begin"/>
        </w:r>
        <w:r>
          <w:rPr>
            <w:noProof/>
            <w:webHidden/>
          </w:rPr>
          <w:instrText xml:space="preserve"> PAGEREF _Toc527106865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527106866" w:history="1">
        <w:r>
          <w:rPr>
            <w:rStyle w:val="Hyperlink"/>
            <w:rFonts w:eastAsia="Calibri"/>
            <w:b/>
            <w:noProof/>
            <w:lang w:eastAsia="en-US"/>
          </w:rPr>
          <w:t xml:space="preserve">5.2 </w:t>
        </w:r>
        <w:r>
          <w:rPr>
            <w:rFonts w:asciiTheme="minorHAnsi" w:eastAsiaTheme="minorEastAsia" w:hAnsiTheme="minorHAnsi" w:cstheme="minorBidi"/>
            <w:smallCaps w:val="0"/>
            <w:noProof/>
            <w:sz w:val="22"/>
            <w:szCs w:val="22"/>
          </w:rPr>
          <w:tab/>
        </w:r>
        <w:r>
          <w:rPr>
            <w:rStyle w:val="Hyperlink"/>
            <w:rFonts w:eastAsia="Calibri"/>
            <w:b/>
            <w:noProof/>
            <w:lang w:eastAsia="en-US"/>
          </w:rPr>
          <w:t>Reinforcement of the European Public Prosecutor’s Office</w:t>
        </w:r>
        <w:r>
          <w:rPr>
            <w:noProof/>
            <w:webHidden/>
          </w:rPr>
          <w:tab/>
        </w:r>
        <w:r>
          <w:rPr>
            <w:noProof/>
            <w:webHidden/>
          </w:rPr>
          <w:fldChar w:fldCharType="begin"/>
        </w:r>
        <w:r>
          <w:rPr>
            <w:noProof/>
            <w:webHidden/>
          </w:rPr>
          <w:instrText xml:space="preserve"> PAGEREF _Toc527106866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527106867" w:history="1">
        <w:r>
          <w:rPr>
            <w:rStyle w:val="Hyperlink"/>
            <w:rFonts w:eastAsia="Calibri"/>
            <w:b/>
            <w:noProof/>
            <w:lang w:eastAsia="en-US"/>
          </w:rPr>
          <w:t xml:space="preserve">5.3 </w:t>
        </w:r>
        <w:r>
          <w:rPr>
            <w:rFonts w:asciiTheme="minorHAnsi" w:eastAsiaTheme="minorEastAsia" w:hAnsiTheme="minorHAnsi" w:cstheme="minorBidi"/>
            <w:smallCaps w:val="0"/>
            <w:noProof/>
            <w:sz w:val="22"/>
            <w:szCs w:val="22"/>
          </w:rPr>
          <w:tab/>
        </w:r>
        <w:r>
          <w:rPr>
            <w:rStyle w:val="Hyperlink"/>
            <w:rFonts w:eastAsia="Calibri"/>
            <w:b/>
            <w:noProof/>
            <w:lang w:eastAsia="en-US"/>
          </w:rPr>
          <w:t>Modification of the establishment plan of the European Agency for the operational management of large-scale IT systems in the area of freedom, security and justice</w:t>
        </w:r>
        <w:r>
          <w:rPr>
            <w:noProof/>
            <w:webHidden/>
          </w:rPr>
          <w:tab/>
        </w:r>
        <w:r>
          <w:rPr>
            <w:noProof/>
            <w:webHidden/>
          </w:rPr>
          <w:fldChar w:fldCharType="begin"/>
        </w:r>
        <w:r>
          <w:rPr>
            <w:noProof/>
            <w:webHidden/>
          </w:rPr>
          <w:instrText xml:space="preserve"> PAGEREF _Toc527106867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527106868" w:history="1">
        <w:r>
          <w:rPr>
            <w:rStyle w:val="Hyperlink"/>
            <w:rFonts w:eastAsia="Calibri"/>
            <w:b/>
            <w:noProof/>
            <w:lang w:eastAsia="en-US"/>
          </w:rPr>
          <w:t xml:space="preserve">5.4 </w:t>
        </w:r>
        <w:r>
          <w:rPr>
            <w:rFonts w:asciiTheme="minorHAnsi" w:eastAsiaTheme="minorEastAsia" w:hAnsiTheme="minorHAnsi" w:cstheme="minorBidi"/>
            <w:smallCaps w:val="0"/>
            <w:noProof/>
            <w:sz w:val="22"/>
            <w:szCs w:val="22"/>
          </w:rPr>
          <w:tab/>
        </w:r>
        <w:r>
          <w:rPr>
            <w:rStyle w:val="Hyperlink"/>
            <w:rFonts w:eastAsia="Calibri"/>
            <w:b/>
            <w:noProof/>
            <w:lang w:eastAsia="en-US"/>
          </w:rPr>
          <w:t>Reinforcement of the European External Action Service</w:t>
        </w:r>
        <w:r>
          <w:rPr>
            <w:noProof/>
            <w:webHidden/>
          </w:rPr>
          <w:tab/>
        </w:r>
        <w:r>
          <w:rPr>
            <w:noProof/>
            <w:webHidden/>
          </w:rPr>
          <w:fldChar w:fldCharType="begin"/>
        </w:r>
        <w:r>
          <w:rPr>
            <w:noProof/>
            <w:webHidden/>
          </w:rPr>
          <w:instrText xml:space="preserve"> PAGEREF _Toc527106868 \h </w:instrText>
        </w:r>
        <w:r>
          <w:rPr>
            <w:noProof/>
            <w:webHidden/>
          </w:rPr>
        </w:r>
        <w:r>
          <w:rPr>
            <w:noProof/>
            <w:webHidden/>
          </w:rPr>
          <w:fldChar w:fldCharType="separate"/>
        </w:r>
        <w:r>
          <w:rPr>
            <w:noProof/>
            <w:webHidden/>
          </w:rPr>
          <w:t>12</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527106869" w:history="1">
        <w:r>
          <w:rPr>
            <w:rStyle w:val="Hyperlink"/>
            <w:noProof/>
          </w:rPr>
          <w:t>6.</w:t>
        </w:r>
        <w:r>
          <w:rPr>
            <w:rFonts w:asciiTheme="minorHAnsi" w:eastAsiaTheme="minorEastAsia" w:hAnsiTheme="minorHAnsi" w:cstheme="minorBidi"/>
            <w:b w:val="0"/>
            <w:bCs w:val="0"/>
            <w:caps w:val="0"/>
            <w:noProof/>
            <w:sz w:val="22"/>
            <w:szCs w:val="22"/>
          </w:rPr>
          <w:tab/>
        </w:r>
        <w:r>
          <w:rPr>
            <w:rStyle w:val="Hyperlink"/>
            <w:noProof/>
          </w:rPr>
          <w:t>Technical corrections</w:t>
        </w:r>
        <w:r>
          <w:rPr>
            <w:noProof/>
            <w:webHidden/>
          </w:rPr>
          <w:tab/>
        </w:r>
        <w:r>
          <w:rPr>
            <w:noProof/>
            <w:webHidden/>
          </w:rPr>
          <w:fldChar w:fldCharType="begin"/>
        </w:r>
        <w:r>
          <w:rPr>
            <w:noProof/>
            <w:webHidden/>
          </w:rPr>
          <w:instrText xml:space="preserve"> PAGEREF _Toc527106869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527106870" w:history="1">
        <w:r>
          <w:rPr>
            <w:rStyle w:val="Hyperlink"/>
            <w:rFonts w:eastAsia="Calibri"/>
            <w:b/>
            <w:noProof/>
            <w:lang w:eastAsia="en-US"/>
          </w:rPr>
          <w:t xml:space="preserve">6.1 </w:t>
        </w:r>
        <w:r>
          <w:rPr>
            <w:rFonts w:asciiTheme="minorHAnsi" w:eastAsiaTheme="minorEastAsia" w:hAnsiTheme="minorHAnsi" w:cstheme="minorBidi"/>
            <w:smallCaps w:val="0"/>
            <w:noProof/>
            <w:sz w:val="22"/>
            <w:szCs w:val="22"/>
          </w:rPr>
          <w:tab/>
        </w:r>
        <w:r>
          <w:rPr>
            <w:rStyle w:val="Hyperlink"/>
            <w:rFonts w:eastAsia="Calibri"/>
            <w:b/>
            <w:noProof/>
            <w:lang w:eastAsia="en-US"/>
          </w:rPr>
          <w:t>Modifying the establishment plan of the Europan Medicines Agency</w:t>
        </w:r>
        <w:r>
          <w:rPr>
            <w:noProof/>
            <w:webHidden/>
          </w:rPr>
          <w:tab/>
        </w:r>
        <w:r>
          <w:rPr>
            <w:noProof/>
            <w:webHidden/>
          </w:rPr>
          <w:fldChar w:fldCharType="begin"/>
        </w:r>
        <w:r>
          <w:rPr>
            <w:noProof/>
            <w:webHidden/>
          </w:rPr>
          <w:instrText xml:space="preserve"> PAGEREF _Toc527106870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527106871" w:history="1">
        <w:r>
          <w:rPr>
            <w:rStyle w:val="Hyperlink"/>
            <w:rFonts w:eastAsia="Calibri"/>
            <w:b/>
            <w:noProof/>
            <w:lang w:eastAsia="en-US"/>
          </w:rPr>
          <w:t xml:space="preserve">6.2 </w:t>
        </w:r>
        <w:r>
          <w:rPr>
            <w:rFonts w:asciiTheme="minorHAnsi" w:eastAsiaTheme="minorEastAsia" w:hAnsiTheme="minorHAnsi" w:cstheme="minorBidi"/>
            <w:smallCaps w:val="0"/>
            <w:noProof/>
            <w:sz w:val="22"/>
            <w:szCs w:val="22"/>
          </w:rPr>
          <w:tab/>
        </w:r>
        <w:r>
          <w:rPr>
            <w:rStyle w:val="Hyperlink"/>
            <w:rFonts w:eastAsia="Calibri"/>
            <w:b/>
            <w:noProof/>
            <w:lang w:eastAsia="en-US"/>
          </w:rPr>
          <w:t>Modifying the budget remark of Interoperability Solutions and common frameworks for  European public administrations, businesses and citizens (ISA²) support expenditure</w:t>
        </w:r>
        <w:r>
          <w:rPr>
            <w:noProof/>
            <w:webHidden/>
          </w:rPr>
          <w:tab/>
        </w:r>
        <w:r>
          <w:rPr>
            <w:noProof/>
            <w:webHidden/>
          </w:rPr>
          <w:fldChar w:fldCharType="begin"/>
        </w:r>
        <w:r>
          <w:rPr>
            <w:noProof/>
            <w:webHidden/>
          </w:rPr>
          <w:instrText xml:space="preserve"> PAGEREF _Toc527106871 \h </w:instrText>
        </w:r>
        <w:r>
          <w:rPr>
            <w:noProof/>
            <w:webHidden/>
          </w:rPr>
        </w:r>
        <w:r>
          <w:rPr>
            <w:noProof/>
            <w:webHidden/>
          </w:rPr>
          <w:fldChar w:fldCharType="separate"/>
        </w:r>
        <w:r>
          <w:rPr>
            <w:noProof/>
            <w:webHidden/>
          </w:rPr>
          <w:t>16</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527106872" w:history="1">
        <w:r>
          <w:rPr>
            <w:rStyle w:val="Hyperlink"/>
            <w:noProof/>
          </w:rPr>
          <w:t>7.</w:t>
        </w:r>
        <w:r>
          <w:rPr>
            <w:rFonts w:asciiTheme="minorHAnsi" w:eastAsiaTheme="minorEastAsia" w:hAnsiTheme="minorHAnsi" w:cstheme="minorBidi"/>
            <w:b w:val="0"/>
            <w:bCs w:val="0"/>
            <w:caps w:val="0"/>
            <w:noProof/>
            <w:sz w:val="22"/>
            <w:szCs w:val="22"/>
          </w:rPr>
          <w:tab/>
        </w:r>
        <w:r>
          <w:rPr>
            <w:rStyle w:val="Hyperlink"/>
            <w:noProof/>
          </w:rPr>
          <w:t>Summary Table by MFF Heading</w:t>
        </w:r>
        <w:r>
          <w:rPr>
            <w:noProof/>
            <w:webHidden/>
          </w:rPr>
          <w:tab/>
        </w:r>
        <w:r>
          <w:rPr>
            <w:noProof/>
            <w:webHidden/>
          </w:rPr>
          <w:fldChar w:fldCharType="begin"/>
        </w:r>
        <w:r>
          <w:rPr>
            <w:noProof/>
            <w:webHidden/>
          </w:rPr>
          <w:instrText xml:space="preserve"> PAGEREF _Toc527106872 \h </w:instrText>
        </w:r>
        <w:r>
          <w:rPr>
            <w:noProof/>
            <w:webHidden/>
          </w:rPr>
        </w:r>
        <w:r>
          <w:rPr>
            <w:noProof/>
            <w:webHidden/>
          </w:rPr>
          <w:fldChar w:fldCharType="separate"/>
        </w:r>
        <w:r>
          <w:rPr>
            <w:noProof/>
            <w:webHidden/>
          </w:rPr>
          <w:t>17</w:t>
        </w:r>
        <w:r>
          <w:rPr>
            <w:noProof/>
            <w:webHidden/>
          </w:rPr>
          <w:fldChar w:fldCharType="end"/>
        </w:r>
      </w:hyperlink>
    </w:p>
    <w:p>
      <w:pPr>
        <w:rPr>
          <w:noProof/>
          <w:lang w:eastAsia="de-DE"/>
        </w:rPr>
        <w:sectPr>
          <w:headerReference w:type="even" r:id="rId23"/>
          <w:headerReference w:type="default" r:id="rId24"/>
          <w:footerReference w:type="even" r:id="rId25"/>
          <w:footerReference w:type="default" r:id="rId26"/>
          <w:headerReference w:type="first" r:id="rId27"/>
          <w:footerReference w:type="first" r:id="rId28"/>
          <w:pgSz w:w="11907" w:h="16839"/>
          <w:pgMar w:top="826" w:right="1418" w:bottom="1418" w:left="1418" w:header="284" w:footer="709" w:gutter="0"/>
          <w:cols w:space="720"/>
        </w:sectPr>
      </w:pPr>
      <w:r>
        <w:rPr>
          <w:noProof/>
        </w:rPr>
        <w:fldChar w:fldCharType="end"/>
      </w:r>
    </w:p>
    <w:p>
      <w:pPr>
        <w:pStyle w:val="ManualHeading1"/>
        <w:spacing w:before="240"/>
        <w:ind w:left="0" w:firstLine="0"/>
        <w:rPr>
          <w:noProof/>
        </w:rPr>
      </w:pPr>
      <w:bookmarkStart w:id="8" w:name="_Toc462410042"/>
      <w:bookmarkStart w:id="9" w:name="_Toc527106851"/>
      <w:bookmarkStart w:id="10" w:name="_Toc526753779"/>
      <w:bookmarkStart w:id="11" w:name="_Toc385506031"/>
      <w:bookmarkStart w:id="12" w:name="_Toc430865946"/>
      <w:bookmarkStart w:id="13" w:name="_Toc430867524"/>
      <w:bookmarkStart w:id="14" w:name="_Toc463264162"/>
      <w:bookmarkStart w:id="15" w:name="_Toc351469332"/>
      <w:bookmarkStart w:id="16" w:name="_Toc361649879"/>
      <w:r>
        <w:rPr>
          <w:noProof/>
        </w:rPr>
        <w:lastRenderedPageBreak/>
        <w:t>1.</w:t>
      </w:r>
      <w:r>
        <w:rPr>
          <w:noProof/>
        </w:rPr>
        <w:tab/>
        <w:t>Introduction</w:t>
      </w:r>
      <w:bookmarkEnd w:id="8"/>
      <w:bookmarkEnd w:id="9"/>
      <w:bookmarkEnd w:id="10"/>
    </w:p>
    <w:bookmarkEnd w:id="2"/>
    <w:bookmarkEnd w:id="3"/>
    <w:bookmarkEnd w:id="4"/>
    <w:bookmarkEnd w:id="5"/>
    <w:bookmarkEnd w:id="6"/>
    <w:bookmarkEnd w:id="7"/>
    <w:bookmarkEnd w:id="11"/>
    <w:bookmarkEnd w:id="12"/>
    <w:bookmarkEnd w:id="13"/>
    <w:bookmarkEnd w:id="14"/>
    <w:bookmarkEnd w:id="15"/>
    <w:bookmarkEnd w:id="16"/>
    <w:p>
      <w:pPr>
        <w:spacing w:before="120" w:after="120"/>
        <w:jc w:val="both"/>
        <w:rPr>
          <w:noProof/>
          <w:szCs w:val="20"/>
          <w:lang w:eastAsia="de-DE"/>
        </w:rPr>
      </w:pPr>
      <w:r>
        <w:rPr>
          <w:noProof/>
          <w:szCs w:val="20"/>
          <w:lang w:eastAsia="de-DE"/>
        </w:rPr>
        <w:t>This Amending Letter No 1 to the draft budget for the year 2019 (AL 1/2019) covers the following:</w:t>
      </w:r>
    </w:p>
    <w:p>
      <w:pPr>
        <w:numPr>
          <w:ilvl w:val="0"/>
          <w:numId w:val="10"/>
        </w:numPr>
        <w:spacing w:before="120" w:after="120"/>
        <w:jc w:val="both"/>
        <w:rPr>
          <w:noProof/>
          <w:szCs w:val="20"/>
          <w:lang w:eastAsia="de-DE"/>
        </w:rPr>
      </w:pPr>
      <w:r>
        <w:rPr>
          <w:noProof/>
        </w:rPr>
        <w:t>The updating of the estimated needs, assigned revenue and appropriations for agricultural expenditure. In addition to changing market factors, AL 1/2019 also incorporates the impact of decisions in the agricultural sector since the DB 2019 was adopted in June 2018, as well as other proposals expected to have a significant effect during 2019.</w:t>
      </w:r>
    </w:p>
    <w:p>
      <w:pPr>
        <w:numPr>
          <w:ilvl w:val="0"/>
          <w:numId w:val="10"/>
        </w:numPr>
        <w:spacing w:before="120" w:after="120"/>
        <w:jc w:val="both"/>
        <w:rPr>
          <w:noProof/>
        </w:rPr>
      </w:pPr>
      <w:r>
        <w:rPr>
          <w:noProof/>
        </w:rPr>
        <w:t>The updating of the commitment and payment appropriations as a result of recent political agreements reached between the European Parliament and the Council on the following proposals of the Commission:</w:t>
      </w:r>
    </w:p>
    <w:p>
      <w:pPr>
        <w:numPr>
          <w:ilvl w:val="1"/>
          <w:numId w:val="10"/>
        </w:numPr>
        <w:spacing w:before="120" w:after="120"/>
        <w:jc w:val="both"/>
        <w:rPr>
          <w:noProof/>
        </w:rPr>
      </w:pPr>
      <w:r>
        <w:rPr>
          <w:noProof/>
        </w:rPr>
        <w:t>The creation of the European Defence Industrial Development Programme;</w:t>
      </w:r>
    </w:p>
    <w:p>
      <w:pPr>
        <w:numPr>
          <w:ilvl w:val="1"/>
          <w:numId w:val="10"/>
        </w:numPr>
        <w:spacing w:before="120" w:after="120"/>
        <w:jc w:val="both"/>
        <w:rPr>
          <w:noProof/>
        </w:rPr>
      </w:pPr>
      <w:r>
        <w:rPr>
          <w:noProof/>
        </w:rPr>
        <w:t>The creation of the European Solidarity Corps;</w:t>
      </w:r>
    </w:p>
    <w:p>
      <w:pPr>
        <w:numPr>
          <w:ilvl w:val="1"/>
          <w:numId w:val="10"/>
        </w:numPr>
        <w:spacing w:before="120" w:after="120"/>
        <w:jc w:val="both"/>
        <w:rPr>
          <w:noProof/>
        </w:rPr>
      </w:pPr>
      <w:r>
        <w:rPr>
          <w:noProof/>
        </w:rPr>
        <w:t>The adaptation of the general objective and the increase of the financial envelope of the Structural Reform Support Porgramme.</w:t>
      </w:r>
    </w:p>
    <w:p>
      <w:pPr>
        <w:numPr>
          <w:ilvl w:val="0"/>
          <w:numId w:val="10"/>
        </w:numPr>
        <w:spacing w:before="120" w:after="120"/>
        <w:jc w:val="both"/>
        <w:rPr>
          <w:noProof/>
        </w:rPr>
      </w:pPr>
      <w:r>
        <w:rPr>
          <w:noProof/>
        </w:rPr>
        <w:t>The impact of new initiatives recently tabled by the Commission concerning:</w:t>
      </w:r>
    </w:p>
    <w:p>
      <w:pPr>
        <w:numPr>
          <w:ilvl w:val="1"/>
          <w:numId w:val="10"/>
        </w:numPr>
        <w:spacing w:before="120" w:after="120"/>
        <w:jc w:val="both"/>
        <w:rPr>
          <w:noProof/>
        </w:rPr>
      </w:pPr>
      <w:r>
        <w:rPr>
          <w:noProof/>
        </w:rPr>
        <w:t>The European Border and Coast Guard Agency;</w:t>
      </w:r>
    </w:p>
    <w:p>
      <w:pPr>
        <w:numPr>
          <w:ilvl w:val="1"/>
          <w:numId w:val="10"/>
        </w:numPr>
        <w:spacing w:before="120" w:after="120"/>
        <w:jc w:val="both"/>
        <w:rPr>
          <w:noProof/>
        </w:rPr>
      </w:pPr>
      <w:r>
        <w:rPr>
          <w:noProof/>
        </w:rPr>
        <w:t xml:space="preserve">The European Union Agency for Asylum; </w:t>
      </w:r>
    </w:p>
    <w:p>
      <w:pPr>
        <w:numPr>
          <w:ilvl w:val="1"/>
          <w:numId w:val="10"/>
        </w:numPr>
        <w:spacing w:before="120" w:after="120"/>
        <w:jc w:val="both"/>
        <w:rPr>
          <w:noProof/>
        </w:rPr>
      </w:pPr>
      <w:r>
        <w:rPr>
          <w:noProof/>
        </w:rPr>
        <w:t>The Authority for European Political Parties and European Political Foundations.</w:t>
      </w:r>
    </w:p>
    <w:p>
      <w:pPr>
        <w:numPr>
          <w:ilvl w:val="0"/>
          <w:numId w:val="10"/>
        </w:numPr>
        <w:spacing w:before="120" w:after="120"/>
        <w:jc w:val="both"/>
        <w:rPr>
          <w:noProof/>
        </w:rPr>
      </w:pPr>
      <w:r>
        <w:rPr>
          <w:noProof/>
        </w:rPr>
        <w:t>Other adjustments based on the latest developments concerning Europol, eu-LISA, the European Public Prosecutor’s Office, the European External Action Service and the sustainable fisheries partnership agreements;</w:t>
      </w:r>
    </w:p>
    <w:p>
      <w:pPr>
        <w:numPr>
          <w:ilvl w:val="0"/>
          <w:numId w:val="10"/>
        </w:numPr>
        <w:spacing w:before="120" w:after="120"/>
        <w:jc w:val="both"/>
        <w:rPr>
          <w:noProof/>
        </w:rPr>
      </w:pPr>
      <w:r>
        <w:rPr>
          <w:noProof/>
        </w:rPr>
        <w:t>Technical corrections as regards the establishment plan of the European Medicines Agency and the budget remark of the support expenditure line of the ISA² programme.</w:t>
      </w:r>
    </w:p>
    <w:p>
      <w:pPr>
        <w:spacing w:before="120" w:after="120"/>
        <w:jc w:val="both"/>
        <w:rPr>
          <w:noProof/>
          <w:szCs w:val="20"/>
          <w:lang w:eastAsia="de-DE"/>
        </w:rPr>
      </w:pPr>
      <w:bookmarkStart w:id="17" w:name="_Toc463264163"/>
      <w:r>
        <w:rPr>
          <w:noProof/>
          <w:szCs w:val="20"/>
          <w:lang w:eastAsia="de-DE"/>
        </w:rPr>
        <w:t>Overall, the net impact of AL 1/2019 on expenditure in the draft budget 2019 is a decrease of EUR 45,0 million in commitment appropriations and EUR 85,0 million in payment appropriations.</w:t>
      </w:r>
    </w:p>
    <w:p>
      <w:pPr>
        <w:pStyle w:val="ManualHeading1"/>
        <w:spacing w:before="240"/>
        <w:ind w:left="0" w:firstLine="0"/>
        <w:rPr>
          <w:noProof/>
        </w:rPr>
      </w:pPr>
      <w:bookmarkStart w:id="18" w:name="_Toc527106852"/>
      <w:bookmarkStart w:id="19" w:name="_Toc526753780"/>
      <w:r>
        <w:rPr>
          <w:noProof/>
        </w:rPr>
        <w:t>2.</w:t>
      </w:r>
      <w:r>
        <w:rPr>
          <w:noProof/>
        </w:rPr>
        <w:tab/>
      </w:r>
      <w:bookmarkEnd w:id="17"/>
      <w:r>
        <w:rPr>
          <w:noProof/>
        </w:rPr>
        <w:t>European Agriculture Guarantee Fund</w:t>
      </w:r>
      <w:bookmarkEnd w:id="18"/>
      <w:r>
        <w:rPr>
          <w:noProof/>
        </w:rPr>
        <w:t xml:space="preserve"> </w:t>
      </w:r>
      <w:bookmarkEnd w:id="19"/>
    </w:p>
    <w:p>
      <w:pPr>
        <w:keepNext/>
        <w:tabs>
          <w:tab w:val="left" w:pos="850"/>
        </w:tabs>
        <w:spacing w:before="360" w:after="120"/>
        <w:ind w:left="357" w:hanging="357"/>
        <w:jc w:val="both"/>
        <w:outlineLvl w:val="1"/>
        <w:rPr>
          <w:rFonts w:eastAsia="Calibri"/>
          <w:b/>
          <w:noProof/>
          <w:lang w:eastAsia="en-US"/>
        </w:rPr>
      </w:pPr>
      <w:bookmarkStart w:id="20" w:name="_Toc462933829"/>
      <w:bookmarkStart w:id="21" w:name="_Toc462935190"/>
      <w:bookmarkStart w:id="22" w:name="_Toc462935292"/>
      <w:bookmarkStart w:id="23" w:name="_Toc462935340"/>
      <w:bookmarkStart w:id="24" w:name="_Toc462935497"/>
      <w:bookmarkStart w:id="25" w:name="_Toc463004731"/>
      <w:bookmarkStart w:id="26" w:name="_Toc463264164"/>
      <w:bookmarkStart w:id="27" w:name="_Toc463376628"/>
      <w:bookmarkStart w:id="28" w:name="_Toc463438680"/>
      <w:bookmarkStart w:id="29" w:name="_Toc463438848"/>
      <w:bookmarkStart w:id="30" w:name="_Toc463462765"/>
      <w:bookmarkStart w:id="31" w:name="_Toc463974150"/>
      <w:bookmarkStart w:id="32" w:name="_Toc464028191"/>
      <w:bookmarkStart w:id="33" w:name="_Toc462933830"/>
      <w:bookmarkStart w:id="34" w:name="_Toc462935191"/>
      <w:bookmarkStart w:id="35" w:name="_Toc462935293"/>
      <w:bookmarkStart w:id="36" w:name="_Toc462935341"/>
      <w:bookmarkStart w:id="37" w:name="_Toc462935498"/>
      <w:bookmarkStart w:id="38" w:name="_Toc463004732"/>
      <w:bookmarkStart w:id="39" w:name="_Toc463264165"/>
      <w:bookmarkStart w:id="40" w:name="_Toc463376629"/>
      <w:bookmarkStart w:id="41" w:name="_Toc463438681"/>
      <w:bookmarkStart w:id="42" w:name="_Toc463438849"/>
      <w:bookmarkStart w:id="43" w:name="_Toc463462766"/>
      <w:bookmarkStart w:id="44" w:name="_Toc463974151"/>
      <w:bookmarkStart w:id="45" w:name="_Toc464028192"/>
      <w:bookmarkStart w:id="46" w:name="_Toc464028333"/>
      <w:bookmarkStart w:id="47" w:name="_Toc527106853"/>
      <w:bookmarkStart w:id="48" w:name="_Toc52675378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eastAsia="Calibri"/>
          <w:b/>
          <w:noProof/>
          <w:lang w:eastAsia="en-US"/>
        </w:rPr>
        <w:t xml:space="preserve">2.1 </w:t>
      </w:r>
      <w:r>
        <w:rPr>
          <w:rFonts w:eastAsia="Calibri"/>
          <w:b/>
          <w:noProof/>
          <w:lang w:eastAsia="en-US"/>
        </w:rPr>
        <w:tab/>
        <w:t>Overview</w:t>
      </w:r>
      <w:bookmarkEnd w:id="47"/>
      <w:bookmarkEnd w:id="48"/>
    </w:p>
    <w:p>
      <w:pPr>
        <w:autoSpaceDE w:val="0"/>
        <w:autoSpaceDN w:val="0"/>
        <w:adjustRightInd w:val="0"/>
        <w:spacing w:before="120" w:after="120"/>
        <w:jc w:val="both"/>
        <w:rPr>
          <w:noProof/>
        </w:rPr>
      </w:pPr>
      <w:r>
        <w:rPr>
          <w:noProof/>
        </w:rPr>
        <w:t xml:space="preserve">The purpose of AL 1/2019 is to update estimates for agricultural expenditure based on the most up-to-date economic data and legislative framework. By late September 2018, the Commission has at its disposal a first indication of the level of production for 2018 and outlook for the agricultural markets, which are the basis for the updated estimates of the budgetary needs for 2019. </w:t>
      </w:r>
    </w:p>
    <w:p>
      <w:pPr>
        <w:autoSpaceDE w:val="0"/>
        <w:autoSpaceDN w:val="0"/>
        <w:adjustRightInd w:val="0"/>
        <w:spacing w:before="120" w:after="120"/>
        <w:jc w:val="both"/>
        <w:rPr>
          <w:noProof/>
        </w:rPr>
      </w:pPr>
      <w:r>
        <w:rPr>
          <w:noProof/>
        </w:rPr>
        <w:t>Apart from taking into account market factors, this AL 1/2019 also incorporates the impact of legislative decisions in the agricultural sector since the draft budget 2019 was drawn up in May 2018, as well as for some that are still under preparation, but to be adopted soon.</w:t>
      </w:r>
    </w:p>
    <w:p>
      <w:pPr>
        <w:spacing w:after="200" w:line="276" w:lineRule="auto"/>
        <w:rPr>
          <w:noProof/>
        </w:rPr>
      </w:pPr>
      <w:r>
        <w:rPr>
          <w:noProof/>
        </w:rPr>
        <w:br w:type="page"/>
      </w:r>
    </w:p>
    <w:p>
      <w:pPr>
        <w:autoSpaceDE w:val="0"/>
        <w:autoSpaceDN w:val="0"/>
        <w:adjustRightInd w:val="0"/>
        <w:spacing w:before="120" w:after="120"/>
        <w:jc w:val="both"/>
        <w:rPr>
          <w:noProof/>
        </w:rPr>
      </w:pPr>
      <w:r>
        <w:rPr>
          <w:noProof/>
        </w:rPr>
        <w:t>Overall, 2019 EAGF needs</w:t>
      </w:r>
      <w:r>
        <w:rPr>
          <w:b/>
          <w:noProof/>
        </w:rPr>
        <w:t xml:space="preserve"> </w:t>
      </w:r>
      <w:r>
        <w:rPr>
          <w:noProof/>
        </w:rPr>
        <w:t>(after taking into account EAGF provisions related to 'financial discipline')</w:t>
      </w:r>
      <w:r>
        <w:rPr>
          <w:b/>
          <w:noProof/>
        </w:rPr>
        <w:t xml:space="preserve"> </w:t>
      </w:r>
      <w:r>
        <w:rPr>
          <w:noProof/>
        </w:rPr>
        <w:t xml:space="preserve">are currently estimated at EUR 44 254,4 million, which is an increase by EUR 91,9 million compared to the draft budget 2019. This increase is mostly due to some additional needs (+EUR 52,0 million) for chapter 05 03 </w:t>
      </w:r>
      <w:r>
        <w:rPr>
          <w:i/>
          <w:noProof/>
        </w:rPr>
        <w:t xml:space="preserve">Direct payments aimed at contributing to farm incomes, limiting farm incomes variability and meeting environment and climate objectives. </w:t>
      </w:r>
      <w:r>
        <w:rPr>
          <w:noProof/>
        </w:rPr>
        <w:t xml:space="preserve">Furthermore, there are limited modifications for chapter 05 02 </w:t>
      </w:r>
      <w:r>
        <w:rPr>
          <w:i/>
          <w:noProof/>
        </w:rPr>
        <w:t>Improving competitiveness of the agricultural sector through interventions in agricultural markets</w:t>
      </w:r>
      <w:r>
        <w:rPr>
          <w:noProof/>
        </w:rPr>
        <w:t xml:space="preserve"> as well as for chapter 05 07 </w:t>
      </w:r>
      <w:r>
        <w:rPr>
          <w:i/>
          <w:noProof/>
        </w:rPr>
        <w:t>Audit of agricultural expenditure financed by the European Agricultural Guarantee Fund (EAGF)</w:t>
      </w:r>
      <w:r>
        <w:rPr>
          <w:noProof/>
        </w:rPr>
        <w:t xml:space="preserve">, for respectively +EUR 10,0 million and +EUR 29,9 million. </w:t>
      </w:r>
    </w:p>
    <w:p>
      <w:pPr>
        <w:spacing w:before="120" w:after="120"/>
        <w:jc w:val="both"/>
        <w:rPr>
          <w:noProof/>
        </w:rPr>
      </w:pPr>
      <w:r>
        <w:rPr>
          <w:noProof/>
        </w:rPr>
        <w:t>The amount of assigned revenue expected to be available in 2019 increases from EUR 549,1 million in the draft budget 2019 to EUR 825,0 million (+EUR 275,9 million), more than compensating the additional needs. The update of estimates concerns the amounts originating from clearance of accounts decisions (+EUR 88,9 million) and irregularities (-EUR 4 million). Furthermore, AL 1/2019 incorporates an expected carry-over of assigned revenue from 2018 to 2019 for an amount of EUR 191,0 million (expected EAGF 'surplus')</w:t>
      </w:r>
      <w:r>
        <w:rPr>
          <w:noProof/>
          <w:vertAlign w:val="superscript"/>
        </w:rPr>
        <w:footnoteReference w:id="4"/>
      </w:r>
      <w:r>
        <w:rPr>
          <w:noProof/>
        </w:rPr>
        <w:t>. The estimated surplus does not include unused appropriations (EUR 459,5 million) of the 2018 agricultural crisis reserve, which will not be called on. These unused appropriations will be carried over for reimbursement to farmers subject to the financial discipline in 2019.</w:t>
      </w:r>
    </w:p>
    <w:p>
      <w:pPr>
        <w:autoSpaceDE w:val="0"/>
        <w:autoSpaceDN w:val="0"/>
        <w:adjustRightInd w:val="0"/>
        <w:spacing w:before="120" w:after="120"/>
        <w:jc w:val="both"/>
        <w:rPr>
          <w:noProof/>
        </w:rPr>
      </w:pPr>
      <w:r>
        <w:rPr>
          <w:noProof/>
        </w:rPr>
        <w:t xml:space="preserve">As a result of these updates, the Commission proposes to reduce the expenditure estimates for agriculture by -EUR 184,0 million compared to the draft budget 2019. Commitment appropriations of EUR 43 429,4 million, which include EUR 468,7 million for the </w:t>
      </w:r>
      <w:r>
        <w:rPr>
          <w:i/>
          <w:noProof/>
        </w:rPr>
        <w:t>Reserve for crises in the agricultural sector</w:t>
      </w:r>
      <w:r>
        <w:rPr>
          <w:noProof/>
        </w:rPr>
        <w:t>, are required to cover EAGF needs for 2019. This overall amount remains below the EAGF net sub-ceiling of EUR 43 880,3 million. This means that the financial discipline mechanism will only be applied to establish the agricultural crisis reserve for budget year 2019</w:t>
      </w:r>
      <w:r>
        <w:rPr>
          <w:noProof/>
          <w:vertAlign w:val="superscript"/>
        </w:rPr>
        <w:footnoteReference w:id="5"/>
      </w:r>
      <w:r>
        <w:rPr>
          <w:noProof/>
        </w:rPr>
        <w:t>.</w:t>
      </w:r>
    </w:p>
    <w:p>
      <w:pPr>
        <w:keepNext/>
        <w:tabs>
          <w:tab w:val="left" w:pos="850"/>
        </w:tabs>
        <w:spacing w:before="360" w:after="120"/>
        <w:ind w:left="357" w:hanging="357"/>
        <w:jc w:val="both"/>
        <w:outlineLvl w:val="1"/>
        <w:rPr>
          <w:rFonts w:eastAsia="Calibri"/>
          <w:b/>
          <w:noProof/>
          <w:lang w:eastAsia="en-US"/>
        </w:rPr>
      </w:pPr>
      <w:bookmarkStart w:id="49" w:name="_Toc527106854"/>
      <w:bookmarkStart w:id="50" w:name="_Toc526753782"/>
      <w:r>
        <w:rPr>
          <w:rFonts w:eastAsia="Calibri"/>
          <w:b/>
          <w:noProof/>
          <w:lang w:eastAsia="en-US"/>
        </w:rPr>
        <w:t xml:space="preserve">2.2 </w:t>
      </w:r>
      <w:r>
        <w:rPr>
          <w:rFonts w:eastAsia="Calibri"/>
          <w:b/>
          <w:noProof/>
          <w:lang w:eastAsia="en-US"/>
        </w:rPr>
        <w:tab/>
        <w:t>Detailed comments</w:t>
      </w:r>
      <w:bookmarkEnd w:id="49"/>
      <w:bookmarkEnd w:id="50"/>
    </w:p>
    <w:p>
      <w:pPr>
        <w:keepNext/>
        <w:spacing w:before="120" w:after="120"/>
        <w:jc w:val="both"/>
        <w:rPr>
          <w:b/>
          <w:i/>
          <w:noProof/>
        </w:rPr>
      </w:pPr>
      <w:r>
        <w:rPr>
          <w:b/>
          <w:noProof/>
        </w:rPr>
        <w:t>05 02 </w:t>
      </w:r>
      <w:r>
        <w:rPr>
          <w:noProof/>
        </w:rPr>
        <w:sym w:font="Symbol" w:char="F0BE"/>
      </w:r>
      <w:r>
        <w:rPr>
          <w:b/>
          <w:noProof/>
        </w:rPr>
        <w:t xml:space="preserve"> Improving competitiveness of the agricultural sector through interventions in agricultural markets </w:t>
      </w:r>
      <w:r>
        <w:rPr>
          <w:b/>
          <w:i/>
          <w:noProof/>
        </w:rPr>
        <w:t>(appropriations -EUR 30,0 million)</w:t>
      </w:r>
    </w:p>
    <w:tbl>
      <w:tblPr>
        <w:tblW w:w="9950" w:type="dxa"/>
        <w:tblLayout w:type="fixed"/>
        <w:tblCellMar>
          <w:left w:w="40" w:type="dxa"/>
          <w:right w:w="40" w:type="dxa"/>
        </w:tblCellMar>
        <w:tblLook w:val="0000" w:firstRow="0" w:lastRow="0" w:firstColumn="0" w:lastColumn="0" w:noHBand="0" w:noVBand="0"/>
      </w:tblPr>
      <w:tblGrid>
        <w:gridCol w:w="4009"/>
        <w:gridCol w:w="2092"/>
        <w:gridCol w:w="1725"/>
        <w:gridCol w:w="2124"/>
      </w:tblGrid>
      <w:tr>
        <w:trPr>
          <w:trHeight w:val="164"/>
          <w:tblHeader/>
        </w:trPr>
        <w:tc>
          <w:tcPr>
            <w:tcW w:w="9950" w:type="dxa"/>
            <w:gridSpan w:val="4"/>
            <w:tcBorders>
              <w:bottom w:val="single" w:sz="4" w:space="0" w:color="auto"/>
            </w:tcBorders>
            <w:shd w:val="clear" w:color="auto" w:fill="FFFFFF"/>
            <w:vAlign w:val="center"/>
          </w:tcPr>
          <w:p>
            <w:pPr>
              <w:keepNext/>
              <w:keepLines/>
              <w:jc w:val="right"/>
              <w:rPr>
                <w:noProof/>
                <w:sz w:val="16"/>
                <w:szCs w:val="16"/>
                <w:lang w:eastAsia="de-DE"/>
              </w:rPr>
            </w:pPr>
            <w:r>
              <w:rPr>
                <w:i/>
                <w:iCs/>
                <w:noProof/>
                <w:sz w:val="16"/>
                <w:szCs w:val="16"/>
                <w:lang w:eastAsia="de-DE"/>
              </w:rPr>
              <w:t>(in million EUR, rounded figures at current prices)</w:t>
            </w:r>
          </w:p>
        </w:tc>
      </w:tr>
      <w:tr>
        <w:trPr>
          <w:trHeight w:val="164"/>
          <w:tblHeader/>
        </w:trPr>
        <w:tc>
          <w:tcPr>
            <w:tcW w:w="4009" w:type="dxa"/>
            <w:tcBorders>
              <w:top w:val="single" w:sz="4" w:space="0" w:color="auto"/>
              <w:left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Interventions in agricultural markets</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Draft Budget 2019</w:t>
            </w:r>
          </w:p>
        </w:tc>
        <w:tc>
          <w:tcPr>
            <w:tcW w:w="1725"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Amending Letter</w:t>
            </w:r>
            <w:r>
              <w:rPr>
                <w:b/>
                <w:noProof/>
                <w:sz w:val="16"/>
                <w:szCs w:val="16"/>
                <w:lang w:eastAsia="de-DE"/>
              </w:rPr>
              <w:br/>
              <w:t xml:space="preserve"> No 1/2019</w:t>
            </w:r>
          </w:p>
        </w:tc>
        <w:tc>
          <w:tcPr>
            <w:tcW w:w="2124"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 xml:space="preserve">Draft Budget 2019 </w:t>
            </w:r>
            <w:r>
              <w:rPr>
                <w:b/>
                <w:noProof/>
                <w:sz w:val="16"/>
                <w:szCs w:val="16"/>
                <w:lang w:eastAsia="de-DE"/>
              </w:rPr>
              <w:br/>
              <w:t>(incl. AL 1/2019)</w:t>
            </w:r>
          </w:p>
        </w:tc>
      </w:tr>
      <w:tr>
        <w:trPr>
          <w:trHeight w:val="220"/>
        </w:trPr>
        <w:tc>
          <w:tcPr>
            <w:tcW w:w="4009"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szCs w:val="16"/>
              </w:rPr>
              <w:t>Needs</w:t>
            </w:r>
          </w:p>
        </w:tc>
        <w:tc>
          <w:tcPr>
            <w:tcW w:w="209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2 613,2</w:t>
            </w:r>
          </w:p>
        </w:tc>
        <w:tc>
          <w:tcPr>
            <w:tcW w:w="1725"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+10,0</w:t>
            </w:r>
          </w:p>
        </w:tc>
        <w:tc>
          <w:tcPr>
            <w:tcW w:w="2124"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2 623,2</w:t>
            </w:r>
          </w:p>
        </w:tc>
      </w:tr>
      <w:tr>
        <w:trPr>
          <w:trHeight w:val="220"/>
        </w:trPr>
        <w:tc>
          <w:tcPr>
            <w:tcW w:w="4009" w:type="dxa"/>
            <w:tcBorders>
              <w:top w:val="dotted" w:sz="4" w:space="0" w:color="auto"/>
              <w:left w:val="single" w:sz="4" w:space="0" w:color="auto"/>
              <w:bottom w:val="single" w:sz="4" w:space="0" w:color="auto"/>
              <w:right w:val="single" w:sz="4" w:space="0" w:color="auto"/>
            </w:tcBorders>
            <w:vAlign w:val="center"/>
          </w:tcPr>
          <w:p>
            <w:pPr>
              <w:keepNext/>
              <w:keepLines/>
              <w:spacing w:before="30" w:after="30"/>
              <w:rPr>
                <w:noProof/>
                <w:sz w:val="16"/>
                <w:szCs w:val="16"/>
              </w:rPr>
            </w:pPr>
            <w:r>
              <w:rPr>
                <w:noProof/>
                <w:sz w:val="16"/>
                <w:szCs w:val="16"/>
              </w:rPr>
              <w:t>-Estimated assigned revenue available in 2018</w:t>
            </w:r>
          </w:p>
        </w:tc>
        <w:tc>
          <w:tcPr>
            <w:tcW w:w="2092" w:type="dxa"/>
            <w:tcBorders>
              <w:top w:val="dotted" w:sz="4" w:space="0" w:color="auto"/>
              <w:left w:val="single" w:sz="4" w:space="0" w:color="auto"/>
              <w:bottom w:val="single" w:sz="4" w:space="0" w:color="auto"/>
              <w:right w:val="single" w:sz="4" w:space="0" w:color="auto"/>
            </w:tcBorders>
            <w:vAlign w:val="center"/>
          </w:tcPr>
          <w:p>
            <w:pPr>
              <w:keepNext/>
              <w:keepLines/>
              <w:spacing w:before="30" w:after="30"/>
              <w:jc w:val="right"/>
              <w:rPr>
                <w:noProof/>
                <w:sz w:val="16"/>
                <w:szCs w:val="16"/>
              </w:rPr>
            </w:pPr>
            <w:r>
              <w:rPr>
                <w:noProof/>
                <w:sz w:val="16"/>
                <w:szCs w:val="16"/>
              </w:rPr>
              <w:t>100,0</w:t>
            </w:r>
          </w:p>
        </w:tc>
        <w:tc>
          <w:tcPr>
            <w:tcW w:w="1725" w:type="dxa"/>
            <w:tcBorders>
              <w:top w:val="dotted" w:sz="4" w:space="0" w:color="auto"/>
              <w:left w:val="nil"/>
              <w:bottom w:val="single"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+40,0</w:t>
            </w:r>
          </w:p>
        </w:tc>
        <w:tc>
          <w:tcPr>
            <w:tcW w:w="2124" w:type="dxa"/>
            <w:tcBorders>
              <w:top w:val="dotted" w:sz="4" w:space="0" w:color="auto"/>
              <w:left w:val="nil"/>
              <w:bottom w:val="single"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140,0</w:t>
            </w:r>
          </w:p>
        </w:tc>
      </w:tr>
      <w:tr>
        <w:trPr>
          <w:trHeight w:val="220"/>
        </w:trPr>
        <w:tc>
          <w:tcPr>
            <w:tcW w:w="4009"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rPr>
                <w:b/>
                <w:noProof/>
                <w:sz w:val="16"/>
                <w:szCs w:val="16"/>
              </w:rPr>
            </w:pPr>
            <w:r>
              <w:rPr>
                <w:b/>
                <w:noProof/>
                <w:sz w:val="16"/>
                <w:szCs w:val="16"/>
              </w:rPr>
              <w:t>Appropriations requested</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2 513,2</w:t>
            </w:r>
          </w:p>
        </w:tc>
        <w:tc>
          <w:tcPr>
            <w:tcW w:w="1725"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-30,0</w:t>
            </w:r>
          </w:p>
        </w:tc>
        <w:tc>
          <w:tcPr>
            <w:tcW w:w="212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2 483,2</w:t>
            </w:r>
          </w:p>
        </w:tc>
      </w:tr>
    </w:tbl>
    <w:p>
      <w:pPr>
        <w:spacing w:before="120" w:after="120"/>
        <w:jc w:val="both"/>
        <w:rPr>
          <w:noProof/>
        </w:rPr>
      </w:pPr>
      <w:r>
        <w:rPr>
          <w:noProof/>
        </w:rPr>
        <w:t>Overall, the needs for intervention measures on agricultural markets slightly increase by EUR 10,0 million compared to the draft budget 2019. The appropriations requested in AL 1/2019 can be decreased by EUR 30,0 million, because the assigned revenue expected to be available for chapter 05 02 (amounting to EUR 140,0 million) is by EUR 40,0 million higher compared to the DB 2019.</w:t>
      </w:r>
    </w:p>
    <w:p>
      <w:pPr>
        <w:spacing w:after="200" w:line="276" w:lineRule="auto"/>
        <w:rPr>
          <w:noProof/>
        </w:rPr>
      </w:pPr>
      <w:r>
        <w:rPr>
          <w:noProof/>
        </w:rPr>
        <w:br w:type="page"/>
      </w:r>
    </w:p>
    <w:p>
      <w:pPr>
        <w:spacing w:before="120" w:after="120"/>
        <w:jc w:val="both"/>
        <w:rPr>
          <w:noProof/>
        </w:rPr>
      </w:pPr>
      <w:r>
        <w:rPr>
          <w:noProof/>
        </w:rPr>
        <w:t xml:space="preserve">For fruit and vegetables, the Commission is proposing a reduction of the appropriations for budget item 05 02 08 03 (Operational funds for producer organisations) by EUR 40 million compared to draft budget 2019. Additional assigned revenue will need to be collected in 2019 to cover all the needs. The appropriations resulting from this reduction will be used for redeployment to budget article 13 08 02 (SRSP – Operational technical assistance transferred from Heading 2), reflecting the political agreement reached between the European Parliament and the Council on the Commission proposal to increase the financial enevelope of the </w:t>
      </w:r>
      <w:r>
        <w:rPr>
          <w:rFonts w:eastAsia="Calibri"/>
          <w:noProof/>
          <w:lang w:eastAsia="en-US"/>
        </w:rPr>
        <w:t>Structural Reform Support Programme</w:t>
      </w:r>
      <w:r>
        <w:rPr>
          <w:rFonts w:eastAsia="Calibri"/>
          <w:b/>
          <w:noProof/>
          <w:lang w:eastAsia="en-US"/>
        </w:rPr>
        <w:t xml:space="preserve"> </w:t>
      </w:r>
      <w:r>
        <w:rPr>
          <w:noProof/>
        </w:rPr>
        <w:t xml:space="preserve">(section 3.3 below). Appropriations for the dairy sector (budget article 05 02 12) decrease by EUR 3,0 million reflecting the steady pace of sales of skimmed milk powder (SMP) out of intervention, which are reducing the storage costs for the remaining quantities in stock. </w:t>
      </w:r>
    </w:p>
    <w:p>
      <w:pPr>
        <w:spacing w:before="120" w:after="120"/>
        <w:jc w:val="both"/>
        <w:rPr>
          <w:noProof/>
          <w:lang w:eastAsia="en-US"/>
        </w:rPr>
      </w:pPr>
      <w:r>
        <w:rPr>
          <w:noProof/>
        </w:rPr>
        <w:t>Another modification proposed in AL 1/2019 for market measures concerns the poultry sector (budget item 05 02 15 99) with an increase of EUR 13,0 million, relating to specific exceptional measures to farmers following outbreaks of avian influenza.</w:t>
      </w:r>
    </w:p>
    <w:p>
      <w:pPr>
        <w:keepNext/>
        <w:keepLines/>
        <w:spacing w:before="120" w:after="120"/>
        <w:jc w:val="both"/>
        <w:rPr>
          <w:b/>
          <w:i/>
          <w:noProof/>
        </w:rPr>
      </w:pPr>
      <w:r>
        <w:rPr>
          <w:b/>
          <w:noProof/>
        </w:rPr>
        <w:t>05 03 </w:t>
      </w:r>
      <w:r>
        <w:rPr>
          <w:noProof/>
        </w:rPr>
        <w:sym w:font="Symbol" w:char="F0BE"/>
      </w:r>
      <w:r>
        <w:rPr>
          <w:b/>
          <w:noProof/>
        </w:rPr>
        <w:t xml:space="preserve"> Direct payments aimed at contributing to farm incomes, limiting farm income variability and meeting environment and climate objectives </w:t>
      </w:r>
      <w:r>
        <w:rPr>
          <w:b/>
          <w:i/>
          <w:noProof/>
        </w:rPr>
        <w:t>(appropriations - EUR 183,9 million)</w:t>
      </w:r>
    </w:p>
    <w:tbl>
      <w:tblPr>
        <w:tblW w:w="9950" w:type="dxa"/>
        <w:tblLayout w:type="fixed"/>
        <w:tblCellMar>
          <w:left w:w="40" w:type="dxa"/>
          <w:right w:w="40" w:type="dxa"/>
        </w:tblCellMar>
        <w:tblLook w:val="0000" w:firstRow="0" w:lastRow="0" w:firstColumn="0" w:lastColumn="0" w:noHBand="0" w:noVBand="0"/>
      </w:tblPr>
      <w:tblGrid>
        <w:gridCol w:w="4009"/>
        <w:gridCol w:w="2092"/>
        <w:gridCol w:w="1725"/>
        <w:gridCol w:w="2124"/>
      </w:tblGrid>
      <w:tr>
        <w:trPr>
          <w:trHeight w:val="164"/>
          <w:tblHeader/>
        </w:trPr>
        <w:tc>
          <w:tcPr>
            <w:tcW w:w="9950" w:type="dxa"/>
            <w:gridSpan w:val="4"/>
            <w:tcBorders>
              <w:bottom w:val="single" w:sz="4" w:space="0" w:color="auto"/>
            </w:tcBorders>
            <w:shd w:val="clear" w:color="auto" w:fill="FFFFFF"/>
            <w:vAlign w:val="center"/>
          </w:tcPr>
          <w:p>
            <w:pPr>
              <w:keepNext/>
              <w:keepLines/>
              <w:jc w:val="right"/>
              <w:rPr>
                <w:noProof/>
                <w:sz w:val="16"/>
                <w:szCs w:val="16"/>
                <w:lang w:eastAsia="de-DE"/>
              </w:rPr>
            </w:pPr>
            <w:r>
              <w:rPr>
                <w:i/>
                <w:iCs/>
                <w:noProof/>
                <w:sz w:val="16"/>
                <w:szCs w:val="16"/>
                <w:lang w:eastAsia="de-DE"/>
              </w:rPr>
              <w:t>(in million EUR, rounded figures at current prices)</w:t>
            </w:r>
          </w:p>
        </w:tc>
      </w:tr>
      <w:tr>
        <w:trPr>
          <w:trHeight w:val="164"/>
          <w:tblHeader/>
        </w:trPr>
        <w:tc>
          <w:tcPr>
            <w:tcW w:w="4009" w:type="dxa"/>
            <w:tcBorders>
              <w:top w:val="single" w:sz="4" w:space="0" w:color="auto"/>
              <w:left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Direct payments</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Draft Budget 2019</w:t>
            </w:r>
          </w:p>
        </w:tc>
        <w:tc>
          <w:tcPr>
            <w:tcW w:w="1725"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Amending Letter</w:t>
            </w:r>
            <w:r>
              <w:rPr>
                <w:b/>
                <w:noProof/>
                <w:sz w:val="16"/>
                <w:szCs w:val="16"/>
                <w:lang w:eastAsia="de-DE"/>
              </w:rPr>
              <w:br/>
              <w:t xml:space="preserve"> No 1/2019</w:t>
            </w:r>
          </w:p>
        </w:tc>
        <w:tc>
          <w:tcPr>
            <w:tcW w:w="2124" w:type="dxa"/>
            <w:tcBorders>
              <w:top w:val="single" w:sz="4" w:space="0" w:color="auto"/>
              <w:left w:val="nil"/>
              <w:bottom w:val="single" w:sz="4" w:space="0" w:color="auto"/>
              <w:right w:val="single" w:sz="4" w:space="0" w:color="auto"/>
            </w:tcBorders>
            <w:shd w:val="clear" w:color="auto" w:fill="E0E0E0"/>
            <w:vAlign w:val="center"/>
          </w:tcPr>
          <w:p>
            <w:pPr>
              <w:keepNext/>
              <w:keepLines/>
              <w:spacing w:before="30" w:after="30"/>
              <w:jc w:val="center"/>
              <w:rPr>
                <w:b/>
                <w:noProof/>
                <w:sz w:val="16"/>
                <w:szCs w:val="16"/>
                <w:lang w:eastAsia="de-DE"/>
              </w:rPr>
            </w:pPr>
            <w:r>
              <w:rPr>
                <w:b/>
                <w:noProof/>
                <w:sz w:val="16"/>
                <w:szCs w:val="16"/>
                <w:lang w:eastAsia="de-DE"/>
              </w:rPr>
              <w:t xml:space="preserve">Draft Budget 2019 </w:t>
            </w:r>
            <w:r>
              <w:rPr>
                <w:b/>
                <w:noProof/>
                <w:sz w:val="16"/>
                <w:szCs w:val="16"/>
                <w:lang w:eastAsia="de-DE"/>
              </w:rPr>
              <w:br/>
              <w:t>(incl. AL 1/2019)</w:t>
            </w:r>
          </w:p>
        </w:tc>
      </w:tr>
      <w:tr>
        <w:trPr>
          <w:trHeight w:val="164"/>
        </w:trPr>
        <w:tc>
          <w:tcPr>
            <w:tcW w:w="9950"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pPr>
              <w:keepNext/>
              <w:keepLines/>
              <w:spacing w:before="30" w:after="30"/>
              <w:rPr>
                <w:b/>
                <w:noProof/>
                <w:sz w:val="16"/>
                <w:szCs w:val="16"/>
                <w:lang w:eastAsia="de-DE"/>
              </w:rPr>
            </w:pPr>
            <w:r>
              <w:rPr>
                <w:b/>
                <w:i/>
                <w:noProof/>
                <w:sz w:val="16"/>
                <w:szCs w:val="16"/>
                <w:lang w:eastAsia="de-DE"/>
              </w:rPr>
              <w:t>After financial discipline (including credits for the ‘Reserve for crises in the agricultural sector’)</w:t>
            </w:r>
          </w:p>
        </w:tc>
      </w:tr>
      <w:tr>
        <w:trPr>
          <w:trHeight w:val="220"/>
        </w:trPr>
        <w:tc>
          <w:tcPr>
            <w:tcW w:w="4009"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szCs w:val="16"/>
              </w:rPr>
              <w:t>Needs</w:t>
            </w:r>
          </w:p>
        </w:tc>
        <w:tc>
          <w:tcPr>
            <w:tcW w:w="209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41 430,7</w:t>
            </w:r>
          </w:p>
        </w:tc>
        <w:tc>
          <w:tcPr>
            <w:tcW w:w="1725"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+52,0</w:t>
            </w:r>
          </w:p>
        </w:tc>
        <w:tc>
          <w:tcPr>
            <w:tcW w:w="2124" w:type="dxa"/>
            <w:tcBorders>
              <w:top w:val="single"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41 482,7</w:t>
            </w:r>
          </w:p>
        </w:tc>
      </w:tr>
      <w:tr>
        <w:trPr>
          <w:trHeight w:val="220"/>
        </w:trPr>
        <w:tc>
          <w:tcPr>
            <w:tcW w:w="4009" w:type="dxa"/>
            <w:tcBorders>
              <w:top w:val="dotted"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szCs w:val="16"/>
              </w:rPr>
              <w:t>- Estimated assigned revenue available in 2018</w:t>
            </w:r>
          </w:p>
        </w:tc>
        <w:tc>
          <w:tcPr>
            <w:tcW w:w="2092" w:type="dxa"/>
            <w:tcBorders>
              <w:top w:val="dotted"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szCs w:val="16"/>
              </w:rPr>
              <w:t>449,1</w:t>
            </w:r>
          </w:p>
        </w:tc>
        <w:tc>
          <w:tcPr>
            <w:tcW w:w="1725" w:type="dxa"/>
            <w:tcBorders>
              <w:top w:val="dotted"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+235,9</w:t>
            </w:r>
          </w:p>
        </w:tc>
        <w:tc>
          <w:tcPr>
            <w:tcW w:w="2124" w:type="dxa"/>
            <w:tcBorders>
              <w:top w:val="dotted" w:sz="4" w:space="0" w:color="auto"/>
              <w:left w:val="nil"/>
              <w:bottom w:val="dotted" w:sz="4" w:space="0" w:color="auto"/>
              <w:right w:val="single" w:sz="4" w:space="0" w:color="auto"/>
            </w:tcBorders>
            <w:vAlign w:val="center"/>
          </w:tcPr>
          <w:p>
            <w:pPr>
              <w:keepNext/>
              <w:keepLines/>
              <w:spacing w:before="30" w:after="30"/>
              <w:jc w:val="right"/>
              <w:rPr>
                <w:noProof/>
                <w:sz w:val="16"/>
                <w:szCs w:val="16"/>
                <w:lang w:eastAsia="de-DE"/>
              </w:rPr>
            </w:pPr>
            <w:r>
              <w:rPr>
                <w:noProof/>
                <w:sz w:val="16"/>
                <w:szCs w:val="16"/>
                <w:lang w:eastAsia="de-DE"/>
              </w:rPr>
              <w:t>685,0</w:t>
            </w:r>
          </w:p>
        </w:tc>
      </w:tr>
      <w:tr>
        <w:trPr>
          <w:trHeight w:val="220"/>
        </w:trPr>
        <w:tc>
          <w:tcPr>
            <w:tcW w:w="4009"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rPr>
                <w:b/>
                <w:noProof/>
                <w:sz w:val="16"/>
                <w:szCs w:val="16"/>
              </w:rPr>
            </w:pPr>
            <w:r>
              <w:rPr>
                <w:b/>
                <w:noProof/>
                <w:sz w:val="16"/>
                <w:szCs w:val="16"/>
              </w:rPr>
              <w:t>Appropriations requested</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40 981,6</w:t>
            </w:r>
          </w:p>
        </w:tc>
        <w:tc>
          <w:tcPr>
            <w:tcW w:w="1725"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-183,9</w:t>
            </w:r>
          </w:p>
        </w:tc>
        <w:tc>
          <w:tcPr>
            <w:tcW w:w="212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szCs w:val="16"/>
              </w:rPr>
              <w:t>40 797,7</w:t>
            </w:r>
          </w:p>
        </w:tc>
      </w:tr>
    </w:tbl>
    <w:p>
      <w:pPr>
        <w:autoSpaceDE w:val="0"/>
        <w:autoSpaceDN w:val="0"/>
        <w:adjustRightInd w:val="0"/>
        <w:spacing w:before="120" w:after="120"/>
        <w:jc w:val="both"/>
        <w:rPr>
          <w:noProof/>
        </w:rPr>
      </w:pPr>
      <w:r>
        <w:rPr>
          <w:noProof/>
        </w:rPr>
        <w:t xml:space="preserve">Compared to the draft budget 2019, appropriations requested for chapter 05 03 are revised downwards by EUR 183,9 million. This change is mostly due to the higher amount of revenue assigned (+EUR 235,9 million) to item 05 03 01 10 </w:t>
      </w:r>
      <w:r>
        <w:rPr>
          <w:i/>
          <w:noProof/>
        </w:rPr>
        <w:t>Basic payment scheme (BPS</w:t>
      </w:r>
      <w:r>
        <w:rPr>
          <w:noProof/>
        </w:rPr>
        <w:t>). There are also some variations between budget items for direct payments, reflecting updated needs assessment.</w:t>
      </w:r>
    </w:p>
    <w:p>
      <w:pPr>
        <w:keepNext/>
        <w:keepLines/>
        <w:tabs>
          <w:tab w:val="right" w:pos="5640"/>
        </w:tabs>
        <w:spacing w:before="120" w:after="120"/>
        <w:jc w:val="both"/>
        <w:rPr>
          <w:b/>
          <w:i/>
          <w:noProof/>
        </w:rPr>
      </w:pPr>
      <w:r>
        <w:rPr>
          <w:b/>
          <w:noProof/>
        </w:rPr>
        <w:t xml:space="preserve">Other agricultural expenditure financed by the European Agricultural Guarantee Fund (EAGF) </w:t>
      </w:r>
      <w:r>
        <w:rPr>
          <w:b/>
          <w:i/>
          <w:noProof/>
        </w:rPr>
        <w:t>(appropriations +EUR 29,9 million)</w:t>
      </w:r>
    </w:p>
    <w:p>
      <w:pPr>
        <w:spacing w:before="120" w:after="120"/>
        <w:jc w:val="both"/>
        <w:rPr>
          <w:noProof/>
        </w:rPr>
      </w:pPr>
      <w:r>
        <w:rPr>
          <w:noProof/>
        </w:rPr>
        <w:t xml:space="preserve">Appropriations for budget article 05 07 02 </w:t>
      </w:r>
      <w:r>
        <w:rPr>
          <w:i/>
          <w:noProof/>
        </w:rPr>
        <w:t>Settlement of disputes</w:t>
      </w:r>
      <w:r>
        <w:rPr>
          <w:noProof/>
        </w:rPr>
        <w:t xml:space="preserve"> need to be increased by EUR 29,0 million as a consequence of a Court of Justice ruling on the former sugar production levies. Some payments initially expected to be declared in 2018 are delayed to 2019. Furthermore, there are some small updates for budget items 05 07 01 06 </w:t>
      </w:r>
      <w:r>
        <w:rPr>
          <w:i/>
          <w:noProof/>
        </w:rPr>
        <w:t>Financial corrections in favour of Member States following accounting clearance decisions</w:t>
      </w:r>
      <w:r>
        <w:rPr>
          <w:noProof/>
        </w:rPr>
        <w:t xml:space="preserve"> and 05 07 01 07 </w:t>
      </w:r>
      <w:r>
        <w:rPr>
          <w:i/>
          <w:noProof/>
        </w:rPr>
        <w:t>Financial corrections in favour of Member States following conformity clearance decisions.</w:t>
      </w:r>
    </w:p>
    <w:p>
      <w:pPr>
        <w:keepNext/>
        <w:tabs>
          <w:tab w:val="left" w:pos="850"/>
        </w:tabs>
        <w:spacing w:before="360" w:after="120"/>
        <w:ind w:left="357" w:hanging="357"/>
        <w:jc w:val="both"/>
        <w:outlineLvl w:val="1"/>
        <w:rPr>
          <w:rFonts w:eastAsia="Calibri"/>
          <w:b/>
          <w:noProof/>
          <w:lang w:eastAsia="en-US"/>
        </w:rPr>
      </w:pPr>
      <w:bookmarkStart w:id="51" w:name="_Toc527106855"/>
      <w:bookmarkStart w:id="52" w:name="_Toc526753783"/>
      <w:r>
        <w:rPr>
          <w:rFonts w:eastAsia="Calibri"/>
          <w:b/>
          <w:noProof/>
          <w:lang w:eastAsia="en-US"/>
        </w:rPr>
        <w:t xml:space="preserve">2.3 </w:t>
      </w:r>
      <w:r>
        <w:rPr>
          <w:rFonts w:eastAsia="Calibri"/>
          <w:b/>
          <w:noProof/>
          <w:lang w:eastAsia="en-US"/>
        </w:rPr>
        <w:tab/>
        <w:t>Detailed figures by budget line</w:t>
      </w:r>
      <w:bookmarkEnd w:id="51"/>
      <w:bookmarkEnd w:id="52"/>
    </w:p>
    <w:tbl>
      <w:tblPr>
        <w:tblW w:w="10000" w:type="dxa"/>
        <w:jc w:val="center"/>
        <w:tblLayout w:type="fixed"/>
        <w:tblCellMar>
          <w:left w:w="40" w:type="dxa"/>
          <w:right w:w="40" w:type="dxa"/>
        </w:tblCellMar>
        <w:tblLook w:val="0000" w:firstRow="0" w:lastRow="0" w:firstColumn="0" w:lastColumn="0" w:noHBand="0" w:noVBand="0"/>
      </w:tblPr>
      <w:tblGrid>
        <w:gridCol w:w="9"/>
        <w:gridCol w:w="1191"/>
        <w:gridCol w:w="5503"/>
        <w:gridCol w:w="1617"/>
        <w:gridCol w:w="1672"/>
        <w:gridCol w:w="8"/>
      </w:tblGrid>
      <w:tr>
        <w:trPr>
          <w:gridBefore w:val="1"/>
          <w:gridAfter w:val="1"/>
          <w:wBefore w:w="9" w:type="dxa"/>
          <w:wAfter w:w="8" w:type="dxa"/>
          <w:trHeight w:val="284"/>
          <w:tblHeader/>
          <w:jc w:val="center"/>
        </w:trPr>
        <w:tc>
          <w:tcPr>
            <w:tcW w:w="9983" w:type="dxa"/>
            <w:gridSpan w:val="4"/>
            <w:shd w:val="clear" w:color="auto" w:fill="FFFFFF"/>
            <w:vAlign w:val="center"/>
          </w:tcPr>
          <w:p>
            <w:pPr>
              <w:jc w:val="right"/>
              <w:rPr>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blHeader/>
        </w:trPr>
        <w:tc>
          <w:tcPr>
            <w:tcW w:w="120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Budget line</w:t>
            </w:r>
          </w:p>
        </w:tc>
        <w:tc>
          <w:tcPr>
            <w:tcW w:w="5503"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Name</w:t>
            </w:r>
          </w:p>
        </w:tc>
        <w:tc>
          <w:tcPr>
            <w:tcW w:w="1617"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Commitment appropriations</w:t>
            </w:r>
          </w:p>
        </w:tc>
        <w:tc>
          <w:tcPr>
            <w:tcW w:w="168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0000" w:type="dxa"/>
            <w:gridSpan w:val="6"/>
            <w:shd w:val="clear" w:color="auto" w:fill="F2F2F2" w:themeFill="background1" w:themeFillShade="F2"/>
            <w:vAlign w:val="center"/>
          </w:tcPr>
          <w:p>
            <w:pPr>
              <w:widowControl w:val="0"/>
              <w:spacing w:before="15" w:after="15" w:line="276" w:lineRule="auto"/>
              <w:rPr>
                <w:i/>
                <w:noProof/>
                <w:sz w:val="20"/>
                <w:szCs w:val="20"/>
                <w:lang w:eastAsia="en-US"/>
              </w:rPr>
            </w:pPr>
            <w:r>
              <w:rPr>
                <w:i/>
                <w:noProof/>
                <w:sz w:val="20"/>
                <w:szCs w:val="20"/>
                <w:lang w:eastAsia="en-US"/>
              </w:rPr>
              <w:t>Section III – European Commission</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05 02 08 03</w:t>
            </w:r>
          </w:p>
        </w:tc>
        <w:tc>
          <w:tcPr>
            <w:tcW w:w="5503" w:type="dxa"/>
          </w:tcPr>
          <w:p>
            <w:pPr>
              <w:rPr>
                <w:noProof/>
                <w:sz w:val="20"/>
                <w:szCs w:val="20"/>
                <w:lang w:eastAsia="en-US"/>
              </w:rPr>
            </w:pPr>
            <w:r>
              <w:rPr>
                <w:noProof/>
                <w:sz w:val="20"/>
                <w:szCs w:val="20"/>
                <w:lang w:eastAsia="en-US"/>
              </w:rPr>
              <w:t>Operational funds for producer organisations</w:t>
            </w:r>
          </w:p>
        </w:tc>
        <w:tc>
          <w:tcPr>
            <w:tcW w:w="1617" w:type="dxa"/>
          </w:tcPr>
          <w:p>
            <w:pPr>
              <w:widowControl w:val="0"/>
              <w:spacing w:before="15" w:after="15" w:line="276" w:lineRule="auto"/>
              <w:jc w:val="right"/>
              <w:rPr>
                <w:noProof/>
                <w:sz w:val="20"/>
                <w:szCs w:val="20"/>
                <w:lang w:eastAsia="en-US"/>
              </w:rPr>
            </w:pPr>
            <w:r>
              <w:rPr>
                <w:noProof/>
                <w:sz w:val="20"/>
                <w:szCs w:val="20"/>
                <w:lang w:eastAsia="en-US"/>
              </w:rPr>
              <w:t>-40 000 000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-40 000 000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05 02 12 02</w:t>
            </w:r>
          </w:p>
        </w:tc>
        <w:tc>
          <w:tcPr>
            <w:tcW w:w="5503" w:type="dxa"/>
            <w:vAlign w:val="center"/>
          </w:tcPr>
          <w:p>
            <w:pPr>
              <w:rPr>
                <w:noProof/>
                <w:sz w:val="20"/>
                <w:szCs w:val="20"/>
              </w:rPr>
            </w:pPr>
            <w:r>
              <w:rPr>
                <w:noProof/>
                <w:sz w:val="20"/>
                <w:szCs w:val="20"/>
              </w:rPr>
              <w:t>Storage measures for skimmed-milk powder</w:t>
            </w:r>
          </w:p>
        </w:tc>
        <w:tc>
          <w:tcPr>
            <w:tcW w:w="1617" w:type="dxa"/>
            <w:vAlign w:val="center"/>
          </w:tcPr>
          <w:p>
            <w:pPr>
              <w:jc w:val="right"/>
              <w:rPr>
                <w:bCs/>
                <w:noProof/>
                <w:sz w:val="20"/>
                <w:szCs w:val="20"/>
              </w:rPr>
            </w:pPr>
            <w:r>
              <w:rPr>
                <w:bCs/>
                <w:noProof/>
                <w:sz w:val="20"/>
                <w:szCs w:val="20"/>
              </w:rPr>
              <w:t>-3 000 000</w:t>
            </w:r>
          </w:p>
        </w:tc>
        <w:tc>
          <w:tcPr>
            <w:tcW w:w="1680" w:type="dxa"/>
            <w:gridSpan w:val="2"/>
            <w:vAlign w:val="center"/>
          </w:tcPr>
          <w:p>
            <w:pPr>
              <w:jc w:val="right"/>
              <w:rPr>
                <w:bCs/>
                <w:noProof/>
                <w:sz w:val="20"/>
                <w:szCs w:val="20"/>
              </w:rPr>
            </w:pPr>
            <w:r>
              <w:rPr>
                <w:bCs/>
                <w:noProof/>
                <w:sz w:val="20"/>
                <w:szCs w:val="20"/>
              </w:rPr>
              <w:t>-3 000 000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05 02 15 99</w:t>
            </w:r>
          </w:p>
        </w:tc>
        <w:tc>
          <w:tcPr>
            <w:tcW w:w="5503" w:type="dxa"/>
            <w:vAlign w:val="center"/>
          </w:tcPr>
          <w:p>
            <w:pPr>
              <w:rPr>
                <w:noProof/>
                <w:sz w:val="20"/>
                <w:szCs w:val="20"/>
              </w:rPr>
            </w:pPr>
            <w:r>
              <w:rPr>
                <w:noProof/>
                <w:sz w:val="20"/>
                <w:szCs w:val="20"/>
              </w:rPr>
              <w:t>Other measures  for pigmeat, poultry, eggs, bee-keeping, other animal products</w:t>
            </w:r>
          </w:p>
        </w:tc>
        <w:tc>
          <w:tcPr>
            <w:tcW w:w="1617" w:type="dxa"/>
            <w:vAlign w:val="center"/>
          </w:tcPr>
          <w:p>
            <w:pPr>
              <w:jc w:val="right"/>
              <w:rPr>
                <w:bCs/>
                <w:noProof/>
                <w:sz w:val="20"/>
                <w:szCs w:val="20"/>
              </w:rPr>
            </w:pPr>
            <w:r>
              <w:rPr>
                <w:bCs/>
                <w:noProof/>
                <w:sz w:val="20"/>
                <w:szCs w:val="20"/>
              </w:rPr>
              <w:t>13 000 000</w:t>
            </w:r>
          </w:p>
        </w:tc>
        <w:tc>
          <w:tcPr>
            <w:tcW w:w="1680" w:type="dxa"/>
            <w:gridSpan w:val="2"/>
            <w:vAlign w:val="center"/>
          </w:tcPr>
          <w:p>
            <w:pPr>
              <w:jc w:val="right"/>
              <w:rPr>
                <w:bCs/>
                <w:noProof/>
                <w:sz w:val="20"/>
                <w:szCs w:val="20"/>
              </w:rPr>
            </w:pPr>
            <w:r>
              <w:rPr>
                <w:bCs/>
                <w:noProof/>
                <w:sz w:val="20"/>
                <w:szCs w:val="20"/>
              </w:rPr>
              <w:t>13 000 000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6703" w:type="dxa"/>
            <w:gridSpan w:val="3"/>
            <w:shd w:val="clear" w:color="auto" w:fill="D9D9D9"/>
            <w:vAlign w:val="center"/>
          </w:tcPr>
          <w:p>
            <w:pPr>
              <w:widowControl w:val="0"/>
              <w:tabs>
                <w:tab w:val="left" w:pos="975"/>
              </w:tabs>
              <w:spacing w:before="15" w:after="15"/>
              <w:jc w:val="right"/>
              <w:rPr>
                <w:b/>
                <w:i/>
                <w:noProof/>
                <w:sz w:val="20"/>
                <w:szCs w:val="20"/>
              </w:rPr>
            </w:pPr>
            <w:r>
              <w:rPr>
                <w:b/>
                <w:i/>
                <w:noProof/>
                <w:sz w:val="20"/>
                <w:szCs w:val="20"/>
              </w:rPr>
              <w:t>Sub-total</w:t>
            </w:r>
            <w:r>
              <w:rPr>
                <w:b/>
                <w:i/>
                <w:noProof/>
                <w:sz w:val="20"/>
                <w:szCs w:val="20"/>
              </w:rPr>
              <w:tab/>
              <w:t>05 02</w:t>
            </w:r>
          </w:p>
        </w:tc>
        <w:tc>
          <w:tcPr>
            <w:tcW w:w="1617" w:type="dxa"/>
            <w:shd w:val="clear" w:color="auto" w:fill="D9D9D9"/>
            <w:vAlign w:val="center"/>
          </w:tcPr>
          <w:p>
            <w:pPr>
              <w:widowControl w:val="0"/>
              <w:spacing w:before="15" w:after="15"/>
              <w:jc w:val="right"/>
              <w:rPr>
                <w:b/>
                <w:i/>
                <w:noProof/>
                <w:sz w:val="20"/>
                <w:szCs w:val="20"/>
              </w:rPr>
            </w:pPr>
            <w:r>
              <w:rPr>
                <w:b/>
                <w:i/>
                <w:noProof/>
                <w:sz w:val="20"/>
                <w:szCs w:val="20"/>
                <w:lang w:eastAsia="en-US"/>
              </w:rPr>
              <w:t>-30 000 000</w:t>
            </w:r>
          </w:p>
        </w:tc>
        <w:tc>
          <w:tcPr>
            <w:tcW w:w="1680" w:type="dxa"/>
            <w:gridSpan w:val="2"/>
            <w:shd w:val="clear" w:color="auto" w:fill="D9D9D9"/>
            <w:vAlign w:val="center"/>
          </w:tcPr>
          <w:p>
            <w:pPr>
              <w:widowControl w:val="0"/>
              <w:spacing w:before="15" w:after="15"/>
              <w:jc w:val="right"/>
              <w:rPr>
                <w:b/>
                <w:i/>
                <w:noProof/>
                <w:sz w:val="20"/>
                <w:szCs w:val="20"/>
              </w:rPr>
            </w:pPr>
            <w:r>
              <w:rPr>
                <w:b/>
                <w:i/>
                <w:noProof/>
                <w:sz w:val="20"/>
                <w:szCs w:val="20"/>
              </w:rPr>
              <w:t>-30 000 000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05 03 01 02</w:t>
            </w:r>
          </w:p>
        </w:tc>
        <w:tc>
          <w:tcPr>
            <w:tcW w:w="5503" w:type="dxa"/>
            <w:vAlign w:val="center"/>
          </w:tcPr>
          <w:p>
            <w:pPr>
              <w:rPr>
                <w:noProof/>
                <w:sz w:val="20"/>
                <w:szCs w:val="20"/>
              </w:rPr>
            </w:pPr>
            <w:r>
              <w:rPr>
                <w:noProof/>
                <w:sz w:val="20"/>
                <w:szCs w:val="20"/>
              </w:rPr>
              <w:t>Single area payment scheme (SAPS)</w:t>
            </w:r>
          </w:p>
        </w:tc>
        <w:tc>
          <w:tcPr>
            <w:tcW w:w="1617" w:type="dxa"/>
            <w:vAlign w:val="center"/>
          </w:tcPr>
          <w:p>
            <w:pPr>
              <w:jc w:val="right"/>
              <w:rPr>
                <w:bCs/>
                <w:noProof/>
                <w:sz w:val="20"/>
                <w:szCs w:val="20"/>
              </w:rPr>
            </w:pPr>
            <w:r>
              <w:rPr>
                <w:bCs/>
                <w:noProof/>
                <w:sz w:val="20"/>
                <w:szCs w:val="20"/>
              </w:rPr>
              <w:t>71 000 000</w:t>
            </w:r>
          </w:p>
        </w:tc>
        <w:tc>
          <w:tcPr>
            <w:tcW w:w="1680" w:type="dxa"/>
            <w:gridSpan w:val="2"/>
            <w:vAlign w:val="center"/>
          </w:tcPr>
          <w:p>
            <w:pPr>
              <w:jc w:val="right"/>
              <w:rPr>
                <w:bCs/>
                <w:noProof/>
                <w:sz w:val="20"/>
                <w:szCs w:val="20"/>
              </w:rPr>
            </w:pPr>
            <w:r>
              <w:rPr>
                <w:bCs/>
                <w:noProof/>
                <w:sz w:val="20"/>
                <w:szCs w:val="20"/>
              </w:rPr>
              <w:t>71 000 000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05 03 01 07</w:t>
            </w:r>
          </w:p>
        </w:tc>
        <w:tc>
          <w:tcPr>
            <w:tcW w:w="5503" w:type="dxa"/>
            <w:vAlign w:val="center"/>
          </w:tcPr>
          <w:p>
            <w:pPr>
              <w:rPr>
                <w:noProof/>
                <w:sz w:val="20"/>
                <w:szCs w:val="20"/>
              </w:rPr>
            </w:pPr>
            <w:r>
              <w:rPr>
                <w:noProof/>
                <w:sz w:val="20"/>
                <w:szCs w:val="20"/>
              </w:rPr>
              <w:t>Redistributive payment</w:t>
            </w:r>
          </w:p>
        </w:tc>
        <w:tc>
          <w:tcPr>
            <w:tcW w:w="1617" w:type="dxa"/>
            <w:vAlign w:val="center"/>
          </w:tcPr>
          <w:p>
            <w:pPr>
              <w:jc w:val="right"/>
              <w:rPr>
                <w:bCs/>
                <w:noProof/>
                <w:sz w:val="20"/>
                <w:szCs w:val="20"/>
              </w:rPr>
            </w:pPr>
            <w:r>
              <w:rPr>
                <w:bCs/>
                <w:noProof/>
                <w:sz w:val="20"/>
                <w:szCs w:val="20"/>
              </w:rPr>
              <w:t>-5 000 000</w:t>
            </w:r>
          </w:p>
        </w:tc>
        <w:tc>
          <w:tcPr>
            <w:tcW w:w="1680" w:type="dxa"/>
            <w:gridSpan w:val="2"/>
            <w:vAlign w:val="center"/>
          </w:tcPr>
          <w:p>
            <w:pPr>
              <w:jc w:val="right"/>
              <w:rPr>
                <w:bCs/>
                <w:noProof/>
                <w:sz w:val="20"/>
                <w:szCs w:val="20"/>
              </w:rPr>
            </w:pPr>
            <w:r>
              <w:rPr>
                <w:bCs/>
                <w:noProof/>
                <w:sz w:val="20"/>
                <w:szCs w:val="20"/>
              </w:rPr>
              <w:t>-5 000 000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05 03 01 10</w:t>
            </w:r>
          </w:p>
        </w:tc>
        <w:tc>
          <w:tcPr>
            <w:tcW w:w="5503" w:type="dxa"/>
            <w:vAlign w:val="center"/>
          </w:tcPr>
          <w:p>
            <w:pPr>
              <w:rPr>
                <w:noProof/>
                <w:sz w:val="20"/>
                <w:szCs w:val="20"/>
              </w:rPr>
            </w:pPr>
            <w:r>
              <w:rPr>
                <w:noProof/>
                <w:sz w:val="20"/>
                <w:szCs w:val="20"/>
              </w:rPr>
              <w:t>Basic payment scheme (BPS)</w:t>
            </w:r>
          </w:p>
        </w:tc>
        <w:tc>
          <w:tcPr>
            <w:tcW w:w="1617" w:type="dxa"/>
            <w:vAlign w:val="center"/>
          </w:tcPr>
          <w:p>
            <w:pPr>
              <w:jc w:val="right"/>
              <w:rPr>
                <w:bCs/>
                <w:noProof/>
                <w:sz w:val="20"/>
                <w:szCs w:val="20"/>
              </w:rPr>
            </w:pPr>
            <w:r>
              <w:rPr>
                <w:bCs/>
                <w:noProof/>
                <w:sz w:val="20"/>
                <w:szCs w:val="20"/>
              </w:rPr>
              <w:t>-242 900 000</w:t>
            </w:r>
          </w:p>
        </w:tc>
        <w:tc>
          <w:tcPr>
            <w:tcW w:w="1680" w:type="dxa"/>
            <w:gridSpan w:val="2"/>
            <w:vAlign w:val="center"/>
          </w:tcPr>
          <w:p>
            <w:pPr>
              <w:jc w:val="right"/>
              <w:rPr>
                <w:bCs/>
                <w:noProof/>
                <w:sz w:val="20"/>
                <w:szCs w:val="20"/>
              </w:rPr>
            </w:pPr>
            <w:r>
              <w:rPr>
                <w:bCs/>
                <w:noProof/>
                <w:sz w:val="20"/>
                <w:szCs w:val="20"/>
              </w:rPr>
              <w:t>-242 900 000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05 03 01 11</w:t>
            </w:r>
          </w:p>
        </w:tc>
        <w:tc>
          <w:tcPr>
            <w:tcW w:w="5503" w:type="dxa"/>
            <w:vAlign w:val="center"/>
          </w:tcPr>
          <w:p>
            <w:pPr>
              <w:rPr>
                <w:noProof/>
                <w:sz w:val="20"/>
                <w:szCs w:val="20"/>
              </w:rPr>
            </w:pPr>
            <w:r>
              <w:rPr>
                <w:noProof/>
                <w:sz w:val="20"/>
                <w:szCs w:val="20"/>
              </w:rPr>
              <w:t>Payment for agricultural practices beneficial for the climate and the environment</w:t>
            </w:r>
          </w:p>
        </w:tc>
        <w:tc>
          <w:tcPr>
            <w:tcW w:w="1617" w:type="dxa"/>
            <w:vAlign w:val="center"/>
          </w:tcPr>
          <w:p>
            <w:pPr>
              <w:jc w:val="right"/>
              <w:rPr>
                <w:bCs/>
                <w:noProof/>
                <w:sz w:val="20"/>
                <w:szCs w:val="20"/>
              </w:rPr>
            </w:pPr>
            <w:r>
              <w:rPr>
                <w:bCs/>
                <w:noProof/>
                <w:sz w:val="20"/>
                <w:szCs w:val="20"/>
              </w:rPr>
              <w:t>102 000 000</w:t>
            </w:r>
          </w:p>
        </w:tc>
        <w:tc>
          <w:tcPr>
            <w:tcW w:w="1680" w:type="dxa"/>
            <w:gridSpan w:val="2"/>
            <w:vAlign w:val="center"/>
          </w:tcPr>
          <w:p>
            <w:pPr>
              <w:jc w:val="right"/>
              <w:rPr>
                <w:bCs/>
                <w:noProof/>
                <w:sz w:val="20"/>
                <w:szCs w:val="20"/>
              </w:rPr>
            </w:pPr>
            <w:r>
              <w:rPr>
                <w:bCs/>
                <w:noProof/>
                <w:sz w:val="20"/>
                <w:szCs w:val="20"/>
              </w:rPr>
              <w:t>102 000 000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05 03 01 13</w:t>
            </w:r>
          </w:p>
        </w:tc>
        <w:tc>
          <w:tcPr>
            <w:tcW w:w="5503" w:type="dxa"/>
            <w:vAlign w:val="center"/>
          </w:tcPr>
          <w:p>
            <w:pPr>
              <w:rPr>
                <w:noProof/>
                <w:sz w:val="20"/>
                <w:szCs w:val="20"/>
              </w:rPr>
            </w:pPr>
            <w:r>
              <w:rPr>
                <w:noProof/>
                <w:sz w:val="20"/>
                <w:szCs w:val="20"/>
              </w:rPr>
              <w:t>Payment for young farmers</w:t>
            </w:r>
          </w:p>
        </w:tc>
        <w:tc>
          <w:tcPr>
            <w:tcW w:w="1617" w:type="dxa"/>
            <w:vAlign w:val="center"/>
          </w:tcPr>
          <w:p>
            <w:pPr>
              <w:jc w:val="right"/>
              <w:rPr>
                <w:bCs/>
                <w:noProof/>
                <w:sz w:val="20"/>
                <w:szCs w:val="20"/>
              </w:rPr>
            </w:pPr>
            <w:r>
              <w:rPr>
                <w:bCs/>
                <w:noProof/>
                <w:sz w:val="20"/>
                <w:szCs w:val="20"/>
              </w:rPr>
              <w:t>34 000 000</w:t>
            </w:r>
          </w:p>
        </w:tc>
        <w:tc>
          <w:tcPr>
            <w:tcW w:w="1680" w:type="dxa"/>
            <w:gridSpan w:val="2"/>
            <w:vAlign w:val="center"/>
          </w:tcPr>
          <w:p>
            <w:pPr>
              <w:jc w:val="right"/>
              <w:rPr>
                <w:bCs/>
                <w:noProof/>
                <w:sz w:val="20"/>
                <w:szCs w:val="20"/>
              </w:rPr>
            </w:pPr>
            <w:r>
              <w:rPr>
                <w:bCs/>
                <w:noProof/>
                <w:sz w:val="20"/>
                <w:szCs w:val="20"/>
              </w:rPr>
              <w:t>34 000 000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05 03 01 99</w:t>
            </w:r>
          </w:p>
        </w:tc>
        <w:tc>
          <w:tcPr>
            <w:tcW w:w="5503" w:type="dxa"/>
            <w:vAlign w:val="center"/>
          </w:tcPr>
          <w:p>
            <w:pPr>
              <w:rPr>
                <w:noProof/>
                <w:sz w:val="20"/>
                <w:szCs w:val="20"/>
              </w:rPr>
            </w:pPr>
            <w:r>
              <w:rPr>
                <w:noProof/>
                <w:sz w:val="20"/>
                <w:szCs w:val="20"/>
              </w:rPr>
              <w:t>Other (decoupled direct payments)</w:t>
            </w:r>
          </w:p>
        </w:tc>
        <w:tc>
          <w:tcPr>
            <w:tcW w:w="1617" w:type="dxa"/>
            <w:vAlign w:val="center"/>
          </w:tcPr>
          <w:p>
            <w:pPr>
              <w:jc w:val="right"/>
              <w:rPr>
                <w:bCs/>
                <w:noProof/>
                <w:sz w:val="20"/>
                <w:szCs w:val="20"/>
              </w:rPr>
            </w:pPr>
            <w:r>
              <w:rPr>
                <w:bCs/>
                <w:noProof/>
                <w:sz w:val="20"/>
                <w:szCs w:val="20"/>
              </w:rPr>
              <w:t>11 000 000</w:t>
            </w:r>
          </w:p>
        </w:tc>
        <w:tc>
          <w:tcPr>
            <w:tcW w:w="1680" w:type="dxa"/>
            <w:gridSpan w:val="2"/>
            <w:vAlign w:val="center"/>
          </w:tcPr>
          <w:p>
            <w:pPr>
              <w:jc w:val="right"/>
              <w:rPr>
                <w:bCs/>
                <w:noProof/>
                <w:sz w:val="20"/>
                <w:szCs w:val="20"/>
              </w:rPr>
            </w:pPr>
            <w:r>
              <w:rPr>
                <w:bCs/>
                <w:noProof/>
                <w:sz w:val="20"/>
                <w:szCs w:val="20"/>
              </w:rPr>
              <w:t>11 000 000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05 03 02 40</w:t>
            </w:r>
          </w:p>
        </w:tc>
        <w:tc>
          <w:tcPr>
            <w:tcW w:w="5503" w:type="dxa"/>
            <w:vAlign w:val="center"/>
          </w:tcPr>
          <w:p>
            <w:pPr>
              <w:rPr>
                <w:noProof/>
                <w:sz w:val="20"/>
                <w:szCs w:val="20"/>
              </w:rPr>
            </w:pPr>
            <w:r>
              <w:rPr>
                <w:noProof/>
                <w:sz w:val="20"/>
                <w:szCs w:val="20"/>
              </w:rPr>
              <w:t>Crop-specific payment for cotton</w:t>
            </w:r>
          </w:p>
        </w:tc>
        <w:tc>
          <w:tcPr>
            <w:tcW w:w="1617" w:type="dxa"/>
            <w:vAlign w:val="center"/>
          </w:tcPr>
          <w:p>
            <w:pPr>
              <w:jc w:val="right"/>
              <w:rPr>
                <w:bCs/>
                <w:noProof/>
                <w:sz w:val="20"/>
                <w:szCs w:val="20"/>
              </w:rPr>
            </w:pPr>
            <w:r>
              <w:rPr>
                <w:bCs/>
                <w:noProof/>
                <w:sz w:val="20"/>
                <w:szCs w:val="20"/>
              </w:rPr>
              <w:t>4 000 000</w:t>
            </w:r>
          </w:p>
        </w:tc>
        <w:tc>
          <w:tcPr>
            <w:tcW w:w="1680" w:type="dxa"/>
            <w:gridSpan w:val="2"/>
            <w:vAlign w:val="center"/>
          </w:tcPr>
          <w:p>
            <w:pPr>
              <w:jc w:val="right"/>
              <w:rPr>
                <w:bCs/>
                <w:noProof/>
                <w:sz w:val="20"/>
                <w:szCs w:val="20"/>
              </w:rPr>
            </w:pPr>
            <w:r>
              <w:rPr>
                <w:bCs/>
                <w:noProof/>
                <w:sz w:val="20"/>
                <w:szCs w:val="20"/>
              </w:rPr>
              <w:t>4 000 000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05 03 02 50</w:t>
            </w:r>
          </w:p>
        </w:tc>
        <w:tc>
          <w:tcPr>
            <w:tcW w:w="5503" w:type="dxa"/>
            <w:vAlign w:val="center"/>
          </w:tcPr>
          <w:p>
            <w:pPr>
              <w:rPr>
                <w:noProof/>
                <w:sz w:val="20"/>
                <w:szCs w:val="20"/>
              </w:rPr>
            </w:pPr>
            <w:r>
              <w:rPr>
                <w:noProof/>
                <w:sz w:val="20"/>
                <w:szCs w:val="20"/>
              </w:rPr>
              <w:t>POSEI – European Union support programmes</w:t>
            </w:r>
          </w:p>
        </w:tc>
        <w:tc>
          <w:tcPr>
            <w:tcW w:w="1617" w:type="dxa"/>
            <w:vAlign w:val="center"/>
          </w:tcPr>
          <w:p>
            <w:pPr>
              <w:jc w:val="right"/>
              <w:rPr>
                <w:bCs/>
                <w:noProof/>
                <w:sz w:val="20"/>
                <w:szCs w:val="20"/>
              </w:rPr>
            </w:pPr>
            <w:r>
              <w:rPr>
                <w:bCs/>
                <w:noProof/>
                <w:sz w:val="20"/>
                <w:szCs w:val="20"/>
              </w:rPr>
              <w:t>1 000 000</w:t>
            </w:r>
          </w:p>
        </w:tc>
        <w:tc>
          <w:tcPr>
            <w:tcW w:w="1680" w:type="dxa"/>
            <w:gridSpan w:val="2"/>
            <w:vAlign w:val="center"/>
          </w:tcPr>
          <w:p>
            <w:pPr>
              <w:jc w:val="right"/>
              <w:rPr>
                <w:bCs/>
                <w:noProof/>
                <w:sz w:val="20"/>
                <w:szCs w:val="20"/>
              </w:rPr>
            </w:pPr>
            <w:r>
              <w:rPr>
                <w:bCs/>
                <w:noProof/>
                <w:sz w:val="20"/>
                <w:szCs w:val="20"/>
              </w:rPr>
              <w:t>1 000 000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05 03 02 60</w:t>
            </w:r>
          </w:p>
        </w:tc>
        <w:tc>
          <w:tcPr>
            <w:tcW w:w="5503" w:type="dxa"/>
            <w:vAlign w:val="center"/>
          </w:tcPr>
          <w:p>
            <w:pPr>
              <w:rPr>
                <w:noProof/>
                <w:sz w:val="20"/>
                <w:szCs w:val="20"/>
              </w:rPr>
            </w:pPr>
            <w:r>
              <w:rPr>
                <w:noProof/>
                <w:sz w:val="20"/>
                <w:szCs w:val="20"/>
              </w:rPr>
              <w:t>Voluntary coupled support scheme</w:t>
            </w:r>
          </w:p>
        </w:tc>
        <w:tc>
          <w:tcPr>
            <w:tcW w:w="1617" w:type="dxa"/>
            <w:vAlign w:val="center"/>
          </w:tcPr>
          <w:p>
            <w:pPr>
              <w:jc w:val="right"/>
              <w:rPr>
                <w:bCs/>
                <w:noProof/>
                <w:sz w:val="20"/>
                <w:szCs w:val="20"/>
              </w:rPr>
            </w:pPr>
            <w:r>
              <w:rPr>
                <w:bCs/>
                <w:noProof/>
                <w:sz w:val="20"/>
                <w:szCs w:val="20"/>
              </w:rPr>
              <w:t>73 000 000</w:t>
            </w:r>
          </w:p>
        </w:tc>
        <w:tc>
          <w:tcPr>
            <w:tcW w:w="1680" w:type="dxa"/>
            <w:gridSpan w:val="2"/>
            <w:vAlign w:val="center"/>
          </w:tcPr>
          <w:p>
            <w:pPr>
              <w:jc w:val="right"/>
              <w:rPr>
                <w:bCs/>
                <w:noProof/>
                <w:sz w:val="20"/>
                <w:szCs w:val="20"/>
              </w:rPr>
            </w:pPr>
            <w:r>
              <w:rPr>
                <w:bCs/>
                <w:noProof/>
                <w:sz w:val="20"/>
                <w:szCs w:val="20"/>
              </w:rPr>
              <w:t>73 000 000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05 03 02 61</w:t>
            </w:r>
          </w:p>
        </w:tc>
        <w:tc>
          <w:tcPr>
            <w:tcW w:w="5503" w:type="dxa"/>
            <w:vAlign w:val="center"/>
          </w:tcPr>
          <w:p>
            <w:pPr>
              <w:rPr>
                <w:noProof/>
                <w:sz w:val="20"/>
                <w:szCs w:val="20"/>
              </w:rPr>
            </w:pPr>
            <w:r>
              <w:rPr>
                <w:noProof/>
                <w:sz w:val="20"/>
                <w:szCs w:val="20"/>
              </w:rPr>
              <w:t>Small farmers scheme</w:t>
            </w:r>
          </w:p>
        </w:tc>
        <w:tc>
          <w:tcPr>
            <w:tcW w:w="1617" w:type="dxa"/>
            <w:vAlign w:val="center"/>
          </w:tcPr>
          <w:p>
            <w:pPr>
              <w:jc w:val="right"/>
              <w:rPr>
                <w:bCs/>
                <w:noProof/>
                <w:sz w:val="20"/>
                <w:szCs w:val="20"/>
              </w:rPr>
            </w:pPr>
            <w:r>
              <w:rPr>
                <w:bCs/>
                <w:noProof/>
                <w:sz w:val="20"/>
                <w:szCs w:val="20"/>
              </w:rPr>
              <w:t>-231 000 000</w:t>
            </w:r>
          </w:p>
        </w:tc>
        <w:tc>
          <w:tcPr>
            <w:tcW w:w="1680" w:type="dxa"/>
            <w:gridSpan w:val="2"/>
            <w:vAlign w:val="center"/>
          </w:tcPr>
          <w:p>
            <w:pPr>
              <w:jc w:val="right"/>
              <w:rPr>
                <w:bCs/>
                <w:noProof/>
                <w:sz w:val="20"/>
                <w:szCs w:val="20"/>
              </w:rPr>
            </w:pPr>
            <w:r>
              <w:rPr>
                <w:bCs/>
                <w:noProof/>
                <w:sz w:val="20"/>
                <w:szCs w:val="20"/>
              </w:rPr>
              <w:t>-231 000 000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05 03 02 99</w:t>
            </w:r>
          </w:p>
        </w:tc>
        <w:tc>
          <w:tcPr>
            <w:tcW w:w="5503" w:type="dxa"/>
            <w:vAlign w:val="center"/>
          </w:tcPr>
          <w:p>
            <w:pPr>
              <w:rPr>
                <w:noProof/>
                <w:sz w:val="20"/>
                <w:szCs w:val="20"/>
              </w:rPr>
            </w:pPr>
            <w:r>
              <w:rPr>
                <w:noProof/>
                <w:sz w:val="20"/>
                <w:szCs w:val="20"/>
              </w:rPr>
              <w:t>Other (direct payments)</w:t>
            </w:r>
          </w:p>
        </w:tc>
        <w:tc>
          <w:tcPr>
            <w:tcW w:w="1617" w:type="dxa"/>
            <w:vAlign w:val="center"/>
          </w:tcPr>
          <w:p>
            <w:pPr>
              <w:jc w:val="right"/>
              <w:rPr>
                <w:bCs/>
                <w:noProof/>
                <w:sz w:val="20"/>
                <w:szCs w:val="20"/>
              </w:rPr>
            </w:pPr>
            <w:r>
              <w:rPr>
                <w:bCs/>
                <w:noProof/>
                <w:sz w:val="20"/>
                <w:szCs w:val="20"/>
              </w:rPr>
              <w:t>-1 000 000</w:t>
            </w:r>
          </w:p>
        </w:tc>
        <w:tc>
          <w:tcPr>
            <w:tcW w:w="1680" w:type="dxa"/>
            <w:gridSpan w:val="2"/>
            <w:vAlign w:val="center"/>
          </w:tcPr>
          <w:p>
            <w:pPr>
              <w:jc w:val="right"/>
              <w:rPr>
                <w:bCs/>
                <w:noProof/>
                <w:sz w:val="20"/>
                <w:szCs w:val="20"/>
              </w:rPr>
            </w:pPr>
            <w:r>
              <w:rPr>
                <w:bCs/>
                <w:noProof/>
                <w:sz w:val="20"/>
                <w:szCs w:val="20"/>
              </w:rPr>
              <w:t>-1 000 000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6703" w:type="dxa"/>
            <w:gridSpan w:val="3"/>
            <w:shd w:val="clear" w:color="auto" w:fill="D9D9D9"/>
            <w:vAlign w:val="center"/>
          </w:tcPr>
          <w:p>
            <w:pPr>
              <w:widowControl w:val="0"/>
              <w:tabs>
                <w:tab w:val="left" w:pos="975"/>
              </w:tabs>
              <w:spacing w:before="15" w:after="15"/>
              <w:jc w:val="right"/>
              <w:rPr>
                <w:b/>
                <w:i/>
                <w:noProof/>
                <w:sz w:val="20"/>
                <w:szCs w:val="20"/>
              </w:rPr>
            </w:pPr>
            <w:r>
              <w:rPr>
                <w:b/>
                <w:i/>
                <w:noProof/>
                <w:sz w:val="20"/>
                <w:szCs w:val="20"/>
              </w:rPr>
              <w:t>Sub-total</w:t>
            </w:r>
            <w:r>
              <w:rPr>
                <w:b/>
                <w:i/>
                <w:noProof/>
                <w:sz w:val="20"/>
                <w:szCs w:val="20"/>
              </w:rPr>
              <w:tab/>
              <w:t>05 03</w:t>
            </w:r>
          </w:p>
        </w:tc>
        <w:tc>
          <w:tcPr>
            <w:tcW w:w="1617" w:type="dxa"/>
            <w:shd w:val="clear" w:color="auto" w:fill="D9D9D9"/>
            <w:vAlign w:val="center"/>
          </w:tcPr>
          <w:p>
            <w:pPr>
              <w:widowControl w:val="0"/>
              <w:spacing w:before="15" w:after="15"/>
              <w:jc w:val="right"/>
              <w:rPr>
                <w:b/>
                <w:i/>
                <w:noProof/>
                <w:sz w:val="20"/>
                <w:szCs w:val="20"/>
              </w:rPr>
            </w:pPr>
            <w:r>
              <w:rPr>
                <w:b/>
                <w:i/>
                <w:noProof/>
                <w:sz w:val="20"/>
                <w:szCs w:val="20"/>
                <w:lang w:eastAsia="en-US"/>
              </w:rPr>
              <w:t>-183 900 000</w:t>
            </w:r>
          </w:p>
        </w:tc>
        <w:tc>
          <w:tcPr>
            <w:tcW w:w="1680" w:type="dxa"/>
            <w:gridSpan w:val="2"/>
            <w:shd w:val="clear" w:color="auto" w:fill="D9D9D9"/>
            <w:vAlign w:val="center"/>
          </w:tcPr>
          <w:p>
            <w:pPr>
              <w:widowControl w:val="0"/>
              <w:spacing w:before="15" w:after="15"/>
              <w:jc w:val="right"/>
              <w:rPr>
                <w:b/>
                <w:i/>
                <w:noProof/>
                <w:sz w:val="20"/>
                <w:szCs w:val="20"/>
              </w:rPr>
            </w:pPr>
            <w:r>
              <w:rPr>
                <w:b/>
                <w:i/>
                <w:noProof/>
                <w:sz w:val="20"/>
                <w:szCs w:val="20"/>
              </w:rPr>
              <w:t>-183 900 000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05 07 01 06</w:t>
            </w:r>
          </w:p>
        </w:tc>
        <w:tc>
          <w:tcPr>
            <w:tcW w:w="5503" w:type="dxa"/>
            <w:vAlign w:val="center"/>
          </w:tcPr>
          <w:p>
            <w:pPr>
              <w:rPr>
                <w:noProof/>
                <w:sz w:val="20"/>
                <w:szCs w:val="20"/>
              </w:rPr>
            </w:pPr>
            <w:r>
              <w:rPr>
                <w:noProof/>
                <w:sz w:val="20"/>
                <w:szCs w:val="20"/>
              </w:rPr>
              <w:t>Expenditure for financial corrections in favour of Member States following decisions on accounting clearance of previous years’ accounts with regard to shared management declared under the EAGGF-Guarantee Section (previous measures) and under the EAGF</w:t>
            </w:r>
          </w:p>
        </w:tc>
        <w:tc>
          <w:tcPr>
            <w:tcW w:w="1617" w:type="dxa"/>
            <w:vAlign w:val="center"/>
          </w:tcPr>
          <w:p>
            <w:pPr>
              <w:jc w:val="right"/>
              <w:rPr>
                <w:bCs/>
                <w:noProof/>
                <w:sz w:val="20"/>
                <w:szCs w:val="20"/>
              </w:rPr>
            </w:pPr>
            <w:r>
              <w:rPr>
                <w:bCs/>
                <w:noProof/>
                <w:sz w:val="20"/>
                <w:szCs w:val="20"/>
              </w:rPr>
              <w:t>-1 700 000</w:t>
            </w:r>
          </w:p>
        </w:tc>
        <w:tc>
          <w:tcPr>
            <w:tcW w:w="1680" w:type="dxa"/>
            <w:gridSpan w:val="2"/>
            <w:vAlign w:val="center"/>
          </w:tcPr>
          <w:p>
            <w:pPr>
              <w:jc w:val="right"/>
              <w:rPr>
                <w:bCs/>
                <w:noProof/>
                <w:sz w:val="20"/>
                <w:szCs w:val="20"/>
              </w:rPr>
            </w:pPr>
            <w:r>
              <w:rPr>
                <w:bCs/>
                <w:noProof/>
                <w:sz w:val="20"/>
                <w:szCs w:val="20"/>
              </w:rPr>
              <w:t>-1 700 000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05 07 01 07</w:t>
            </w:r>
          </w:p>
        </w:tc>
        <w:tc>
          <w:tcPr>
            <w:tcW w:w="5503" w:type="dxa"/>
            <w:vAlign w:val="center"/>
          </w:tcPr>
          <w:p>
            <w:pPr>
              <w:rPr>
                <w:noProof/>
                <w:sz w:val="20"/>
                <w:szCs w:val="20"/>
              </w:rPr>
            </w:pPr>
            <w:r>
              <w:rPr>
                <w:noProof/>
                <w:sz w:val="20"/>
                <w:szCs w:val="20"/>
              </w:rPr>
              <w:t>Expenditure for financial corrections in favour of Member States following decisions on conformity clearance of previous years’ accounts with regard to shared management declared under the EAGGF-Guarantee Section (previous measures) and under the EAGF</w:t>
            </w:r>
          </w:p>
        </w:tc>
        <w:tc>
          <w:tcPr>
            <w:tcW w:w="1617" w:type="dxa"/>
            <w:vAlign w:val="center"/>
          </w:tcPr>
          <w:p>
            <w:pPr>
              <w:jc w:val="right"/>
              <w:rPr>
                <w:bCs/>
                <w:noProof/>
                <w:sz w:val="20"/>
                <w:szCs w:val="20"/>
              </w:rPr>
            </w:pPr>
            <w:r>
              <w:rPr>
                <w:bCs/>
                <w:noProof/>
                <w:sz w:val="20"/>
                <w:szCs w:val="20"/>
              </w:rPr>
              <w:t>2 600 000</w:t>
            </w:r>
          </w:p>
        </w:tc>
        <w:tc>
          <w:tcPr>
            <w:tcW w:w="1680" w:type="dxa"/>
            <w:gridSpan w:val="2"/>
            <w:vAlign w:val="center"/>
          </w:tcPr>
          <w:p>
            <w:pPr>
              <w:jc w:val="right"/>
              <w:rPr>
                <w:bCs/>
                <w:noProof/>
                <w:sz w:val="20"/>
                <w:szCs w:val="20"/>
              </w:rPr>
            </w:pPr>
            <w:r>
              <w:rPr>
                <w:bCs/>
                <w:noProof/>
                <w:sz w:val="20"/>
                <w:szCs w:val="20"/>
              </w:rPr>
              <w:t>2 600 000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1200" w:type="dxa"/>
            <w:gridSpan w:val="2"/>
            <w:vAlign w:val="center"/>
          </w:tcPr>
          <w:p>
            <w:pPr>
              <w:rPr>
                <w:noProof/>
                <w:sz w:val="20"/>
                <w:szCs w:val="20"/>
              </w:rPr>
            </w:pPr>
            <w:r>
              <w:rPr>
                <w:noProof/>
                <w:sz w:val="20"/>
                <w:szCs w:val="20"/>
              </w:rPr>
              <w:t>05 07 02</w:t>
            </w:r>
          </w:p>
        </w:tc>
        <w:tc>
          <w:tcPr>
            <w:tcW w:w="5503" w:type="dxa"/>
            <w:vAlign w:val="center"/>
          </w:tcPr>
          <w:p>
            <w:pPr>
              <w:rPr>
                <w:noProof/>
                <w:sz w:val="20"/>
                <w:szCs w:val="20"/>
              </w:rPr>
            </w:pPr>
            <w:r>
              <w:rPr>
                <w:noProof/>
                <w:sz w:val="20"/>
                <w:szCs w:val="20"/>
              </w:rPr>
              <w:t>Settlement of disputes</w:t>
            </w:r>
          </w:p>
        </w:tc>
        <w:tc>
          <w:tcPr>
            <w:tcW w:w="1617" w:type="dxa"/>
            <w:vAlign w:val="center"/>
          </w:tcPr>
          <w:p>
            <w:pPr>
              <w:jc w:val="right"/>
              <w:rPr>
                <w:bCs/>
                <w:noProof/>
                <w:sz w:val="20"/>
                <w:szCs w:val="20"/>
              </w:rPr>
            </w:pPr>
            <w:r>
              <w:rPr>
                <w:bCs/>
                <w:noProof/>
                <w:sz w:val="20"/>
                <w:szCs w:val="20"/>
              </w:rPr>
              <w:t xml:space="preserve">29 000 000 </w:t>
            </w:r>
          </w:p>
        </w:tc>
        <w:tc>
          <w:tcPr>
            <w:tcW w:w="1680" w:type="dxa"/>
            <w:gridSpan w:val="2"/>
            <w:vAlign w:val="center"/>
          </w:tcPr>
          <w:p>
            <w:pPr>
              <w:jc w:val="right"/>
              <w:rPr>
                <w:bCs/>
                <w:noProof/>
                <w:sz w:val="20"/>
                <w:szCs w:val="20"/>
              </w:rPr>
            </w:pPr>
            <w:r>
              <w:rPr>
                <w:bCs/>
                <w:noProof/>
                <w:sz w:val="20"/>
                <w:szCs w:val="20"/>
              </w:rPr>
              <w:t>29 000 000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6703" w:type="dxa"/>
            <w:gridSpan w:val="3"/>
            <w:shd w:val="clear" w:color="auto" w:fill="D9D9D9"/>
            <w:vAlign w:val="center"/>
          </w:tcPr>
          <w:p>
            <w:pPr>
              <w:widowControl w:val="0"/>
              <w:tabs>
                <w:tab w:val="left" w:pos="975"/>
              </w:tabs>
              <w:spacing w:before="15" w:after="15"/>
              <w:jc w:val="right"/>
              <w:rPr>
                <w:b/>
                <w:i/>
                <w:noProof/>
                <w:sz w:val="20"/>
                <w:szCs w:val="20"/>
              </w:rPr>
            </w:pPr>
            <w:r>
              <w:rPr>
                <w:b/>
                <w:i/>
                <w:noProof/>
                <w:sz w:val="20"/>
                <w:szCs w:val="20"/>
              </w:rPr>
              <w:t>Sub-total</w:t>
            </w:r>
            <w:r>
              <w:rPr>
                <w:b/>
                <w:i/>
                <w:noProof/>
                <w:sz w:val="20"/>
                <w:szCs w:val="20"/>
              </w:rPr>
              <w:tab/>
              <w:t>05 07</w:t>
            </w:r>
          </w:p>
        </w:tc>
        <w:tc>
          <w:tcPr>
            <w:tcW w:w="1617" w:type="dxa"/>
            <w:shd w:val="clear" w:color="auto" w:fill="D9D9D9"/>
            <w:vAlign w:val="center"/>
          </w:tcPr>
          <w:p>
            <w:pPr>
              <w:widowControl w:val="0"/>
              <w:spacing w:before="15" w:after="15"/>
              <w:jc w:val="right"/>
              <w:rPr>
                <w:b/>
                <w:i/>
                <w:noProof/>
                <w:sz w:val="20"/>
                <w:szCs w:val="20"/>
              </w:rPr>
            </w:pPr>
            <w:r>
              <w:rPr>
                <w:b/>
                <w:i/>
                <w:noProof/>
                <w:sz w:val="20"/>
                <w:szCs w:val="20"/>
                <w:lang w:eastAsia="en-US"/>
              </w:rPr>
              <w:t>+29 900 000</w:t>
            </w:r>
          </w:p>
        </w:tc>
        <w:tc>
          <w:tcPr>
            <w:tcW w:w="1680" w:type="dxa"/>
            <w:gridSpan w:val="2"/>
            <w:shd w:val="clear" w:color="auto" w:fill="D9D9D9"/>
            <w:vAlign w:val="center"/>
          </w:tcPr>
          <w:p>
            <w:pPr>
              <w:widowControl w:val="0"/>
              <w:spacing w:before="15" w:after="15"/>
              <w:jc w:val="right"/>
              <w:rPr>
                <w:b/>
                <w:i/>
                <w:noProof/>
                <w:sz w:val="20"/>
                <w:szCs w:val="20"/>
              </w:rPr>
            </w:pPr>
            <w:r>
              <w:rPr>
                <w:b/>
                <w:i/>
                <w:noProof/>
                <w:sz w:val="20"/>
                <w:szCs w:val="20"/>
              </w:rPr>
              <w:t>+29 900 000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4"/>
        </w:trPr>
        <w:tc>
          <w:tcPr>
            <w:tcW w:w="6703" w:type="dxa"/>
            <w:gridSpan w:val="3"/>
            <w:shd w:val="clear" w:color="auto" w:fill="D9D9D9"/>
            <w:vAlign w:val="center"/>
          </w:tcPr>
          <w:p>
            <w:pPr>
              <w:widowControl w:val="0"/>
              <w:tabs>
                <w:tab w:val="left" w:pos="975"/>
              </w:tabs>
              <w:spacing w:before="15" w:after="15"/>
              <w:rPr>
                <w:b/>
                <w:noProof/>
                <w:sz w:val="20"/>
                <w:szCs w:val="20"/>
              </w:rPr>
            </w:pPr>
            <w:r>
              <w:rPr>
                <w:b/>
                <w:noProof/>
                <w:sz w:val="20"/>
                <w:szCs w:val="20"/>
              </w:rPr>
              <w:t>Total EAGF</w:t>
            </w:r>
            <w:r>
              <w:rPr>
                <w:b/>
                <w:noProof/>
                <w:sz w:val="20"/>
                <w:szCs w:val="20"/>
              </w:rPr>
              <w:tab/>
            </w:r>
          </w:p>
        </w:tc>
        <w:tc>
          <w:tcPr>
            <w:tcW w:w="1617" w:type="dxa"/>
            <w:shd w:val="clear" w:color="auto" w:fill="D9D9D9"/>
            <w:vAlign w:val="center"/>
          </w:tcPr>
          <w:p>
            <w:pPr>
              <w:widowControl w:val="0"/>
              <w:spacing w:before="15" w:after="15"/>
              <w:jc w:val="right"/>
              <w:rPr>
                <w:b/>
                <w:noProof/>
                <w:sz w:val="20"/>
                <w:szCs w:val="20"/>
              </w:rPr>
            </w:pPr>
            <w:r>
              <w:rPr>
                <w:b/>
                <w:noProof/>
                <w:sz w:val="20"/>
                <w:szCs w:val="20"/>
                <w:lang w:eastAsia="en-US"/>
              </w:rPr>
              <w:t>-184 000 000</w:t>
            </w:r>
          </w:p>
        </w:tc>
        <w:tc>
          <w:tcPr>
            <w:tcW w:w="1680" w:type="dxa"/>
            <w:gridSpan w:val="2"/>
            <w:shd w:val="clear" w:color="auto" w:fill="D9D9D9"/>
            <w:vAlign w:val="center"/>
          </w:tcPr>
          <w:p>
            <w:pPr>
              <w:widowControl w:val="0"/>
              <w:spacing w:before="15" w:after="15"/>
              <w:jc w:val="right"/>
              <w:rPr>
                <w:b/>
                <w:noProof/>
                <w:sz w:val="20"/>
                <w:szCs w:val="20"/>
              </w:rPr>
            </w:pPr>
            <w:r>
              <w:rPr>
                <w:b/>
                <w:noProof/>
                <w:sz w:val="20"/>
                <w:szCs w:val="20"/>
              </w:rPr>
              <w:t>-184 000 000</w:t>
            </w:r>
          </w:p>
        </w:tc>
      </w:tr>
    </w:tbl>
    <w:p>
      <w:pPr>
        <w:autoSpaceDE w:val="0"/>
        <w:autoSpaceDN w:val="0"/>
        <w:adjustRightInd w:val="0"/>
        <w:spacing w:before="120" w:after="120"/>
        <w:jc w:val="both"/>
        <w:rPr>
          <w:noProof/>
        </w:rPr>
      </w:pPr>
      <w:bookmarkStart w:id="53" w:name="_Toc462933859"/>
      <w:bookmarkStart w:id="54" w:name="_Toc462935220"/>
      <w:bookmarkStart w:id="55" w:name="_Toc462935322"/>
      <w:bookmarkStart w:id="56" w:name="_Toc462935370"/>
      <w:bookmarkStart w:id="57" w:name="_Toc462935527"/>
      <w:bookmarkStart w:id="58" w:name="_Toc463004747"/>
      <w:bookmarkStart w:id="59" w:name="_Toc463974174"/>
      <w:bookmarkStart w:id="60" w:name="_Toc464028219"/>
      <w:bookmarkStart w:id="61" w:name="_Toc464028351"/>
      <w:bookmarkStart w:id="62" w:name="_Toc463974178"/>
      <w:bookmarkStart w:id="63" w:name="_Toc464028223"/>
      <w:bookmarkStart w:id="64" w:name="_Toc464028355"/>
      <w:bookmarkEnd w:id="53"/>
      <w:bookmarkEnd w:id="54"/>
      <w:bookmarkEnd w:id="55"/>
      <w:bookmarkEnd w:id="56"/>
      <w:bookmarkEnd w:id="57"/>
      <w:bookmarkEnd w:id="58"/>
      <w:bookmarkEnd w:id="59"/>
      <w:bookmarkEnd w:id="60"/>
      <w:bookmarkEnd w:id="61"/>
      <w:bookmarkEnd w:id="62"/>
      <w:bookmarkEnd w:id="63"/>
      <w:bookmarkEnd w:id="64"/>
      <w:r>
        <w:rPr>
          <w:noProof/>
        </w:rPr>
        <w:t>The budget remarks of chapters 05 02 and 05 03 as well as for revenue articles 6701 and 6702 are adjusted in the budget annex.</w:t>
      </w:r>
    </w:p>
    <w:p>
      <w:pPr>
        <w:pStyle w:val="ManualHeading1"/>
        <w:spacing w:before="240"/>
        <w:rPr>
          <w:noProof/>
        </w:rPr>
      </w:pPr>
      <w:bookmarkStart w:id="65" w:name="_Toc527106856"/>
      <w:bookmarkStart w:id="66" w:name="_Toc526753784"/>
      <w:r>
        <w:rPr>
          <w:noProof/>
        </w:rPr>
        <w:t>3.</w:t>
      </w:r>
      <w:r>
        <w:rPr>
          <w:noProof/>
        </w:rPr>
        <w:tab/>
        <w:t>Impact of agreements on Commission proposals</w:t>
      </w:r>
      <w:bookmarkEnd w:id="65"/>
      <w:bookmarkEnd w:id="66"/>
    </w:p>
    <w:p>
      <w:pPr>
        <w:keepNext/>
        <w:tabs>
          <w:tab w:val="left" w:pos="850"/>
        </w:tabs>
        <w:spacing w:before="360" w:after="120"/>
        <w:ind w:left="357" w:hanging="357"/>
        <w:jc w:val="both"/>
        <w:outlineLvl w:val="1"/>
        <w:rPr>
          <w:rFonts w:eastAsia="Calibri"/>
          <w:b/>
          <w:noProof/>
          <w:lang w:eastAsia="en-US"/>
        </w:rPr>
      </w:pPr>
      <w:bookmarkStart w:id="67" w:name="_Toc527106857"/>
      <w:bookmarkStart w:id="68" w:name="_Toc526753785"/>
      <w:r>
        <w:rPr>
          <w:rFonts w:eastAsia="Calibri"/>
          <w:b/>
          <w:noProof/>
          <w:lang w:eastAsia="en-US"/>
        </w:rPr>
        <w:t xml:space="preserve">3.1 </w:t>
      </w:r>
      <w:r>
        <w:rPr>
          <w:rFonts w:eastAsia="Calibri"/>
          <w:b/>
          <w:noProof/>
          <w:lang w:eastAsia="en-US"/>
        </w:rPr>
        <w:tab/>
        <w:t>European Defence Industrial Development Programme</w:t>
      </w:r>
      <w:bookmarkEnd w:id="67"/>
      <w:bookmarkEnd w:id="68"/>
    </w:p>
    <w:p>
      <w:pPr>
        <w:spacing w:before="120" w:after="120"/>
        <w:jc w:val="both"/>
        <w:rPr>
          <w:rFonts w:eastAsia="Calibri"/>
          <w:noProof/>
        </w:rPr>
      </w:pPr>
      <w:r>
        <w:rPr>
          <w:noProof/>
        </w:rPr>
        <w:t xml:space="preserve">The Commission proposes to update the commitment appropriations foreseen for </w:t>
      </w:r>
      <w:r>
        <w:rPr>
          <w:rFonts w:eastAsia="Calibri"/>
          <w:noProof/>
        </w:rPr>
        <w:t>the European Defence Industrial Development Programme (EDIDP)</w:t>
      </w:r>
      <w:r>
        <w:rPr>
          <w:noProof/>
        </w:rPr>
        <w:t xml:space="preserve"> in order to reflect the political agreement</w:t>
      </w:r>
      <w:r>
        <w:rPr>
          <w:rStyle w:val="FootnoteReference"/>
          <w:rFonts w:eastAsia="Calibri"/>
          <w:noProof/>
        </w:rPr>
        <w:footnoteReference w:id="6"/>
      </w:r>
      <w:r>
        <w:rPr>
          <w:noProof/>
        </w:rPr>
        <w:t xml:space="preserve"> reached between the European Parliament and the Council in May 2018 on the proposal tabled by the Commission in May 2017</w:t>
      </w:r>
      <w:r>
        <w:rPr>
          <w:rStyle w:val="FootnoteReference"/>
          <w:rFonts w:eastAsia="Calibri"/>
          <w:noProof/>
        </w:rPr>
        <w:footnoteReference w:id="7"/>
      </w:r>
      <w:r>
        <w:rPr>
          <w:noProof/>
        </w:rPr>
        <w:t>.</w:t>
      </w:r>
    </w:p>
    <w:p>
      <w:pPr>
        <w:spacing w:before="120" w:after="120"/>
        <w:jc w:val="both"/>
        <w:rPr>
          <w:rFonts w:eastAsia="Calibri"/>
          <w:noProof/>
        </w:rPr>
      </w:pPr>
      <w:r>
        <w:rPr>
          <w:rFonts w:eastAsia="Calibri"/>
          <w:noProof/>
        </w:rPr>
        <w:t>The agreement includes the establishment, as requested by Member States, of a secured network for exchange of EU Classified Information, with an encryption system, between them and the Commission. The financing of this requirement, which was not foreseen in the Commission's proposal, is proposed to be covered by the administrative support expenditure line of the programme.</w:t>
      </w:r>
    </w:p>
    <w:p>
      <w:pPr>
        <w:spacing w:before="120" w:after="120"/>
        <w:jc w:val="both"/>
        <w:rPr>
          <w:rFonts w:eastAsia="Calibri"/>
          <w:noProof/>
        </w:rPr>
      </w:pPr>
      <w:r>
        <w:rPr>
          <w:rFonts w:eastAsia="Calibri"/>
          <w:noProof/>
        </w:rPr>
        <w:t>The details by budget line are presented in the table below:</w:t>
      </w:r>
    </w:p>
    <w:tbl>
      <w:tblPr>
        <w:tblW w:w="10000" w:type="dxa"/>
        <w:jc w:val="center"/>
        <w:tblLayout w:type="fixed"/>
        <w:tblCellMar>
          <w:left w:w="40" w:type="dxa"/>
          <w:right w:w="40" w:type="dxa"/>
        </w:tblCellMar>
        <w:tblLook w:val="0000" w:firstRow="0" w:lastRow="0" w:firstColumn="0" w:lastColumn="0" w:noHBand="0" w:noVBand="0"/>
      </w:tblPr>
      <w:tblGrid>
        <w:gridCol w:w="9"/>
        <w:gridCol w:w="1165"/>
        <w:gridCol w:w="26"/>
        <w:gridCol w:w="5503"/>
        <w:gridCol w:w="1617"/>
        <w:gridCol w:w="1672"/>
        <w:gridCol w:w="8"/>
      </w:tblGrid>
      <w:tr>
        <w:trPr>
          <w:gridBefore w:val="1"/>
          <w:gridAfter w:val="1"/>
          <w:wBefore w:w="9" w:type="dxa"/>
          <w:wAfter w:w="8" w:type="dxa"/>
          <w:trHeight w:val="164"/>
          <w:tblHeader/>
          <w:jc w:val="center"/>
        </w:trPr>
        <w:tc>
          <w:tcPr>
            <w:tcW w:w="9983" w:type="dxa"/>
            <w:gridSpan w:val="5"/>
            <w:shd w:val="clear" w:color="auto" w:fill="FFFFFF"/>
            <w:vAlign w:val="center"/>
          </w:tcPr>
          <w:p>
            <w:pPr>
              <w:jc w:val="right"/>
              <w:rPr>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blHeader/>
        </w:trPr>
        <w:tc>
          <w:tcPr>
            <w:tcW w:w="1174"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Budget line</w:t>
            </w:r>
          </w:p>
        </w:tc>
        <w:tc>
          <w:tcPr>
            <w:tcW w:w="5529"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Name</w:t>
            </w:r>
          </w:p>
        </w:tc>
        <w:tc>
          <w:tcPr>
            <w:tcW w:w="1617"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Commitment appropriations</w:t>
            </w:r>
          </w:p>
        </w:tc>
        <w:tc>
          <w:tcPr>
            <w:tcW w:w="168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00" w:type="dxa"/>
            <w:gridSpan w:val="7"/>
            <w:shd w:val="clear" w:color="auto" w:fill="F2F2F2" w:themeFill="background1" w:themeFillShade="F2"/>
          </w:tcPr>
          <w:p>
            <w:pPr>
              <w:widowControl w:val="0"/>
              <w:spacing w:before="15" w:after="15" w:line="276" w:lineRule="auto"/>
              <w:rPr>
                <w:i/>
                <w:noProof/>
                <w:sz w:val="20"/>
                <w:szCs w:val="20"/>
                <w:lang w:eastAsia="en-US"/>
              </w:rPr>
            </w:pPr>
            <w:r>
              <w:rPr>
                <w:i/>
                <w:noProof/>
                <w:sz w:val="20"/>
                <w:szCs w:val="20"/>
                <w:lang w:eastAsia="en-US"/>
              </w:rPr>
              <w:t>Section III – European Commission</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3"/>
          </w:tcPr>
          <w:p>
            <w:pPr>
              <w:widowControl w:val="0"/>
              <w:spacing w:before="15" w:after="15" w:line="276" w:lineRule="auto"/>
              <w:ind w:right="-113"/>
              <w:jc w:val="both"/>
              <w:rPr>
                <w:noProof/>
                <w:sz w:val="20"/>
                <w:szCs w:val="20"/>
                <w:lang w:eastAsia="en-US"/>
              </w:rPr>
            </w:pPr>
            <w:r>
              <w:rPr>
                <w:noProof/>
                <w:sz w:val="20"/>
                <w:szCs w:val="20"/>
                <w:lang w:eastAsia="en-US"/>
              </w:rPr>
              <w:t>02 01 04 05</w:t>
            </w:r>
          </w:p>
        </w:tc>
        <w:tc>
          <w:tcPr>
            <w:tcW w:w="5503" w:type="dxa"/>
          </w:tcPr>
          <w:p>
            <w:pPr>
              <w:rPr>
                <w:noProof/>
                <w:sz w:val="20"/>
                <w:szCs w:val="20"/>
                <w:lang w:eastAsia="en-US"/>
              </w:rPr>
            </w:pPr>
            <w:r>
              <w:rPr>
                <w:noProof/>
                <w:sz w:val="20"/>
                <w:szCs w:val="20"/>
                <w:lang w:eastAsia="en-US"/>
              </w:rPr>
              <w:t>Support expenditure of the European Defence Industrial Development Programme (EDIDP)</w:t>
            </w:r>
          </w:p>
        </w:tc>
        <w:tc>
          <w:tcPr>
            <w:tcW w:w="1617" w:type="dxa"/>
          </w:tcPr>
          <w:p>
            <w:pPr>
              <w:widowControl w:val="0"/>
              <w:spacing w:before="15" w:after="15" w:line="276" w:lineRule="auto"/>
              <w:jc w:val="right"/>
              <w:rPr>
                <w:noProof/>
                <w:sz w:val="20"/>
                <w:szCs w:val="20"/>
                <w:lang w:eastAsia="en-US"/>
              </w:rPr>
            </w:pPr>
            <w:r>
              <w:rPr>
                <w:noProof/>
                <w:sz w:val="20"/>
                <w:szCs w:val="20"/>
                <w:lang w:eastAsia="en-US"/>
              </w:rPr>
              <w:t>1 750 000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1 750 000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3"/>
          </w:tcPr>
          <w:p>
            <w:pPr>
              <w:widowControl w:val="0"/>
              <w:spacing w:before="15" w:after="15" w:line="276" w:lineRule="auto"/>
              <w:ind w:right="-113"/>
              <w:jc w:val="both"/>
              <w:rPr>
                <w:noProof/>
                <w:sz w:val="20"/>
                <w:szCs w:val="20"/>
                <w:lang w:eastAsia="en-US"/>
              </w:rPr>
            </w:pPr>
            <w:r>
              <w:rPr>
                <w:noProof/>
                <w:sz w:val="20"/>
                <w:szCs w:val="20"/>
                <w:lang w:eastAsia="en-US"/>
              </w:rPr>
              <w:t>02 05 01</w:t>
            </w:r>
          </w:p>
        </w:tc>
        <w:tc>
          <w:tcPr>
            <w:tcW w:w="5503" w:type="dxa"/>
          </w:tcPr>
          <w:p>
            <w:pPr>
              <w:rPr>
                <w:noProof/>
                <w:sz w:val="20"/>
                <w:szCs w:val="20"/>
                <w:lang w:eastAsia="en-US"/>
              </w:rPr>
            </w:pPr>
            <w:r>
              <w:rPr>
                <w:noProof/>
                <w:sz w:val="20"/>
                <w:szCs w:val="20"/>
                <w:lang w:eastAsia="en-US"/>
              </w:rPr>
              <w:t>Developing and providing global satellite-based radio navigation infrastructures and services (Galileo) by 2020</w:t>
            </w:r>
          </w:p>
        </w:tc>
        <w:tc>
          <w:tcPr>
            <w:tcW w:w="1617" w:type="dxa"/>
          </w:tcPr>
          <w:p>
            <w:pPr>
              <w:widowControl w:val="0"/>
              <w:spacing w:before="15" w:after="15" w:line="276" w:lineRule="auto"/>
              <w:jc w:val="right"/>
              <w:rPr>
                <w:noProof/>
                <w:sz w:val="20"/>
                <w:szCs w:val="20"/>
                <w:lang w:eastAsia="en-US"/>
              </w:rPr>
            </w:pPr>
            <w:r>
              <w:rPr>
                <w:noProof/>
                <w:sz w:val="20"/>
                <w:szCs w:val="20"/>
                <w:lang w:eastAsia="en-US"/>
              </w:rPr>
              <w:t>15 950 000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3"/>
          </w:tcPr>
          <w:p>
            <w:pPr>
              <w:widowControl w:val="0"/>
              <w:spacing w:before="15" w:after="15" w:line="276" w:lineRule="auto"/>
              <w:ind w:right="-113"/>
              <w:jc w:val="both"/>
              <w:rPr>
                <w:noProof/>
                <w:sz w:val="20"/>
                <w:szCs w:val="20"/>
                <w:lang w:eastAsia="en-US"/>
              </w:rPr>
            </w:pPr>
            <w:r>
              <w:rPr>
                <w:noProof/>
                <w:sz w:val="20"/>
                <w:szCs w:val="20"/>
                <w:lang w:eastAsia="en-US"/>
              </w:rPr>
              <w:t>02 06 01</w:t>
            </w:r>
          </w:p>
        </w:tc>
        <w:tc>
          <w:tcPr>
            <w:tcW w:w="5503" w:type="dxa"/>
          </w:tcPr>
          <w:p>
            <w:pPr>
              <w:rPr>
                <w:noProof/>
                <w:sz w:val="20"/>
                <w:szCs w:val="20"/>
                <w:lang w:eastAsia="en-US"/>
              </w:rPr>
            </w:pPr>
            <w:r>
              <w:rPr>
                <w:noProof/>
                <w:sz w:val="20"/>
                <w:szCs w:val="20"/>
                <w:lang w:eastAsia="en-US"/>
              </w:rPr>
              <w:t>Delivering operational services relying on space-borne observations and in-situ data (Copernicus)</w:t>
            </w:r>
          </w:p>
        </w:tc>
        <w:tc>
          <w:tcPr>
            <w:tcW w:w="1617" w:type="dxa"/>
          </w:tcPr>
          <w:p>
            <w:pPr>
              <w:widowControl w:val="0"/>
              <w:spacing w:before="15" w:after="15" w:line="276" w:lineRule="auto"/>
              <w:jc w:val="right"/>
              <w:rPr>
                <w:noProof/>
                <w:sz w:val="20"/>
                <w:szCs w:val="20"/>
                <w:lang w:eastAsia="en-US"/>
              </w:rPr>
            </w:pPr>
            <w:r>
              <w:rPr>
                <w:noProof/>
                <w:sz w:val="20"/>
                <w:szCs w:val="20"/>
                <w:lang w:eastAsia="en-US"/>
              </w:rPr>
              <w:t>2 000 000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3"/>
          </w:tcPr>
          <w:p>
            <w:pPr>
              <w:widowControl w:val="0"/>
              <w:spacing w:before="15" w:after="15" w:line="276" w:lineRule="auto"/>
              <w:ind w:right="-113"/>
              <w:jc w:val="both"/>
              <w:rPr>
                <w:noProof/>
                <w:sz w:val="20"/>
                <w:szCs w:val="20"/>
                <w:lang w:eastAsia="en-US"/>
              </w:rPr>
            </w:pPr>
            <w:r>
              <w:rPr>
                <w:noProof/>
                <w:sz w:val="20"/>
                <w:szCs w:val="20"/>
                <w:lang w:eastAsia="en-US"/>
              </w:rPr>
              <w:t>02 07 01</w:t>
            </w:r>
          </w:p>
        </w:tc>
        <w:tc>
          <w:tcPr>
            <w:tcW w:w="5503" w:type="dxa"/>
          </w:tcPr>
          <w:p>
            <w:pPr>
              <w:rPr>
                <w:noProof/>
                <w:sz w:val="20"/>
                <w:szCs w:val="20"/>
                <w:lang w:eastAsia="en-US"/>
              </w:rPr>
            </w:pPr>
            <w:r>
              <w:rPr>
                <w:noProof/>
                <w:sz w:val="20"/>
                <w:szCs w:val="20"/>
                <w:lang w:eastAsia="en-US"/>
              </w:rPr>
              <w:t>European Defence Industrial Development Programme (EDIDP)</w:t>
            </w:r>
          </w:p>
        </w:tc>
        <w:tc>
          <w:tcPr>
            <w:tcW w:w="1617" w:type="dxa"/>
          </w:tcPr>
          <w:p>
            <w:pPr>
              <w:widowControl w:val="0"/>
              <w:spacing w:before="15" w:after="15" w:line="276" w:lineRule="auto"/>
              <w:jc w:val="right"/>
              <w:rPr>
                <w:noProof/>
                <w:sz w:val="20"/>
                <w:szCs w:val="20"/>
                <w:lang w:eastAsia="en-US"/>
              </w:rPr>
            </w:pPr>
            <w:r>
              <w:rPr>
                <w:noProof/>
                <w:sz w:val="20"/>
                <w:szCs w:val="20"/>
                <w:lang w:eastAsia="en-US"/>
              </w:rPr>
              <w:t>243 250 000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145 250 000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3"/>
          </w:tcPr>
          <w:p>
            <w:pPr>
              <w:widowControl w:val="0"/>
              <w:spacing w:before="15" w:after="15" w:line="276" w:lineRule="auto"/>
              <w:ind w:right="-113"/>
              <w:jc w:val="both"/>
              <w:rPr>
                <w:noProof/>
                <w:sz w:val="20"/>
                <w:szCs w:val="20"/>
                <w:lang w:eastAsia="en-US"/>
              </w:rPr>
            </w:pPr>
            <w:r>
              <w:rPr>
                <w:noProof/>
                <w:sz w:val="20"/>
                <w:szCs w:val="20"/>
                <w:lang w:eastAsia="en-US"/>
              </w:rPr>
              <w:t>09 03 03</w:t>
            </w:r>
          </w:p>
        </w:tc>
        <w:tc>
          <w:tcPr>
            <w:tcW w:w="5503" w:type="dxa"/>
          </w:tcPr>
          <w:p>
            <w:pPr>
              <w:rPr>
                <w:noProof/>
                <w:sz w:val="20"/>
                <w:szCs w:val="20"/>
                <w:lang w:eastAsia="en-US"/>
              </w:rPr>
            </w:pPr>
            <w:r>
              <w:rPr>
                <w:noProof/>
                <w:sz w:val="20"/>
                <w:szCs w:val="20"/>
                <w:lang w:eastAsia="en-US"/>
              </w:rPr>
              <w:t>Promoting interoperability, sustainable deployment, operation and upgrading of trans-European digital service infrastructures, as well as coordination at European level</w:t>
            </w:r>
          </w:p>
        </w:tc>
        <w:tc>
          <w:tcPr>
            <w:tcW w:w="1617" w:type="dxa"/>
          </w:tcPr>
          <w:p>
            <w:pPr>
              <w:widowControl w:val="0"/>
              <w:spacing w:before="15" w:after="15" w:line="276" w:lineRule="auto"/>
              <w:jc w:val="right"/>
              <w:rPr>
                <w:noProof/>
                <w:sz w:val="20"/>
                <w:szCs w:val="20"/>
                <w:lang w:eastAsia="en-US"/>
              </w:rPr>
            </w:pPr>
            <w:r>
              <w:rPr>
                <w:noProof/>
                <w:sz w:val="20"/>
                <w:szCs w:val="20"/>
                <w:lang w:eastAsia="en-US"/>
              </w:rPr>
              <w:t>1 992 858</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3"/>
          </w:tcPr>
          <w:p>
            <w:pPr>
              <w:widowControl w:val="0"/>
              <w:spacing w:before="15" w:after="15" w:line="276" w:lineRule="auto"/>
              <w:ind w:right="-113"/>
              <w:jc w:val="both"/>
              <w:rPr>
                <w:noProof/>
                <w:sz w:val="20"/>
                <w:szCs w:val="20"/>
                <w:lang w:eastAsia="en-US"/>
              </w:rPr>
            </w:pPr>
            <w:r>
              <w:rPr>
                <w:noProof/>
                <w:sz w:val="20"/>
                <w:szCs w:val="20"/>
                <w:lang w:eastAsia="en-US"/>
              </w:rPr>
              <w:t>32 02 01 01</w:t>
            </w:r>
          </w:p>
        </w:tc>
        <w:tc>
          <w:tcPr>
            <w:tcW w:w="5503" w:type="dxa"/>
          </w:tcPr>
          <w:p>
            <w:pPr>
              <w:rPr>
                <w:noProof/>
                <w:sz w:val="20"/>
                <w:szCs w:val="20"/>
                <w:lang w:eastAsia="en-US"/>
              </w:rPr>
            </w:pPr>
            <w:r>
              <w:rPr>
                <w:noProof/>
                <w:sz w:val="20"/>
                <w:szCs w:val="20"/>
                <w:lang w:eastAsia="en-US"/>
              </w:rPr>
              <w:t>Further integration of the internal energy market and the interoperability of electricity and gas networks across borders</w:t>
            </w:r>
          </w:p>
        </w:tc>
        <w:tc>
          <w:tcPr>
            <w:tcW w:w="1617" w:type="dxa"/>
          </w:tcPr>
          <w:p>
            <w:pPr>
              <w:widowControl w:val="0"/>
              <w:spacing w:before="15" w:after="15" w:line="276" w:lineRule="auto"/>
              <w:jc w:val="right"/>
              <w:rPr>
                <w:noProof/>
                <w:sz w:val="20"/>
                <w:szCs w:val="20"/>
                <w:lang w:eastAsia="en-US"/>
              </w:rPr>
            </w:pPr>
            <w:r>
              <w:rPr>
                <w:noProof/>
                <w:sz w:val="20"/>
                <w:szCs w:val="20"/>
                <w:lang w:eastAsia="en-US"/>
              </w:rPr>
              <w:t>3 985 714</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3"/>
          </w:tcPr>
          <w:p>
            <w:pPr>
              <w:widowControl w:val="0"/>
              <w:spacing w:before="15" w:after="15" w:line="276" w:lineRule="auto"/>
              <w:ind w:right="-113"/>
              <w:jc w:val="both"/>
              <w:rPr>
                <w:noProof/>
                <w:sz w:val="20"/>
                <w:szCs w:val="20"/>
                <w:lang w:eastAsia="en-US"/>
              </w:rPr>
            </w:pPr>
            <w:r>
              <w:rPr>
                <w:noProof/>
                <w:sz w:val="20"/>
                <w:szCs w:val="20"/>
                <w:lang w:eastAsia="en-US"/>
              </w:rPr>
              <w:t>32 02 01 02</w:t>
            </w:r>
          </w:p>
        </w:tc>
        <w:tc>
          <w:tcPr>
            <w:tcW w:w="5503" w:type="dxa"/>
          </w:tcPr>
          <w:p>
            <w:pPr>
              <w:rPr>
                <w:noProof/>
                <w:sz w:val="20"/>
                <w:szCs w:val="20"/>
                <w:lang w:eastAsia="en-US"/>
              </w:rPr>
            </w:pPr>
            <w:r>
              <w:rPr>
                <w:noProof/>
                <w:sz w:val="20"/>
                <w:szCs w:val="20"/>
                <w:lang w:eastAsia="en-US"/>
              </w:rPr>
              <w:t>Enhancing Union security of energy supply</w:t>
            </w:r>
          </w:p>
        </w:tc>
        <w:tc>
          <w:tcPr>
            <w:tcW w:w="1617" w:type="dxa"/>
          </w:tcPr>
          <w:p>
            <w:pPr>
              <w:widowControl w:val="0"/>
              <w:spacing w:before="15" w:after="15" w:line="276" w:lineRule="auto"/>
              <w:jc w:val="right"/>
              <w:rPr>
                <w:noProof/>
                <w:sz w:val="20"/>
                <w:szCs w:val="20"/>
                <w:lang w:eastAsia="en-US"/>
              </w:rPr>
            </w:pPr>
            <w:r>
              <w:rPr>
                <w:noProof/>
                <w:sz w:val="20"/>
                <w:szCs w:val="20"/>
                <w:lang w:eastAsia="en-US"/>
              </w:rPr>
              <w:t>3 985 714</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3"/>
          </w:tcPr>
          <w:p>
            <w:pPr>
              <w:widowControl w:val="0"/>
              <w:spacing w:before="15" w:after="15" w:line="276" w:lineRule="auto"/>
              <w:ind w:right="-113"/>
              <w:jc w:val="both"/>
              <w:rPr>
                <w:noProof/>
                <w:sz w:val="20"/>
                <w:szCs w:val="20"/>
                <w:lang w:eastAsia="en-US"/>
              </w:rPr>
            </w:pPr>
            <w:r>
              <w:rPr>
                <w:noProof/>
                <w:sz w:val="20"/>
                <w:szCs w:val="20"/>
                <w:lang w:eastAsia="en-US"/>
              </w:rPr>
              <w:t>32 02 01 03</w:t>
            </w:r>
          </w:p>
        </w:tc>
        <w:tc>
          <w:tcPr>
            <w:tcW w:w="5503" w:type="dxa"/>
          </w:tcPr>
          <w:p>
            <w:pPr>
              <w:rPr>
                <w:noProof/>
                <w:sz w:val="20"/>
                <w:szCs w:val="20"/>
                <w:lang w:eastAsia="en-US"/>
              </w:rPr>
            </w:pPr>
            <w:r>
              <w:rPr>
                <w:noProof/>
                <w:sz w:val="20"/>
                <w:szCs w:val="20"/>
                <w:lang w:eastAsia="en-US"/>
              </w:rPr>
              <w:t>Contributing to sustainable development and protection of the environment</w:t>
            </w:r>
          </w:p>
        </w:tc>
        <w:tc>
          <w:tcPr>
            <w:tcW w:w="1617" w:type="dxa"/>
          </w:tcPr>
          <w:p>
            <w:pPr>
              <w:widowControl w:val="0"/>
              <w:spacing w:before="15" w:after="15" w:line="276" w:lineRule="auto"/>
              <w:jc w:val="right"/>
              <w:rPr>
                <w:noProof/>
                <w:sz w:val="20"/>
                <w:szCs w:val="20"/>
                <w:lang w:eastAsia="en-US"/>
              </w:rPr>
            </w:pPr>
            <w:r>
              <w:rPr>
                <w:noProof/>
                <w:sz w:val="20"/>
                <w:szCs w:val="20"/>
                <w:lang w:eastAsia="en-US"/>
              </w:rPr>
              <w:t>3 985 714</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3"/>
          </w:tcPr>
          <w:p>
            <w:pPr>
              <w:widowControl w:val="0"/>
              <w:spacing w:before="15" w:after="15" w:line="276" w:lineRule="auto"/>
              <w:ind w:right="-113"/>
              <w:jc w:val="both"/>
              <w:rPr>
                <w:noProof/>
                <w:sz w:val="20"/>
                <w:szCs w:val="20"/>
                <w:lang w:eastAsia="en-US"/>
              </w:rPr>
            </w:pPr>
            <w:r>
              <w:rPr>
                <w:noProof/>
                <w:sz w:val="20"/>
                <w:szCs w:val="20"/>
                <w:lang w:eastAsia="en-US"/>
              </w:rPr>
              <w:t>32 05 01 02</w:t>
            </w:r>
          </w:p>
        </w:tc>
        <w:tc>
          <w:tcPr>
            <w:tcW w:w="5503" w:type="dxa"/>
          </w:tcPr>
          <w:p>
            <w:pPr>
              <w:rPr>
                <w:noProof/>
                <w:sz w:val="20"/>
                <w:szCs w:val="20"/>
                <w:lang w:eastAsia="en-US"/>
              </w:rPr>
            </w:pPr>
            <w:r>
              <w:rPr>
                <w:noProof/>
                <w:sz w:val="20"/>
                <w:szCs w:val="20"/>
                <w:lang w:eastAsia="en-US"/>
              </w:rPr>
              <w:t>Construction, operation and exploitation of the ITER facilities – European Joint Undertaking for ITER — Fusion for Energy (F4E)</w:t>
            </w:r>
          </w:p>
        </w:tc>
        <w:tc>
          <w:tcPr>
            <w:tcW w:w="1617" w:type="dxa"/>
          </w:tcPr>
          <w:p>
            <w:pPr>
              <w:widowControl w:val="0"/>
              <w:spacing w:before="15" w:after="15" w:line="276" w:lineRule="auto"/>
              <w:jc w:val="right"/>
              <w:rPr>
                <w:noProof/>
                <w:sz w:val="20"/>
                <w:szCs w:val="20"/>
                <w:lang w:eastAsia="en-US"/>
              </w:rPr>
            </w:pPr>
            <w:r>
              <w:rPr>
                <w:noProof/>
                <w:sz w:val="20"/>
                <w:szCs w:val="20"/>
                <w:lang w:eastAsia="en-US"/>
              </w:rPr>
              <w:t>6 050 000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3"/>
          </w:tcPr>
          <w:p>
            <w:pPr>
              <w:widowControl w:val="0"/>
              <w:spacing w:before="15" w:after="15" w:line="276" w:lineRule="auto"/>
              <w:ind w:right="-113"/>
              <w:jc w:val="both"/>
              <w:rPr>
                <w:noProof/>
                <w:sz w:val="20"/>
                <w:szCs w:val="20"/>
                <w:lang w:eastAsia="en-US"/>
              </w:rPr>
            </w:pPr>
            <w:r>
              <w:rPr>
                <w:noProof/>
                <w:sz w:val="20"/>
                <w:szCs w:val="20"/>
                <w:lang w:eastAsia="en-US"/>
              </w:rPr>
              <w:t xml:space="preserve">40 01 40 </w:t>
            </w:r>
          </w:p>
        </w:tc>
        <w:tc>
          <w:tcPr>
            <w:tcW w:w="5503" w:type="dxa"/>
          </w:tcPr>
          <w:p>
            <w:pPr>
              <w:rPr>
                <w:noProof/>
                <w:sz w:val="20"/>
                <w:szCs w:val="20"/>
                <w:lang w:eastAsia="en-US"/>
              </w:rPr>
            </w:pPr>
            <w:r>
              <w:rPr>
                <w:noProof/>
                <w:sz w:val="20"/>
                <w:szCs w:val="20"/>
                <w:lang w:eastAsia="en-US"/>
              </w:rPr>
              <w:t>Administrative reserve</w:t>
            </w:r>
          </w:p>
        </w:tc>
        <w:tc>
          <w:tcPr>
            <w:tcW w:w="1617" w:type="dxa"/>
          </w:tcPr>
          <w:p>
            <w:pPr>
              <w:widowControl w:val="0"/>
              <w:spacing w:before="15" w:after="15" w:line="276" w:lineRule="auto"/>
              <w:jc w:val="right"/>
              <w:rPr>
                <w:noProof/>
                <w:sz w:val="20"/>
                <w:szCs w:val="20"/>
                <w:lang w:eastAsia="en-US"/>
              </w:rPr>
            </w:pPr>
            <w:r>
              <w:rPr>
                <w:noProof/>
                <w:sz w:val="20"/>
                <w:szCs w:val="20"/>
                <w:lang w:eastAsia="en-US"/>
              </w:rPr>
              <w:t>-300 000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-300 000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3"/>
          </w:tcPr>
          <w:p>
            <w:pPr>
              <w:widowControl w:val="0"/>
              <w:spacing w:before="15" w:after="15" w:line="276" w:lineRule="auto"/>
              <w:ind w:right="-113"/>
              <w:jc w:val="both"/>
              <w:rPr>
                <w:noProof/>
                <w:sz w:val="20"/>
                <w:szCs w:val="20"/>
                <w:lang w:eastAsia="en-US"/>
              </w:rPr>
            </w:pPr>
            <w:r>
              <w:rPr>
                <w:noProof/>
                <w:sz w:val="20"/>
                <w:szCs w:val="20"/>
                <w:lang w:eastAsia="en-US"/>
              </w:rPr>
              <w:t>40 02 41</w:t>
            </w:r>
          </w:p>
        </w:tc>
        <w:tc>
          <w:tcPr>
            <w:tcW w:w="5503" w:type="dxa"/>
          </w:tcPr>
          <w:p>
            <w:pPr>
              <w:rPr>
                <w:noProof/>
                <w:sz w:val="20"/>
                <w:szCs w:val="20"/>
                <w:lang w:eastAsia="en-US"/>
              </w:rPr>
            </w:pPr>
            <w:r>
              <w:rPr>
                <w:noProof/>
                <w:sz w:val="20"/>
                <w:szCs w:val="20"/>
                <w:lang w:eastAsia="en-US"/>
              </w:rPr>
              <w:t>Differentiated appropriations</w:t>
            </w:r>
          </w:p>
        </w:tc>
        <w:tc>
          <w:tcPr>
            <w:tcW w:w="1617" w:type="dxa"/>
          </w:tcPr>
          <w:p>
            <w:pPr>
              <w:widowControl w:val="0"/>
              <w:spacing w:before="15" w:after="15" w:line="276" w:lineRule="auto"/>
              <w:jc w:val="right"/>
              <w:rPr>
                <w:noProof/>
                <w:sz w:val="20"/>
                <w:szCs w:val="20"/>
                <w:lang w:eastAsia="en-US"/>
              </w:rPr>
            </w:pPr>
            <w:r>
              <w:rPr>
                <w:noProof/>
                <w:sz w:val="20"/>
                <w:szCs w:val="20"/>
                <w:lang w:eastAsia="en-US"/>
              </w:rPr>
              <w:t>-244 700 000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-146 700 000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4"/>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617" w:type="dxa"/>
            <w:shd w:val="clear" w:color="auto" w:fill="D9D9D9"/>
          </w:tcPr>
          <w:p>
            <w:pPr>
              <w:widowControl w:val="0"/>
              <w:spacing w:before="15" w:after="15"/>
              <w:jc w:val="right"/>
              <w:rPr>
                <w:b/>
                <w:noProof/>
                <w:sz w:val="20"/>
                <w:szCs w:val="20"/>
                <w:highlight w:val="yellow"/>
              </w:rPr>
            </w:pPr>
            <w:r>
              <w:rPr>
                <w:b/>
                <w:noProof/>
                <w:sz w:val="20"/>
                <w:szCs w:val="20"/>
              </w:rPr>
              <w:t>37 950 000</w:t>
            </w:r>
          </w:p>
        </w:tc>
        <w:tc>
          <w:tcPr>
            <w:tcW w:w="1680" w:type="dxa"/>
            <w:gridSpan w:val="2"/>
            <w:shd w:val="clear" w:color="auto" w:fill="D9D9D9"/>
          </w:tcPr>
          <w:p>
            <w:pPr>
              <w:widowControl w:val="0"/>
              <w:spacing w:before="15" w:after="15"/>
              <w:jc w:val="right"/>
              <w:rPr>
                <w:b/>
                <w:noProof/>
                <w:sz w:val="20"/>
                <w:szCs w:val="20"/>
              </w:rPr>
            </w:pPr>
            <w:r>
              <w:rPr>
                <w:b/>
                <w:noProof/>
                <w:sz w:val="20"/>
                <w:szCs w:val="20"/>
              </w:rPr>
              <w:t>-</w:t>
            </w:r>
          </w:p>
        </w:tc>
      </w:tr>
    </w:tbl>
    <w:p>
      <w:pPr>
        <w:spacing w:before="120" w:after="120"/>
        <w:jc w:val="both"/>
        <w:rPr>
          <w:rFonts w:eastAsia="Calibri"/>
          <w:noProof/>
        </w:rPr>
      </w:pPr>
      <w:r>
        <w:rPr>
          <w:rFonts w:eastAsia="Calibri"/>
          <w:noProof/>
        </w:rPr>
        <w:t>The budget remarks of articles 40 01 40 and 40 02 41 are adjusted in the budget annex.</w:t>
      </w:r>
    </w:p>
    <w:p>
      <w:pPr>
        <w:keepNext/>
        <w:tabs>
          <w:tab w:val="left" w:pos="850"/>
        </w:tabs>
        <w:spacing w:before="360" w:after="120"/>
        <w:ind w:left="357" w:hanging="357"/>
        <w:jc w:val="both"/>
        <w:outlineLvl w:val="1"/>
        <w:rPr>
          <w:rFonts w:eastAsia="Calibri"/>
          <w:b/>
          <w:noProof/>
          <w:lang w:eastAsia="en-US"/>
        </w:rPr>
      </w:pPr>
      <w:bookmarkStart w:id="69" w:name="_Toc527106858"/>
      <w:bookmarkStart w:id="70" w:name="_Toc526753786"/>
      <w:r>
        <w:rPr>
          <w:rFonts w:eastAsia="Calibri"/>
          <w:b/>
          <w:noProof/>
          <w:lang w:eastAsia="en-US"/>
        </w:rPr>
        <w:t xml:space="preserve">3.2 </w:t>
      </w:r>
      <w:r>
        <w:rPr>
          <w:rFonts w:eastAsia="Calibri"/>
          <w:b/>
          <w:noProof/>
          <w:lang w:eastAsia="en-US"/>
        </w:rPr>
        <w:tab/>
        <w:t>European Solidarity Corps</w:t>
      </w:r>
      <w:bookmarkEnd w:id="69"/>
      <w:bookmarkEnd w:id="70"/>
    </w:p>
    <w:p>
      <w:pPr>
        <w:spacing w:before="120" w:after="120"/>
        <w:jc w:val="both"/>
        <w:rPr>
          <w:rFonts w:eastAsia="Calibri"/>
          <w:noProof/>
        </w:rPr>
      </w:pPr>
      <w:r>
        <w:rPr>
          <w:noProof/>
        </w:rPr>
        <w:t>The Commission proposes to update the commitment and payment appropriations foreseen for the European Solidarity Corps (ESC) in order to reflect the political agreement</w:t>
      </w:r>
      <w:r>
        <w:rPr>
          <w:rStyle w:val="FootnoteReference"/>
          <w:rFonts w:eastAsia="Calibri"/>
          <w:noProof/>
        </w:rPr>
        <w:footnoteReference w:id="8"/>
      </w:r>
      <w:r>
        <w:rPr>
          <w:noProof/>
        </w:rPr>
        <w:t xml:space="preserve"> reached between the European Parliament and the Council in June 2018 on the proposal tabled by the Commission in June 2017</w:t>
      </w:r>
      <w:r>
        <w:rPr>
          <w:rStyle w:val="FootnoteReference"/>
          <w:rFonts w:eastAsia="Calibri"/>
          <w:noProof/>
        </w:rPr>
        <w:footnoteReference w:id="9"/>
      </w:r>
      <w:r>
        <w:rPr>
          <w:noProof/>
        </w:rPr>
        <w:t>.</w:t>
      </w:r>
    </w:p>
    <w:p>
      <w:pPr>
        <w:spacing w:before="120" w:after="120"/>
        <w:jc w:val="both"/>
        <w:rPr>
          <w:rFonts w:eastAsia="Calibri"/>
          <w:noProof/>
        </w:rPr>
      </w:pPr>
      <w:r>
        <w:rPr>
          <w:rFonts w:eastAsia="Calibri"/>
          <w:noProof/>
        </w:rPr>
        <w:t>The agreement requires the following changes to the draft budget 2019:</w:t>
      </w:r>
    </w:p>
    <w:p>
      <w:pPr>
        <w:numPr>
          <w:ilvl w:val="0"/>
          <w:numId w:val="10"/>
        </w:numPr>
        <w:spacing w:before="120" w:after="120"/>
        <w:jc w:val="both"/>
        <w:rPr>
          <w:noProof/>
        </w:rPr>
      </w:pPr>
      <w:r>
        <w:rPr>
          <w:noProof/>
        </w:rPr>
        <w:t>The extension of the geographical scope of ESC from EU-28 to the Erasmus+ level implies a redeployment of EUR 28,1 million from Erasmus+ to ESC in commitment appropriations, with the corresponding adjustments in payment appropriations.</w:t>
      </w:r>
    </w:p>
    <w:p>
      <w:pPr>
        <w:numPr>
          <w:ilvl w:val="0"/>
          <w:numId w:val="10"/>
        </w:numPr>
        <w:spacing w:before="120" w:after="120"/>
        <w:jc w:val="both"/>
        <w:rPr>
          <w:rFonts w:eastAsia="Calibri"/>
          <w:noProof/>
        </w:rPr>
      </w:pPr>
      <w:r>
        <w:rPr>
          <w:noProof/>
        </w:rPr>
        <w:t xml:space="preserve">The cancellation of the contribution from the European Social Fund (ESF) technical assistance to ESC in 2019 (EUR 12,1 million), which will be reassigned to the main ESF technical assistance line, with the corresponding adjustments in payment appropriations. </w:t>
      </w:r>
    </w:p>
    <w:p>
      <w:pPr>
        <w:spacing w:before="120" w:after="120"/>
        <w:jc w:val="both"/>
        <w:rPr>
          <w:rFonts w:eastAsia="Calibri"/>
          <w:noProof/>
        </w:rPr>
      </w:pPr>
      <w:r>
        <w:rPr>
          <w:rFonts w:eastAsia="Calibri"/>
          <w:noProof/>
        </w:rPr>
        <w:t>This cancellation is offset by EUR 6,1 million from the unallocated margin and by EUR 6 million from the following redeployments identified within heading 1a:</w:t>
      </w:r>
    </w:p>
    <w:p>
      <w:pPr>
        <w:numPr>
          <w:ilvl w:val="0"/>
          <w:numId w:val="10"/>
        </w:numPr>
        <w:spacing w:before="120" w:after="120"/>
        <w:jc w:val="both"/>
        <w:rPr>
          <w:noProof/>
        </w:rPr>
      </w:pPr>
      <w:r>
        <w:rPr>
          <w:noProof/>
        </w:rPr>
        <w:t>In the draft budget 2019, the Commission’s request for the EU balancing contribution to the European Chemicals Agency (ECHA, EUR 61,4 million) was based on a conservative estimate of fee income. Taking into account the level of fee income actually received in the course of 2018, an amount of EUR 3,0 million can be made available.</w:t>
      </w:r>
    </w:p>
    <w:p>
      <w:pPr>
        <w:numPr>
          <w:ilvl w:val="0"/>
          <w:numId w:val="10"/>
        </w:numPr>
        <w:spacing w:before="120" w:after="120"/>
        <w:jc w:val="both"/>
        <w:rPr>
          <w:noProof/>
        </w:rPr>
      </w:pPr>
      <w:r>
        <w:rPr>
          <w:noProof/>
        </w:rPr>
        <w:t>The European Maritime Safety Agency (EMSA) has experienced some delays in the phasing in of a drone service for public tasks at sea. While the Agency is catching up on these delays, an amount of EUR 2,0 million is proposed to be made available.</w:t>
      </w:r>
    </w:p>
    <w:p>
      <w:pPr>
        <w:numPr>
          <w:ilvl w:val="0"/>
          <w:numId w:val="10"/>
        </w:numPr>
        <w:spacing w:before="120" w:after="120"/>
        <w:jc w:val="both"/>
        <w:rPr>
          <w:noProof/>
        </w:rPr>
      </w:pPr>
      <w:r>
        <w:rPr>
          <w:noProof/>
        </w:rPr>
        <w:t>The Commission proposes to reduce the appropriations requested for the Nuclear Safeguards prerogative line by EUR 1,0 million (-5 %). Taking into account past execution the reduced amount should be sufficient to carry out the activities planned for 2019.</w:t>
      </w:r>
    </w:p>
    <w:p>
      <w:pPr>
        <w:spacing w:before="120" w:after="120"/>
        <w:jc w:val="both"/>
        <w:rPr>
          <w:rFonts w:eastAsia="Calibri"/>
          <w:noProof/>
        </w:rPr>
      </w:pPr>
      <w:r>
        <w:rPr>
          <w:rFonts w:eastAsia="Calibri"/>
          <w:noProof/>
        </w:rPr>
        <w:t>Furthermore, in line with the Cost-Benefit-Analysis (CBA) on the delegation of part of the implementation of ESC to the Education, Audiovisual and Culture Executive Agency (EACEA), the Commission proposes to transfer an amount of EUR 0,9 million, both in commitment and payment appropriations, from the administrative support expenditure line of the ESC to the contribution line of EACEA.</w:t>
      </w:r>
    </w:p>
    <w:p>
      <w:pPr>
        <w:spacing w:before="120" w:after="120"/>
        <w:jc w:val="both"/>
        <w:rPr>
          <w:rFonts w:eastAsia="Calibri"/>
          <w:noProof/>
        </w:rPr>
      </w:pPr>
      <w:r>
        <w:rPr>
          <w:rFonts w:eastAsia="Calibri"/>
          <w:noProof/>
        </w:rPr>
        <w:t>The details by budget line are presented in the table below:</w:t>
      </w:r>
    </w:p>
    <w:tbl>
      <w:tblPr>
        <w:tblW w:w="10000" w:type="dxa"/>
        <w:jc w:val="center"/>
        <w:tblLayout w:type="fixed"/>
        <w:tblCellMar>
          <w:left w:w="40" w:type="dxa"/>
          <w:right w:w="40" w:type="dxa"/>
        </w:tblCellMar>
        <w:tblLook w:val="0000" w:firstRow="0" w:lastRow="0" w:firstColumn="0" w:lastColumn="0" w:noHBand="0" w:noVBand="0"/>
      </w:tblPr>
      <w:tblGrid>
        <w:gridCol w:w="9"/>
        <w:gridCol w:w="1191"/>
        <w:gridCol w:w="5503"/>
        <w:gridCol w:w="1617"/>
        <w:gridCol w:w="1672"/>
        <w:gridCol w:w="8"/>
      </w:tblGrid>
      <w:tr>
        <w:trPr>
          <w:gridBefore w:val="1"/>
          <w:gridAfter w:val="1"/>
          <w:wBefore w:w="9" w:type="dxa"/>
          <w:wAfter w:w="8" w:type="dxa"/>
          <w:trHeight w:val="164"/>
          <w:tblHeader/>
          <w:jc w:val="center"/>
        </w:trPr>
        <w:tc>
          <w:tcPr>
            <w:tcW w:w="9983" w:type="dxa"/>
            <w:gridSpan w:val="4"/>
            <w:shd w:val="clear" w:color="auto" w:fill="FFFFFF"/>
            <w:vAlign w:val="center"/>
          </w:tcPr>
          <w:p>
            <w:pPr>
              <w:jc w:val="right"/>
              <w:rPr>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blHeader/>
        </w:trPr>
        <w:tc>
          <w:tcPr>
            <w:tcW w:w="120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Budget line</w:t>
            </w:r>
          </w:p>
        </w:tc>
        <w:tc>
          <w:tcPr>
            <w:tcW w:w="5503"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Name</w:t>
            </w:r>
          </w:p>
        </w:tc>
        <w:tc>
          <w:tcPr>
            <w:tcW w:w="1617"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Commitment appropriations</w:t>
            </w:r>
          </w:p>
        </w:tc>
        <w:tc>
          <w:tcPr>
            <w:tcW w:w="168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00" w:type="dxa"/>
            <w:gridSpan w:val="6"/>
            <w:shd w:val="clear" w:color="auto" w:fill="F2F2F2" w:themeFill="background1" w:themeFillShade="F2"/>
          </w:tcPr>
          <w:p>
            <w:pPr>
              <w:widowControl w:val="0"/>
              <w:spacing w:before="15" w:after="15" w:line="276" w:lineRule="auto"/>
              <w:rPr>
                <w:i/>
                <w:noProof/>
                <w:sz w:val="20"/>
                <w:szCs w:val="20"/>
                <w:lang w:eastAsia="en-US"/>
              </w:rPr>
            </w:pPr>
            <w:r>
              <w:rPr>
                <w:i/>
                <w:noProof/>
                <w:sz w:val="20"/>
                <w:szCs w:val="20"/>
                <w:lang w:eastAsia="en-US"/>
              </w:rPr>
              <w:t>Section III – European Commission</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02 03 03</w:t>
            </w:r>
          </w:p>
        </w:tc>
        <w:tc>
          <w:tcPr>
            <w:tcW w:w="5503" w:type="dxa"/>
          </w:tcPr>
          <w:p>
            <w:pPr>
              <w:rPr>
                <w:noProof/>
                <w:sz w:val="20"/>
                <w:szCs w:val="20"/>
                <w:lang w:eastAsia="en-US"/>
              </w:rPr>
            </w:pPr>
            <w:r>
              <w:rPr>
                <w:noProof/>
                <w:sz w:val="20"/>
                <w:szCs w:val="20"/>
                <w:lang w:eastAsia="en-US"/>
              </w:rPr>
              <w:t>European Chemicals Agency — Chemicals legislation</w:t>
            </w:r>
          </w:p>
        </w:tc>
        <w:tc>
          <w:tcPr>
            <w:tcW w:w="1617" w:type="dxa"/>
            <w:shd w:val="clear" w:color="auto" w:fill="auto"/>
            <w:vAlign w:val="center"/>
          </w:tcPr>
          <w:p>
            <w:pPr>
              <w:widowControl w:val="0"/>
              <w:spacing w:before="15" w:after="15" w:line="276" w:lineRule="auto"/>
              <w:jc w:val="right"/>
              <w:rPr>
                <w:noProof/>
                <w:sz w:val="20"/>
                <w:szCs w:val="20"/>
                <w:lang w:eastAsia="en-US"/>
              </w:rPr>
            </w:pPr>
            <w:r>
              <w:rPr>
                <w:noProof/>
                <w:sz w:val="20"/>
                <w:szCs w:val="20"/>
                <w:lang w:eastAsia="en-US"/>
              </w:rPr>
              <w:t>-3 000 000</w:t>
            </w:r>
          </w:p>
        </w:tc>
        <w:tc>
          <w:tcPr>
            <w:tcW w:w="1680" w:type="dxa"/>
            <w:gridSpan w:val="2"/>
            <w:shd w:val="clear" w:color="auto" w:fill="auto"/>
            <w:vAlign w:val="center"/>
          </w:tcPr>
          <w:p>
            <w:pPr>
              <w:widowControl w:val="0"/>
              <w:spacing w:before="15" w:after="15" w:line="276" w:lineRule="auto"/>
              <w:jc w:val="right"/>
              <w:rPr>
                <w:noProof/>
                <w:sz w:val="20"/>
                <w:szCs w:val="20"/>
                <w:lang w:eastAsia="en-US"/>
              </w:rPr>
            </w:pPr>
            <w:r>
              <w:rPr>
                <w:noProof/>
                <w:sz w:val="20"/>
                <w:szCs w:val="20"/>
                <w:lang w:eastAsia="en-US"/>
              </w:rPr>
              <w:t>-3 000 000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04 02 63 01</w:t>
            </w:r>
          </w:p>
        </w:tc>
        <w:tc>
          <w:tcPr>
            <w:tcW w:w="5503" w:type="dxa"/>
          </w:tcPr>
          <w:p>
            <w:pPr>
              <w:rPr>
                <w:noProof/>
                <w:sz w:val="20"/>
                <w:szCs w:val="20"/>
                <w:lang w:eastAsia="en-US"/>
              </w:rPr>
            </w:pPr>
            <w:r>
              <w:rPr>
                <w:noProof/>
                <w:sz w:val="20"/>
                <w:szCs w:val="20"/>
                <w:lang w:eastAsia="en-US"/>
              </w:rPr>
              <w:t>European Social Fund — Operational technical assistance</w:t>
            </w:r>
          </w:p>
        </w:tc>
        <w:tc>
          <w:tcPr>
            <w:tcW w:w="1617" w:type="dxa"/>
            <w:vAlign w:val="center"/>
          </w:tcPr>
          <w:p>
            <w:pPr>
              <w:widowControl w:val="0"/>
              <w:spacing w:before="15" w:after="15" w:line="276" w:lineRule="auto"/>
              <w:jc w:val="right"/>
              <w:rPr>
                <w:noProof/>
                <w:sz w:val="20"/>
                <w:szCs w:val="20"/>
                <w:lang w:eastAsia="en-US"/>
              </w:rPr>
            </w:pPr>
            <w:r>
              <w:rPr>
                <w:noProof/>
                <w:sz w:val="20"/>
                <w:szCs w:val="20"/>
                <w:lang w:eastAsia="en-US"/>
              </w:rPr>
              <w:t xml:space="preserve">12 078 000 </w:t>
            </w:r>
          </w:p>
        </w:tc>
        <w:tc>
          <w:tcPr>
            <w:tcW w:w="1680" w:type="dxa"/>
            <w:gridSpan w:val="2"/>
            <w:vAlign w:val="center"/>
          </w:tcPr>
          <w:p>
            <w:pPr>
              <w:widowControl w:val="0"/>
              <w:spacing w:before="15" w:after="15" w:line="276" w:lineRule="auto"/>
              <w:jc w:val="right"/>
              <w:rPr>
                <w:noProof/>
                <w:sz w:val="20"/>
                <w:szCs w:val="20"/>
                <w:lang w:eastAsia="en-US"/>
              </w:rPr>
            </w:pPr>
            <w:r>
              <w:rPr>
                <w:noProof/>
                <w:sz w:val="20"/>
                <w:szCs w:val="20"/>
                <w:lang w:eastAsia="en-US"/>
              </w:rPr>
              <w:t xml:space="preserve">8 454 600 </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04 02 65</w:t>
            </w:r>
          </w:p>
        </w:tc>
        <w:tc>
          <w:tcPr>
            <w:tcW w:w="5503" w:type="dxa"/>
          </w:tcPr>
          <w:p>
            <w:pPr>
              <w:rPr>
                <w:noProof/>
                <w:sz w:val="20"/>
                <w:szCs w:val="20"/>
                <w:lang w:eastAsia="en-US"/>
              </w:rPr>
            </w:pPr>
            <w:r>
              <w:rPr>
                <w:noProof/>
                <w:sz w:val="20"/>
                <w:szCs w:val="20"/>
                <w:lang w:eastAsia="en-US"/>
              </w:rPr>
              <w:t>European Solidarity Corps – Contribution from the European Social Fund</w:t>
            </w:r>
          </w:p>
        </w:tc>
        <w:tc>
          <w:tcPr>
            <w:tcW w:w="1617" w:type="dxa"/>
            <w:vAlign w:val="center"/>
          </w:tcPr>
          <w:p>
            <w:pPr>
              <w:widowControl w:val="0"/>
              <w:spacing w:before="15" w:after="15" w:line="276" w:lineRule="auto"/>
              <w:jc w:val="right"/>
              <w:rPr>
                <w:noProof/>
                <w:sz w:val="20"/>
                <w:szCs w:val="20"/>
                <w:lang w:eastAsia="en-US"/>
              </w:rPr>
            </w:pPr>
            <w:r>
              <w:rPr>
                <w:noProof/>
                <w:sz w:val="20"/>
                <w:szCs w:val="20"/>
                <w:lang w:eastAsia="en-US"/>
              </w:rPr>
              <w:t xml:space="preserve">- </w:t>
            </w:r>
          </w:p>
        </w:tc>
        <w:tc>
          <w:tcPr>
            <w:tcW w:w="1680" w:type="dxa"/>
            <w:gridSpan w:val="2"/>
            <w:vAlign w:val="center"/>
          </w:tcPr>
          <w:p>
            <w:pPr>
              <w:widowControl w:val="0"/>
              <w:spacing w:before="15" w:after="15" w:line="276" w:lineRule="auto"/>
              <w:jc w:val="right"/>
              <w:rPr>
                <w:noProof/>
                <w:sz w:val="20"/>
                <w:szCs w:val="20"/>
                <w:lang w:eastAsia="en-US"/>
              </w:rPr>
            </w:pPr>
            <w:r>
              <w:rPr>
                <w:noProof/>
                <w:sz w:val="20"/>
                <w:szCs w:val="20"/>
                <w:lang w:eastAsia="en-US"/>
              </w:rPr>
              <w:t xml:space="preserve">3 330 600 </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05 04 60 04</w:t>
            </w:r>
          </w:p>
        </w:tc>
        <w:tc>
          <w:tcPr>
            <w:tcW w:w="5503" w:type="dxa"/>
          </w:tcPr>
          <w:p>
            <w:pPr>
              <w:rPr>
                <w:noProof/>
                <w:sz w:val="20"/>
                <w:szCs w:val="20"/>
                <w:lang w:eastAsia="en-US"/>
              </w:rPr>
            </w:pPr>
            <w:r>
              <w:rPr>
                <w:noProof/>
                <w:sz w:val="20"/>
                <w:szCs w:val="20"/>
                <w:lang w:eastAsia="en-US"/>
              </w:rPr>
              <w:t>European Solidarity Corps – Contribution from  the European Agricultural Fund for Rural Development (EAFRD)</w:t>
            </w:r>
          </w:p>
        </w:tc>
        <w:tc>
          <w:tcPr>
            <w:tcW w:w="1617" w:type="dxa"/>
          </w:tcPr>
          <w:p>
            <w:pPr>
              <w:widowControl w:val="0"/>
              <w:spacing w:before="15" w:after="15" w:line="276" w:lineRule="auto"/>
              <w:jc w:val="right"/>
              <w:rPr>
                <w:noProof/>
                <w:sz w:val="20"/>
                <w:szCs w:val="20"/>
                <w:lang w:eastAsia="en-US"/>
              </w:rPr>
            </w:pPr>
            <w:r>
              <w:rPr>
                <w:noProof/>
                <w:sz w:val="20"/>
                <w:szCs w:val="20"/>
                <w:lang w:eastAsia="en-US"/>
              </w:rPr>
              <w:t>-</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540 000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06 02 03 01</w:t>
            </w:r>
          </w:p>
        </w:tc>
        <w:tc>
          <w:tcPr>
            <w:tcW w:w="5503" w:type="dxa"/>
          </w:tcPr>
          <w:p>
            <w:pPr>
              <w:rPr>
                <w:noProof/>
                <w:sz w:val="20"/>
                <w:szCs w:val="20"/>
                <w:lang w:eastAsia="en-US"/>
              </w:rPr>
            </w:pPr>
            <w:r>
              <w:rPr>
                <w:noProof/>
                <w:sz w:val="20"/>
                <w:szCs w:val="20"/>
                <w:lang w:eastAsia="en-US"/>
              </w:rPr>
              <w:t>European Maritime Safety Agency</w:t>
            </w:r>
          </w:p>
        </w:tc>
        <w:tc>
          <w:tcPr>
            <w:tcW w:w="1617" w:type="dxa"/>
          </w:tcPr>
          <w:p>
            <w:pPr>
              <w:widowControl w:val="0"/>
              <w:spacing w:before="15" w:after="15" w:line="276" w:lineRule="auto"/>
              <w:jc w:val="right"/>
              <w:rPr>
                <w:noProof/>
                <w:sz w:val="20"/>
                <w:szCs w:val="20"/>
                <w:lang w:eastAsia="en-US"/>
              </w:rPr>
            </w:pPr>
            <w:r>
              <w:rPr>
                <w:noProof/>
                <w:sz w:val="20"/>
                <w:szCs w:val="20"/>
                <w:lang w:eastAsia="en-US"/>
              </w:rPr>
              <w:t>-2 000 000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-2 000 000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07 02 07</w:t>
            </w:r>
          </w:p>
        </w:tc>
        <w:tc>
          <w:tcPr>
            <w:tcW w:w="5503" w:type="dxa"/>
          </w:tcPr>
          <w:p>
            <w:pPr>
              <w:rPr>
                <w:noProof/>
                <w:sz w:val="20"/>
                <w:szCs w:val="20"/>
                <w:lang w:eastAsia="en-US"/>
              </w:rPr>
            </w:pPr>
            <w:r>
              <w:rPr>
                <w:noProof/>
                <w:sz w:val="20"/>
                <w:szCs w:val="20"/>
                <w:lang w:eastAsia="en-US"/>
              </w:rPr>
              <w:t>European Solidarity Corps – Contribution from  the LIFE sub-programme for Environment</w:t>
            </w:r>
          </w:p>
        </w:tc>
        <w:tc>
          <w:tcPr>
            <w:tcW w:w="1617" w:type="dxa"/>
          </w:tcPr>
          <w:p>
            <w:pPr>
              <w:widowControl w:val="0"/>
              <w:spacing w:before="15" w:after="15" w:line="276" w:lineRule="auto"/>
              <w:jc w:val="right"/>
              <w:rPr>
                <w:noProof/>
                <w:sz w:val="20"/>
                <w:szCs w:val="20"/>
                <w:lang w:eastAsia="en-US"/>
              </w:rPr>
            </w:pPr>
            <w:r>
              <w:rPr>
                <w:noProof/>
                <w:sz w:val="20"/>
                <w:szCs w:val="20"/>
                <w:lang w:eastAsia="en-US"/>
              </w:rPr>
              <w:t>1 000 000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1 000 000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15 01 04 03</w:t>
            </w:r>
          </w:p>
        </w:tc>
        <w:tc>
          <w:tcPr>
            <w:tcW w:w="5503" w:type="dxa"/>
          </w:tcPr>
          <w:p>
            <w:pPr>
              <w:rPr>
                <w:noProof/>
                <w:sz w:val="20"/>
                <w:szCs w:val="20"/>
                <w:lang w:eastAsia="en-US"/>
              </w:rPr>
            </w:pPr>
            <w:r>
              <w:rPr>
                <w:noProof/>
                <w:sz w:val="20"/>
                <w:szCs w:val="20"/>
                <w:lang w:eastAsia="en-US"/>
              </w:rPr>
              <w:t>Support expenditure for the European Solidarity Corps</w:t>
            </w:r>
          </w:p>
        </w:tc>
        <w:tc>
          <w:tcPr>
            <w:tcW w:w="1617" w:type="dxa"/>
          </w:tcPr>
          <w:p>
            <w:pPr>
              <w:widowControl w:val="0"/>
              <w:spacing w:before="15" w:after="15" w:line="276" w:lineRule="auto"/>
              <w:jc w:val="right"/>
              <w:rPr>
                <w:noProof/>
                <w:sz w:val="20"/>
                <w:szCs w:val="20"/>
                <w:lang w:eastAsia="en-US"/>
              </w:rPr>
            </w:pPr>
            <w:r>
              <w:rPr>
                <w:noProof/>
                <w:sz w:val="20"/>
                <w:szCs w:val="20"/>
                <w:lang w:eastAsia="en-US"/>
              </w:rPr>
              <w:t>3 612 500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3 612 500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15 01 06 03</w:t>
            </w:r>
          </w:p>
        </w:tc>
        <w:tc>
          <w:tcPr>
            <w:tcW w:w="5503" w:type="dxa"/>
          </w:tcPr>
          <w:p>
            <w:pPr>
              <w:rPr>
                <w:noProof/>
                <w:sz w:val="20"/>
                <w:szCs w:val="20"/>
                <w:lang w:eastAsia="en-US"/>
              </w:rPr>
            </w:pPr>
            <w:r>
              <w:rPr>
                <w:noProof/>
                <w:sz w:val="20"/>
                <w:szCs w:val="20"/>
                <w:lang w:eastAsia="en-US"/>
              </w:rPr>
              <w:t>Education, Audiovisual and Culture Executive Agency — Contribution from European Solidarity Corps</w:t>
            </w:r>
          </w:p>
        </w:tc>
        <w:tc>
          <w:tcPr>
            <w:tcW w:w="1617" w:type="dxa"/>
          </w:tcPr>
          <w:p>
            <w:pPr>
              <w:widowControl w:val="0"/>
              <w:spacing w:before="15" w:after="15" w:line="276" w:lineRule="auto"/>
              <w:jc w:val="right"/>
              <w:rPr>
                <w:noProof/>
                <w:sz w:val="20"/>
                <w:szCs w:val="20"/>
                <w:lang w:eastAsia="en-US"/>
              </w:rPr>
            </w:pPr>
            <w:r>
              <w:rPr>
                <w:noProof/>
                <w:sz w:val="20"/>
                <w:szCs w:val="20"/>
                <w:lang w:eastAsia="en-US"/>
              </w:rPr>
              <w:t>937 500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937 500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15 02 01 01</w:t>
            </w:r>
          </w:p>
        </w:tc>
        <w:tc>
          <w:tcPr>
            <w:tcW w:w="5503" w:type="dxa"/>
          </w:tcPr>
          <w:p>
            <w:pPr>
              <w:rPr>
                <w:noProof/>
                <w:sz w:val="20"/>
                <w:szCs w:val="20"/>
                <w:lang w:eastAsia="en-US"/>
              </w:rPr>
            </w:pPr>
            <w:r>
              <w:rPr>
                <w:noProof/>
                <w:sz w:val="20"/>
                <w:szCs w:val="20"/>
                <w:lang w:eastAsia="en-US"/>
              </w:rPr>
              <w:t>Promoting excellence and cooperation in the European education and training area and its relevance to the labour market</w:t>
            </w:r>
          </w:p>
        </w:tc>
        <w:tc>
          <w:tcPr>
            <w:tcW w:w="1617" w:type="dxa"/>
          </w:tcPr>
          <w:p>
            <w:pPr>
              <w:widowControl w:val="0"/>
              <w:spacing w:before="15" w:after="15" w:line="276" w:lineRule="auto"/>
              <w:jc w:val="right"/>
              <w:rPr>
                <w:noProof/>
                <w:sz w:val="20"/>
                <w:szCs w:val="20"/>
                <w:lang w:eastAsia="en-US"/>
              </w:rPr>
            </w:pPr>
            <w:r>
              <w:rPr>
                <w:noProof/>
                <w:sz w:val="20"/>
                <w:szCs w:val="20"/>
                <w:lang w:eastAsia="en-US"/>
              </w:rPr>
              <w:t>-1 900 000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-1 900 000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15 02 01 02</w:t>
            </w:r>
          </w:p>
        </w:tc>
        <w:tc>
          <w:tcPr>
            <w:tcW w:w="5503" w:type="dxa"/>
          </w:tcPr>
          <w:p>
            <w:pPr>
              <w:rPr>
                <w:noProof/>
                <w:sz w:val="20"/>
                <w:szCs w:val="20"/>
                <w:lang w:eastAsia="en-US"/>
              </w:rPr>
            </w:pPr>
            <w:r>
              <w:rPr>
                <w:noProof/>
                <w:sz w:val="20"/>
                <w:szCs w:val="20"/>
                <w:lang w:eastAsia="en-US"/>
              </w:rPr>
              <w:t>Promoting excellence and cooperation in the European youth area and the participation of young people in European democratic life</w:t>
            </w:r>
          </w:p>
        </w:tc>
        <w:tc>
          <w:tcPr>
            <w:tcW w:w="1617" w:type="dxa"/>
          </w:tcPr>
          <w:p>
            <w:pPr>
              <w:widowControl w:val="0"/>
              <w:spacing w:before="15" w:after="15" w:line="276" w:lineRule="auto"/>
              <w:jc w:val="right"/>
              <w:rPr>
                <w:noProof/>
                <w:sz w:val="20"/>
                <w:szCs w:val="20"/>
                <w:lang w:eastAsia="en-US"/>
              </w:rPr>
            </w:pPr>
            <w:r>
              <w:rPr>
                <w:noProof/>
                <w:sz w:val="20"/>
                <w:szCs w:val="20"/>
                <w:lang w:eastAsia="en-US"/>
              </w:rPr>
              <w:t>-26 200 000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-19 650 000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15 05 01</w:t>
            </w:r>
          </w:p>
        </w:tc>
        <w:tc>
          <w:tcPr>
            <w:tcW w:w="5503" w:type="dxa"/>
          </w:tcPr>
          <w:p>
            <w:pPr>
              <w:rPr>
                <w:noProof/>
                <w:sz w:val="20"/>
                <w:szCs w:val="20"/>
                <w:lang w:eastAsia="en-US"/>
              </w:rPr>
            </w:pPr>
            <w:r>
              <w:rPr>
                <w:noProof/>
                <w:sz w:val="20"/>
                <w:szCs w:val="20"/>
                <w:lang w:eastAsia="en-US"/>
              </w:rPr>
              <w:t>European Solidarity Corps</w:t>
            </w:r>
          </w:p>
        </w:tc>
        <w:tc>
          <w:tcPr>
            <w:tcW w:w="1617" w:type="dxa"/>
          </w:tcPr>
          <w:p>
            <w:pPr>
              <w:widowControl w:val="0"/>
              <w:spacing w:before="15" w:after="15" w:line="276" w:lineRule="auto"/>
              <w:jc w:val="right"/>
              <w:rPr>
                <w:noProof/>
                <w:sz w:val="20"/>
                <w:szCs w:val="20"/>
                <w:lang w:eastAsia="en-US"/>
              </w:rPr>
            </w:pPr>
            <w:r>
              <w:rPr>
                <w:noProof/>
                <w:sz w:val="20"/>
                <w:szCs w:val="20"/>
                <w:lang w:eastAsia="en-US"/>
              </w:rPr>
              <w:t>138 774 568</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115 000 000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23 03 01 03</w:t>
            </w:r>
          </w:p>
        </w:tc>
        <w:tc>
          <w:tcPr>
            <w:tcW w:w="5503" w:type="dxa"/>
          </w:tcPr>
          <w:p>
            <w:pPr>
              <w:rPr>
                <w:noProof/>
                <w:sz w:val="20"/>
                <w:szCs w:val="20"/>
                <w:lang w:eastAsia="en-US"/>
              </w:rPr>
            </w:pPr>
            <w:r>
              <w:rPr>
                <w:noProof/>
                <w:sz w:val="20"/>
                <w:szCs w:val="20"/>
                <w:lang w:eastAsia="en-US"/>
              </w:rPr>
              <w:t>European Solidarity Corps – Contribution from Union Civil Protection Mechanism (UCPM)</w:t>
            </w:r>
          </w:p>
        </w:tc>
        <w:tc>
          <w:tcPr>
            <w:tcW w:w="1617" w:type="dxa"/>
          </w:tcPr>
          <w:p>
            <w:pPr>
              <w:widowControl w:val="0"/>
              <w:spacing w:before="15" w:after="15" w:line="276" w:lineRule="auto"/>
              <w:jc w:val="right"/>
              <w:rPr>
                <w:noProof/>
                <w:sz w:val="20"/>
                <w:szCs w:val="20"/>
                <w:lang w:eastAsia="en-US"/>
              </w:rPr>
            </w:pPr>
            <w:r>
              <w:rPr>
                <w:noProof/>
                <w:sz w:val="20"/>
                <w:szCs w:val="20"/>
                <w:lang w:eastAsia="en-US"/>
              </w:rPr>
              <w:t>2 000 000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2 000 000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32 03 01</w:t>
            </w:r>
          </w:p>
        </w:tc>
        <w:tc>
          <w:tcPr>
            <w:tcW w:w="5503" w:type="dxa"/>
          </w:tcPr>
          <w:p>
            <w:pPr>
              <w:rPr>
                <w:noProof/>
                <w:sz w:val="20"/>
                <w:szCs w:val="20"/>
                <w:lang w:eastAsia="en-US"/>
              </w:rPr>
            </w:pPr>
            <w:r>
              <w:rPr>
                <w:noProof/>
                <w:sz w:val="20"/>
                <w:szCs w:val="20"/>
                <w:lang w:eastAsia="en-US"/>
              </w:rPr>
              <w:t>Nuclear Safeguards</w:t>
            </w:r>
          </w:p>
        </w:tc>
        <w:tc>
          <w:tcPr>
            <w:tcW w:w="1617" w:type="dxa"/>
          </w:tcPr>
          <w:p>
            <w:pPr>
              <w:widowControl w:val="0"/>
              <w:spacing w:before="15" w:after="15" w:line="276" w:lineRule="auto"/>
              <w:jc w:val="right"/>
              <w:rPr>
                <w:noProof/>
                <w:sz w:val="20"/>
                <w:szCs w:val="20"/>
                <w:lang w:eastAsia="en-US"/>
              </w:rPr>
            </w:pPr>
            <w:r>
              <w:rPr>
                <w:noProof/>
                <w:sz w:val="20"/>
                <w:szCs w:val="20"/>
                <w:lang w:eastAsia="en-US"/>
              </w:rPr>
              <w:t>-1 000 000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-1 000 000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34 02 05</w:t>
            </w:r>
          </w:p>
        </w:tc>
        <w:tc>
          <w:tcPr>
            <w:tcW w:w="5503" w:type="dxa"/>
          </w:tcPr>
          <w:p>
            <w:pPr>
              <w:rPr>
                <w:noProof/>
                <w:sz w:val="20"/>
                <w:szCs w:val="20"/>
                <w:lang w:eastAsia="en-US"/>
              </w:rPr>
            </w:pPr>
            <w:r>
              <w:rPr>
                <w:noProof/>
                <w:sz w:val="20"/>
                <w:szCs w:val="20"/>
                <w:lang w:eastAsia="en-US"/>
              </w:rPr>
              <w:t>European Solidarity Corps – Contribution from the LIFE sub-programme for Climate Action</w:t>
            </w:r>
          </w:p>
        </w:tc>
        <w:tc>
          <w:tcPr>
            <w:tcW w:w="1617" w:type="dxa"/>
          </w:tcPr>
          <w:p>
            <w:pPr>
              <w:widowControl w:val="0"/>
              <w:spacing w:before="15" w:after="15" w:line="276" w:lineRule="auto"/>
              <w:jc w:val="right"/>
              <w:rPr>
                <w:noProof/>
                <w:sz w:val="20"/>
                <w:szCs w:val="20"/>
                <w:lang w:eastAsia="en-US"/>
              </w:rPr>
            </w:pPr>
            <w:r>
              <w:rPr>
                <w:noProof/>
                <w:sz w:val="20"/>
                <w:szCs w:val="20"/>
                <w:lang w:eastAsia="en-US"/>
              </w:rPr>
              <w:t>500 000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500 000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 xml:space="preserve">40 01 40 </w:t>
            </w:r>
          </w:p>
        </w:tc>
        <w:tc>
          <w:tcPr>
            <w:tcW w:w="5503" w:type="dxa"/>
          </w:tcPr>
          <w:p>
            <w:pPr>
              <w:rPr>
                <w:noProof/>
                <w:sz w:val="20"/>
                <w:szCs w:val="20"/>
                <w:lang w:eastAsia="en-US"/>
              </w:rPr>
            </w:pPr>
            <w:r>
              <w:rPr>
                <w:noProof/>
                <w:sz w:val="20"/>
                <w:szCs w:val="20"/>
                <w:lang w:eastAsia="en-US"/>
              </w:rPr>
              <w:t>Administrative reserve</w:t>
            </w:r>
          </w:p>
        </w:tc>
        <w:tc>
          <w:tcPr>
            <w:tcW w:w="1617" w:type="dxa"/>
          </w:tcPr>
          <w:p>
            <w:pPr>
              <w:widowControl w:val="0"/>
              <w:spacing w:before="15" w:after="15" w:line="276" w:lineRule="auto"/>
              <w:jc w:val="right"/>
              <w:rPr>
                <w:noProof/>
                <w:sz w:val="20"/>
                <w:szCs w:val="20"/>
                <w:lang w:eastAsia="en-US"/>
              </w:rPr>
            </w:pPr>
            <w:r>
              <w:rPr>
                <w:noProof/>
                <w:sz w:val="20"/>
                <w:szCs w:val="20"/>
                <w:lang w:eastAsia="en-US"/>
              </w:rPr>
              <w:t>-4 550 000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-4 550 000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40 02 41</w:t>
            </w:r>
          </w:p>
        </w:tc>
        <w:tc>
          <w:tcPr>
            <w:tcW w:w="5503" w:type="dxa"/>
          </w:tcPr>
          <w:p>
            <w:pPr>
              <w:rPr>
                <w:noProof/>
                <w:sz w:val="20"/>
                <w:szCs w:val="20"/>
                <w:lang w:eastAsia="en-US"/>
              </w:rPr>
            </w:pPr>
            <w:r>
              <w:rPr>
                <w:noProof/>
                <w:sz w:val="20"/>
                <w:szCs w:val="20"/>
                <w:lang w:eastAsia="en-US"/>
              </w:rPr>
              <w:t>Differentiated appropriations</w:t>
            </w:r>
          </w:p>
        </w:tc>
        <w:tc>
          <w:tcPr>
            <w:tcW w:w="1617" w:type="dxa"/>
          </w:tcPr>
          <w:p>
            <w:pPr>
              <w:widowControl w:val="0"/>
              <w:spacing w:before="15" w:after="15" w:line="276" w:lineRule="auto"/>
              <w:jc w:val="right"/>
              <w:rPr>
                <w:noProof/>
                <w:sz w:val="20"/>
                <w:szCs w:val="20"/>
                <w:lang w:eastAsia="en-US"/>
              </w:rPr>
            </w:pPr>
            <w:r>
              <w:rPr>
                <w:noProof/>
                <w:sz w:val="20"/>
                <w:szCs w:val="20"/>
                <w:lang w:eastAsia="en-US"/>
              </w:rPr>
              <w:t>- 114 174 568</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-99 341 200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617" w:type="dxa"/>
            <w:shd w:val="clear" w:color="auto" w:fill="D9D9D9"/>
          </w:tcPr>
          <w:p>
            <w:pPr>
              <w:widowControl w:val="0"/>
              <w:spacing w:before="15" w:after="15"/>
              <w:jc w:val="right"/>
              <w:rPr>
                <w:b/>
                <w:noProof/>
                <w:sz w:val="20"/>
                <w:szCs w:val="20"/>
              </w:rPr>
            </w:pPr>
            <w:r>
              <w:rPr>
                <w:b/>
                <w:noProof/>
                <w:sz w:val="20"/>
                <w:szCs w:val="20"/>
              </w:rPr>
              <w:t>6 078 000</w:t>
            </w:r>
          </w:p>
        </w:tc>
        <w:tc>
          <w:tcPr>
            <w:tcW w:w="1680" w:type="dxa"/>
            <w:gridSpan w:val="2"/>
            <w:shd w:val="clear" w:color="auto" w:fill="D9D9D9"/>
          </w:tcPr>
          <w:p>
            <w:pPr>
              <w:widowControl w:val="0"/>
              <w:spacing w:before="15" w:after="15"/>
              <w:jc w:val="right"/>
              <w:rPr>
                <w:b/>
                <w:noProof/>
                <w:sz w:val="20"/>
                <w:szCs w:val="20"/>
              </w:rPr>
            </w:pPr>
            <w:r>
              <w:rPr>
                <w:b/>
                <w:noProof/>
                <w:sz w:val="20"/>
                <w:szCs w:val="20"/>
              </w:rPr>
              <w:t>3 934 000</w:t>
            </w:r>
          </w:p>
        </w:tc>
      </w:tr>
    </w:tbl>
    <w:p>
      <w:pPr>
        <w:spacing w:before="120" w:after="120"/>
        <w:jc w:val="both"/>
        <w:rPr>
          <w:rFonts w:eastAsia="Calibri"/>
          <w:noProof/>
        </w:rPr>
      </w:pPr>
      <w:r>
        <w:rPr>
          <w:rFonts w:eastAsia="Calibri"/>
          <w:noProof/>
        </w:rPr>
        <w:t>The budget remarks of articles 40 01 40 and 40 02 41 are adjusted in the budget annex.</w:t>
      </w:r>
    </w:p>
    <w:p>
      <w:pPr>
        <w:keepNext/>
        <w:tabs>
          <w:tab w:val="left" w:pos="850"/>
        </w:tabs>
        <w:spacing w:before="360" w:after="120"/>
        <w:ind w:left="357" w:hanging="357"/>
        <w:jc w:val="both"/>
        <w:outlineLvl w:val="1"/>
        <w:rPr>
          <w:rFonts w:eastAsia="Calibri"/>
          <w:b/>
          <w:noProof/>
          <w:lang w:eastAsia="en-US"/>
        </w:rPr>
      </w:pPr>
      <w:bookmarkStart w:id="71" w:name="_Toc527106859"/>
      <w:bookmarkStart w:id="72" w:name="_Toc526753787"/>
      <w:r>
        <w:rPr>
          <w:rFonts w:eastAsia="Calibri"/>
          <w:b/>
          <w:noProof/>
          <w:lang w:eastAsia="en-US"/>
        </w:rPr>
        <w:t xml:space="preserve">3.3 </w:t>
      </w:r>
      <w:r>
        <w:rPr>
          <w:rFonts w:eastAsia="Calibri"/>
          <w:b/>
          <w:noProof/>
          <w:lang w:eastAsia="en-US"/>
        </w:rPr>
        <w:tab/>
        <w:t>Structural Reform Support Programme</w:t>
      </w:r>
      <w:bookmarkEnd w:id="71"/>
      <w:bookmarkEnd w:id="72"/>
    </w:p>
    <w:p>
      <w:pPr>
        <w:autoSpaceDE w:val="0"/>
        <w:autoSpaceDN w:val="0"/>
        <w:adjustRightInd w:val="0"/>
        <w:spacing w:before="120" w:after="120"/>
        <w:jc w:val="both"/>
        <w:rPr>
          <w:noProof/>
        </w:rPr>
      </w:pPr>
      <w:r>
        <w:rPr>
          <w:noProof/>
        </w:rPr>
        <w:t>The Commission proposes to update the commitment and payment appropriations foreseen for the Structural Reform Support Programme (SRSP) in order to reflect the political agreement</w:t>
      </w:r>
      <w:r>
        <w:rPr>
          <w:rStyle w:val="FootnoteReference"/>
          <w:noProof/>
        </w:rPr>
        <w:footnoteReference w:id="10"/>
      </w:r>
      <w:r>
        <w:rPr>
          <w:noProof/>
        </w:rPr>
        <w:t xml:space="preserve"> reached between the European Parliament and the Council in July 2018 on the proposal tabled by the Commission in December 2017</w:t>
      </w:r>
      <w:r>
        <w:rPr>
          <w:noProof/>
          <w:vertAlign w:val="superscript"/>
        </w:rPr>
        <w:footnoteReference w:id="11"/>
      </w:r>
      <w:r>
        <w:rPr>
          <w:noProof/>
        </w:rPr>
        <w:t>.</w:t>
      </w:r>
    </w:p>
    <w:p>
      <w:pPr>
        <w:spacing w:after="200" w:line="276" w:lineRule="auto"/>
        <w:rPr>
          <w:noProof/>
        </w:rPr>
      </w:pPr>
      <w:r>
        <w:rPr>
          <w:noProof/>
        </w:rPr>
        <w:br w:type="page"/>
      </w:r>
    </w:p>
    <w:p>
      <w:pPr>
        <w:autoSpaceDE w:val="0"/>
        <w:autoSpaceDN w:val="0"/>
        <w:adjustRightInd w:val="0"/>
        <w:spacing w:before="120" w:after="120"/>
        <w:jc w:val="both"/>
        <w:rPr>
          <w:noProof/>
        </w:rPr>
      </w:pPr>
      <w:r>
        <w:rPr>
          <w:noProof/>
        </w:rPr>
        <w:t>In the Commission's proposal, the increase of the programme's financial envelope of EUR 40 million in commitment appropriations was proposed to be financed under heading 1b by using the Flexibility Instrument</w:t>
      </w:r>
      <w:r>
        <w:rPr>
          <w:noProof/>
          <w:vertAlign w:val="superscript"/>
        </w:rPr>
        <w:footnoteReference w:id="12"/>
      </w:r>
      <w:r>
        <w:rPr>
          <w:noProof/>
        </w:rPr>
        <w:t>. Given the limited availability of margin under this heading (EUR 1,9 million), the Flexibility Instrument was proposed to be mobilised for an amount of EUR 38,1 million)</w:t>
      </w:r>
      <w:r>
        <w:rPr>
          <w:rStyle w:val="FootnoteReference"/>
          <w:noProof/>
        </w:rPr>
        <w:footnoteReference w:id="13"/>
      </w:r>
      <w:r>
        <w:rPr>
          <w:noProof/>
        </w:rPr>
        <w:t>.</w:t>
      </w:r>
    </w:p>
    <w:p>
      <w:pPr>
        <w:autoSpaceDE w:val="0"/>
        <w:autoSpaceDN w:val="0"/>
        <w:adjustRightInd w:val="0"/>
        <w:spacing w:before="120" w:after="120"/>
        <w:jc w:val="both"/>
        <w:rPr>
          <w:noProof/>
        </w:rPr>
      </w:pPr>
      <w:r>
        <w:rPr>
          <w:noProof/>
        </w:rPr>
        <w:t>According to the political agreement reached, the financing of the 2019 increase will be secured through redeployments from heading 2 (section 2.2 above) and the proposed mobilisation of the Flexibility Instrument is withdrawn.</w:t>
      </w:r>
    </w:p>
    <w:p>
      <w:pPr>
        <w:spacing w:before="120" w:after="120"/>
        <w:jc w:val="both"/>
        <w:rPr>
          <w:rFonts w:eastAsia="Calibri"/>
          <w:noProof/>
        </w:rPr>
      </w:pPr>
      <w:r>
        <w:rPr>
          <w:rFonts w:eastAsia="Calibri"/>
          <w:noProof/>
        </w:rPr>
        <w:t>The details by budget line are presented in the table below:</w:t>
      </w:r>
    </w:p>
    <w:tbl>
      <w:tblPr>
        <w:tblW w:w="10000" w:type="dxa"/>
        <w:jc w:val="center"/>
        <w:tblLayout w:type="fixed"/>
        <w:tblCellMar>
          <w:left w:w="40" w:type="dxa"/>
          <w:right w:w="40" w:type="dxa"/>
        </w:tblCellMar>
        <w:tblLook w:val="0000" w:firstRow="0" w:lastRow="0" w:firstColumn="0" w:lastColumn="0" w:noHBand="0" w:noVBand="0"/>
      </w:tblPr>
      <w:tblGrid>
        <w:gridCol w:w="9"/>
        <w:gridCol w:w="1191"/>
        <w:gridCol w:w="5503"/>
        <w:gridCol w:w="1617"/>
        <w:gridCol w:w="1672"/>
        <w:gridCol w:w="8"/>
      </w:tblGrid>
      <w:tr>
        <w:trPr>
          <w:gridBefore w:val="1"/>
          <w:gridAfter w:val="1"/>
          <w:wBefore w:w="9" w:type="dxa"/>
          <w:wAfter w:w="8" w:type="dxa"/>
          <w:trHeight w:val="164"/>
          <w:tblHeader/>
          <w:jc w:val="center"/>
        </w:trPr>
        <w:tc>
          <w:tcPr>
            <w:tcW w:w="9983" w:type="dxa"/>
            <w:gridSpan w:val="4"/>
            <w:shd w:val="clear" w:color="auto" w:fill="FFFFFF"/>
            <w:vAlign w:val="center"/>
          </w:tcPr>
          <w:p>
            <w:pPr>
              <w:jc w:val="right"/>
              <w:rPr>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Budget line</w:t>
            </w:r>
          </w:p>
        </w:tc>
        <w:tc>
          <w:tcPr>
            <w:tcW w:w="5503"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Name</w:t>
            </w:r>
          </w:p>
        </w:tc>
        <w:tc>
          <w:tcPr>
            <w:tcW w:w="1617"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Commitment appropriations</w:t>
            </w:r>
          </w:p>
        </w:tc>
        <w:tc>
          <w:tcPr>
            <w:tcW w:w="168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00" w:type="dxa"/>
            <w:gridSpan w:val="6"/>
            <w:shd w:val="clear" w:color="auto" w:fill="F2F2F2" w:themeFill="background1" w:themeFillShade="F2"/>
          </w:tcPr>
          <w:p>
            <w:pPr>
              <w:widowControl w:val="0"/>
              <w:spacing w:before="15" w:after="15" w:line="276" w:lineRule="auto"/>
              <w:rPr>
                <w:i/>
                <w:noProof/>
                <w:sz w:val="20"/>
                <w:szCs w:val="20"/>
                <w:lang w:eastAsia="en-US"/>
              </w:rPr>
            </w:pPr>
            <w:r>
              <w:rPr>
                <w:i/>
                <w:noProof/>
                <w:sz w:val="20"/>
                <w:szCs w:val="20"/>
                <w:lang w:eastAsia="en-US"/>
              </w:rPr>
              <w:t>Section III – European Commission</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13 08 01</w:t>
            </w:r>
          </w:p>
        </w:tc>
        <w:tc>
          <w:tcPr>
            <w:tcW w:w="5503" w:type="dxa"/>
          </w:tcPr>
          <w:p>
            <w:pPr>
              <w:rPr>
                <w:noProof/>
                <w:sz w:val="20"/>
                <w:szCs w:val="20"/>
                <w:lang w:eastAsia="en-US"/>
              </w:rPr>
            </w:pPr>
            <w:r>
              <w:rPr>
                <w:noProof/>
                <w:sz w:val="20"/>
                <w:szCs w:val="20"/>
                <w:lang w:eastAsia="en-US"/>
              </w:rPr>
              <w:t>Structural Reform Support Programme (SRSP) – Operational technical assistance transferred from H1b (ESF, ERDF and CF)</w:t>
            </w:r>
          </w:p>
        </w:tc>
        <w:tc>
          <w:tcPr>
            <w:tcW w:w="1617" w:type="dxa"/>
          </w:tcPr>
          <w:p>
            <w:pPr>
              <w:widowControl w:val="0"/>
              <w:spacing w:before="15" w:after="15" w:line="276" w:lineRule="auto"/>
              <w:jc w:val="right"/>
              <w:rPr>
                <w:noProof/>
                <w:sz w:val="20"/>
                <w:szCs w:val="20"/>
                <w:lang w:eastAsia="en-US"/>
              </w:rPr>
            </w:pPr>
            <w:r>
              <w:rPr>
                <w:noProof/>
                <w:sz w:val="20"/>
                <w:szCs w:val="20"/>
                <w:lang w:eastAsia="en-US"/>
              </w:rPr>
              <w:t>-40 000 000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-17 200 000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13 08 02</w:t>
            </w:r>
          </w:p>
        </w:tc>
        <w:tc>
          <w:tcPr>
            <w:tcW w:w="5503" w:type="dxa"/>
          </w:tcPr>
          <w:p>
            <w:pPr>
              <w:rPr>
                <w:noProof/>
                <w:sz w:val="20"/>
                <w:szCs w:val="20"/>
                <w:lang w:eastAsia="en-US"/>
              </w:rPr>
            </w:pPr>
            <w:r>
              <w:rPr>
                <w:noProof/>
                <w:sz w:val="20"/>
                <w:szCs w:val="20"/>
                <w:lang w:eastAsia="en-US"/>
              </w:rPr>
              <w:t>Structural Reform Support Programme (SRSP) – Operational technical assistance transferred from H2 (EAFRD)</w:t>
            </w:r>
          </w:p>
        </w:tc>
        <w:tc>
          <w:tcPr>
            <w:tcW w:w="1617" w:type="dxa"/>
          </w:tcPr>
          <w:p>
            <w:pPr>
              <w:widowControl w:val="0"/>
              <w:spacing w:before="15" w:after="15" w:line="276" w:lineRule="auto"/>
              <w:jc w:val="right"/>
              <w:rPr>
                <w:noProof/>
                <w:sz w:val="20"/>
                <w:szCs w:val="20"/>
                <w:lang w:eastAsia="en-US"/>
              </w:rPr>
            </w:pPr>
            <w:r>
              <w:rPr>
                <w:noProof/>
                <w:sz w:val="20"/>
                <w:szCs w:val="20"/>
                <w:lang w:eastAsia="en-US"/>
              </w:rPr>
              <w:t>40 000 000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17 200 000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617" w:type="dxa"/>
            <w:shd w:val="clear" w:color="auto" w:fill="D9D9D9"/>
          </w:tcPr>
          <w:p>
            <w:pPr>
              <w:widowControl w:val="0"/>
              <w:spacing w:before="15" w:after="15"/>
              <w:jc w:val="right"/>
              <w:rPr>
                <w:b/>
                <w:noProof/>
                <w:sz w:val="20"/>
                <w:szCs w:val="20"/>
              </w:rPr>
            </w:pPr>
            <w:r>
              <w:rPr>
                <w:b/>
                <w:noProof/>
                <w:sz w:val="20"/>
                <w:szCs w:val="20"/>
              </w:rPr>
              <w:t>-</w:t>
            </w:r>
          </w:p>
        </w:tc>
        <w:tc>
          <w:tcPr>
            <w:tcW w:w="1680" w:type="dxa"/>
            <w:gridSpan w:val="2"/>
            <w:shd w:val="clear" w:color="auto" w:fill="D9D9D9"/>
          </w:tcPr>
          <w:p>
            <w:pPr>
              <w:widowControl w:val="0"/>
              <w:spacing w:before="15" w:after="15"/>
              <w:jc w:val="right"/>
              <w:rPr>
                <w:b/>
                <w:noProof/>
                <w:sz w:val="20"/>
                <w:szCs w:val="20"/>
              </w:rPr>
            </w:pPr>
            <w:r>
              <w:rPr>
                <w:b/>
                <w:noProof/>
                <w:sz w:val="20"/>
                <w:szCs w:val="20"/>
              </w:rPr>
              <w:t>-</w:t>
            </w:r>
          </w:p>
        </w:tc>
      </w:tr>
    </w:tbl>
    <w:p>
      <w:pPr>
        <w:pStyle w:val="ManualHeading1"/>
        <w:spacing w:before="240"/>
        <w:rPr>
          <w:noProof/>
        </w:rPr>
      </w:pPr>
      <w:bookmarkStart w:id="73" w:name="_Toc527106860"/>
      <w:bookmarkStart w:id="74" w:name="_Toc526753788"/>
      <w:r>
        <w:rPr>
          <w:noProof/>
        </w:rPr>
        <w:t>4.</w:t>
      </w:r>
      <w:r>
        <w:rPr>
          <w:noProof/>
        </w:rPr>
        <w:tab/>
        <w:t>Impact of new Commission initiatives</w:t>
      </w:r>
      <w:bookmarkEnd w:id="73"/>
      <w:bookmarkEnd w:id="74"/>
    </w:p>
    <w:p>
      <w:pPr>
        <w:keepNext/>
        <w:tabs>
          <w:tab w:val="left" w:pos="850"/>
        </w:tabs>
        <w:spacing w:before="360" w:after="120"/>
        <w:ind w:left="357" w:hanging="357"/>
        <w:jc w:val="both"/>
        <w:outlineLvl w:val="1"/>
        <w:rPr>
          <w:rFonts w:eastAsia="Calibri"/>
          <w:b/>
          <w:noProof/>
          <w:lang w:eastAsia="en-US"/>
        </w:rPr>
      </w:pPr>
      <w:bookmarkStart w:id="75" w:name="_Toc527106861"/>
      <w:bookmarkStart w:id="76" w:name="_Toc526753789"/>
      <w:r>
        <w:rPr>
          <w:rFonts w:eastAsia="Calibri"/>
          <w:b/>
          <w:noProof/>
          <w:lang w:eastAsia="en-US"/>
        </w:rPr>
        <w:t xml:space="preserve">4.1 </w:t>
      </w:r>
      <w:r>
        <w:rPr>
          <w:rFonts w:eastAsia="Calibri"/>
          <w:b/>
          <w:noProof/>
          <w:lang w:eastAsia="en-US"/>
        </w:rPr>
        <w:tab/>
        <w:t>Reinforcement of the European Border and Coast Guard Agency</w:t>
      </w:r>
      <w:bookmarkEnd w:id="75"/>
      <w:bookmarkEnd w:id="76"/>
    </w:p>
    <w:p>
      <w:pPr>
        <w:spacing w:before="120" w:after="120"/>
        <w:jc w:val="both"/>
        <w:rPr>
          <w:rFonts w:eastAsia="Calibri"/>
          <w:noProof/>
        </w:rPr>
      </w:pPr>
      <w:r>
        <w:rPr>
          <w:rFonts w:eastAsia="Calibri"/>
          <w:noProof/>
        </w:rPr>
        <w:t>As part of its contribution to the Leaders' meeting in Salzburg on 19-20 September 2018, the Commission proposed to extend the mandate of the European Border and Coast Guard Agency , notably with a view to creating a standing corps of 10 000 border guards by the end of 2020</w:t>
      </w:r>
      <w:r>
        <w:rPr>
          <w:rStyle w:val="FootnoteReference"/>
          <w:rFonts w:eastAsia="Calibri"/>
          <w:noProof/>
        </w:rPr>
        <w:footnoteReference w:id="14"/>
      </w:r>
      <w:r>
        <w:rPr>
          <w:rFonts w:eastAsia="Calibri"/>
          <w:noProof/>
        </w:rPr>
        <w:t xml:space="preserve">. The standing corps is proposed to be composed of a mix of three categories of staff: agency own staff, long-term secondment from Member States and short-term deployments from Member States, with a gradual shift towards agency own staff and the long term secondments. </w:t>
      </w:r>
    </w:p>
    <w:p>
      <w:pPr>
        <w:spacing w:before="120" w:after="120"/>
        <w:jc w:val="both"/>
        <w:rPr>
          <w:rFonts w:eastAsia="Calibri"/>
          <w:noProof/>
        </w:rPr>
      </w:pPr>
      <w:r>
        <w:rPr>
          <w:rFonts w:eastAsia="Calibri"/>
          <w:noProof/>
        </w:rPr>
        <w:t>The Commission proposes to include in the 2019 budget the 375 establishment plan posts which are planned as agency own staff as part of the build-up of the European Border and Coast Guard standing corps, and to increase the EU contribution by EUR 19 million in commitment and payment appropriations to ensure their financing. This should enable the Agency to start recruitment immediately upon political agreement on its extended mandate. Together with a reinforcement of 375 contract agents, that would allow the Agency to recruit 750 additional staff members in the course of 2019.</w:t>
      </w:r>
    </w:p>
    <w:p>
      <w:pPr>
        <w:spacing w:before="120" w:after="120"/>
        <w:jc w:val="both"/>
        <w:rPr>
          <w:rFonts w:eastAsia="Calibri"/>
          <w:noProof/>
        </w:rPr>
      </w:pPr>
      <w:r>
        <w:rPr>
          <w:rFonts w:eastAsia="Calibri"/>
          <w:noProof/>
        </w:rPr>
        <w:t>Given the absence of margin and no room for redeployment under heading 3, t</w:t>
      </w:r>
      <w:r>
        <w:rPr>
          <w:noProof/>
        </w:rPr>
        <w:t>he Commission proposes to modify the mobilisation of the Flexibility Instrument accordingly.</w:t>
      </w:r>
    </w:p>
    <w:p>
      <w:pPr>
        <w:spacing w:before="120" w:after="120"/>
        <w:jc w:val="both"/>
        <w:rPr>
          <w:rFonts w:eastAsia="Calibri"/>
          <w:noProof/>
        </w:rPr>
      </w:pPr>
      <w:r>
        <w:rPr>
          <w:rFonts w:eastAsia="Calibri"/>
          <w:noProof/>
        </w:rPr>
        <w:t>The details by budget line are presented in the table below:</w:t>
      </w:r>
    </w:p>
    <w:tbl>
      <w:tblPr>
        <w:tblW w:w="10000" w:type="dxa"/>
        <w:jc w:val="center"/>
        <w:tblLayout w:type="fixed"/>
        <w:tblCellMar>
          <w:left w:w="40" w:type="dxa"/>
          <w:right w:w="40" w:type="dxa"/>
        </w:tblCellMar>
        <w:tblLook w:val="0000" w:firstRow="0" w:lastRow="0" w:firstColumn="0" w:lastColumn="0" w:noHBand="0" w:noVBand="0"/>
      </w:tblPr>
      <w:tblGrid>
        <w:gridCol w:w="9"/>
        <w:gridCol w:w="1191"/>
        <w:gridCol w:w="5503"/>
        <w:gridCol w:w="1617"/>
        <w:gridCol w:w="1672"/>
        <w:gridCol w:w="8"/>
      </w:tblGrid>
      <w:tr>
        <w:trPr>
          <w:gridBefore w:val="1"/>
          <w:gridAfter w:val="1"/>
          <w:wBefore w:w="9" w:type="dxa"/>
          <w:wAfter w:w="8" w:type="dxa"/>
          <w:trHeight w:val="164"/>
          <w:tblHeader/>
          <w:jc w:val="center"/>
        </w:trPr>
        <w:tc>
          <w:tcPr>
            <w:tcW w:w="9983" w:type="dxa"/>
            <w:gridSpan w:val="4"/>
            <w:shd w:val="clear" w:color="auto" w:fill="FFFFFF"/>
            <w:vAlign w:val="center"/>
          </w:tcPr>
          <w:p>
            <w:pPr>
              <w:jc w:val="right"/>
              <w:rPr>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Budget line</w:t>
            </w:r>
          </w:p>
        </w:tc>
        <w:tc>
          <w:tcPr>
            <w:tcW w:w="5503"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Name</w:t>
            </w:r>
          </w:p>
        </w:tc>
        <w:tc>
          <w:tcPr>
            <w:tcW w:w="1617"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Commitment appropriations</w:t>
            </w:r>
          </w:p>
        </w:tc>
        <w:tc>
          <w:tcPr>
            <w:tcW w:w="168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00" w:type="dxa"/>
            <w:gridSpan w:val="6"/>
            <w:shd w:val="clear" w:color="auto" w:fill="F2F2F2" w:themeFill="background1" w:themeFillShade="F2"/>
          </w:tcPr>
          <w:p>
            <w:pPr>
              <w:widowControl w:val="0"/>
              <w:spacing w:before="15" w:after="15" w:line="276" w:lineRule="auto"/>
              <w:rPr>
                <w:i/>
                <w:noProof/>
                <w:sz w:val="20"/>
                <w:szCs w:val="20"/>
                <w:lang w:eastAsia="en-US"/>
              </w:rPr>
            </w:pPr>
            <w:r>
              <w:rPr>
                <w:i/>
                <w:noProof/>
                <w:sz w:val="20"/>
                <w:szCs w:val="20"/>
                <w:lang w:eastAsia="en-US"/>
              </w:rPr>
              <w:t>Section III – European Commission</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18 02 03</w:t>
            </w:r>
          </w:p>
        </w:tc>
        <w:tc>
          <w:tcPr>
            <w:tcW w:w="5503" w:type="dxa"/>
          </w:tcPr>
          <w:p>
            <w:pPr>
              <w:rPr>
                <w:noProof/>
                <w:sz w:val="20"/>
                <w:szCs w:val="20"/>
                <w:lang w:eastAsia="en-US"/>
              </w:rPr>
            </w:pPr>
            <w:r>
              <w:rPr>
                <w:noProof/>
                <w:sz w:val="20"/>
                <w:szCs w:val="20"/>
                <w:lang w:eastAsia="en-US"/>
              </w:rPr>
              <w:t>European Border and Coast Guard Agency (Frontex)</w:t>
            </w:r>
          </w:p>
        </w:tc>
        <w:tc>
          <w:tcPr>
            <w:tcW w:w="1617" w:type="dxa"/>
          </w:tcPr>
          <w:p>
            <w:pPr>
              <w:widowControl w:val="0"/>
              <w:spacing w:before="15" w:after="15" w:line="276" w:lineRule="auto"/>
              <w:jc w:val="right"/>
              <w:rPr>
                <w:noProof/>
                <w:sz w:val="20"/>
                <w:szCs w:val="20"/>
                <w:lang w:eastAsia="en-US"/>
              </w:rPr>
            </w:pPr>
            <w:r>
              <w:rPr>
                <w:noProof/>
                <w:sz w:val="20"/>
                <w:szCs w:val="20"/>
                <w:lang w:eastAsia="en-US"/>
              </w:rPr>
              <w:t>19 321 000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19 321 000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617" w:type="dxa"/>
            <w:shd w:val="clear" w:color="auto" w:fill="D9D9D9"/>
          </w:tcPr>
          <w:p>
            <w:pPr>
              <w:widowControl w:val="0"/>
              <w:spacing w:before="15" w:after="15"/>
              <w:jc w:val="right"/>
              <w:rPr>
                <w:b/>
                <w:noProof/>
                <w:sz w:val="20"/>
                <w:szCs w:val="20"/>
              </w:rPr>
            </w:pPr>
            <w:r>
              <w:rPr>
                <w:b/>
                <w:noProof/>
                <w:sz w:val="20"/>
                <w:szCs w:val="20"/>
              </w:rPr>
              <w:t>19 321 000</w:t>
            </w:r>
          </w:p>
        </w:tc>
        <w:tc>
          <w:tcPr>
            <w:tcW w:w="1680" w:type="dxa"/>
            <w:gridSpan w:val="2"/>
            <w:shd w:val="clear" w:color="auto" w:fill="D9D9D9"/>
          </w:tcPr>
          <w:p>
            <w:pPr>
              <w:widowControl w:val="0"/>
              <w:spacing w:before="15" w:after="15"/>
              <w:jc w:val="right"/>
              <w:rPr>
                <w:b/>
                <w:noProof/>
                <w:sz w:val="20"/>
                <w:szCs w:val="20"/>
              </w:rPr>
            </w:pPr>
            <w:r>
              <w:rPr>
                <w:b/>
                <w:noProof/>
                <w:sz w:val="20"/>
                <w:szCs w:val="20"/>
              </w:rPr>
              <w:t>19 321 000</w:t>
            </w:r>
          </w:p>
        </w:tc>
      </w:tr>
    </w:tbl>
    <w:p>
      <w:pPr>
        <w:spacing w:before="120" w:after="120"/>
        <w:jc w:val="both"/>
        <w:rPr>
          <w:rFonts w:eastAsia="Calibri"/>
          <w:noProof/>
        </w:rPr>
      </w:pPr>
      <w:r>
        <w:rPr>
          <w:rFonts w:eastAsia="Calibri"/>
          <w:noProof/>
        </w:rPr>
        <w:t>The updated establishment plan is set out in the budgetary annex.</w:t>
      </w:r>
    </w:p>
    <w:p>
      <w:pPr>
        <w:spacing w:after="200" w:line="276" w:lineRule="auto"/>
        <w:rPr>
          <w:rFonts w:eastAsia="Calibri"/>
          <w:b/>
          <w:noProof/>
          <w:lang w:eastAsia="en-US"/>
        </w:rPr>
      </w:pPr>
      <w:bookmarkStart w:id="77" w:name="_Toc527106862"/>
      <w:bookmarkStart w:id="78" w:name="_Toc526753790"/>
      <w:r>
        <w:rPr>
          <w:rFonts w:eastAsia="Calibri"/>
          <w:b/>
          <w:noProof/>
          <w:lang w:eastAsia="en-US"/>
        </w:rPr>
        <w:t xml:space="preserve">4.2 </w:t>
      </w:r>
      <w:r>
        <w:rPr>
          <w:rFonts w:eastAsia="Calibri"/>
          <w:b/>
          <w:noProof/>
          <w:lang w:eastAsia="en-US"/>
        </w:rPr>
        <w:tab/>
        <w:t>Reinforcement of the EU contribution to the European Union Agency for Asylum</w:t>
      </w:r>
      <w:bookmarkEnd w:id="77"/>
      <w:r>
        <w:rPr>
          <w:rFonts w:eastAsia="Calibri"/>
          <w:b/>
          <w:noProof/>
          <w:lang w:eastAsia="en-US"/>
        </w:rPr>
        <w:t xml:space="preserve"> </w:t>
      </w:r>
      <w:bookmarkEnd w:id="78"/>
    </w:p>
    <w:p>
      <w:pPr>
        <w:spacing w:before="120" w:after="120"/>
        <w:jc w:val="both"/>
        <w:rPr>
          <w:noProof/>
        </w:rPr>
      </w:pPr>
      <w:r>
        <w:rPr>
          <w:rFonts w:eastAsia="Calibri"/>
          <w:noProof/>
        </w:rPr>
        <w:t>As part of its contribution to the Leaders' meeting in Salzburg on 19-20 September 2018, the Commission proposed to extend the mandate of the European Union Agency for Asylum, notably with a view to reinforcing its capacity to provide operational support to Member States where needed</w:t>
      </w:r>
      <w:r>
        <w:rPr>
          <w:rStyle w:val="FootnoteReference"/>
          <w:rFonts w:eastAsia="Calibri"/>
          <w:noProof/>
        </w:rPr>
        <w:footnoteReference w:id="15"/>
      </w:r>
      <w:r>
        <w:rPr>
          <w:rFonts w:eastAsia="Calibri"/>
          <w:noProof/>
        </w:rPr>
        <w:t>. To enable the Agency to provide enhanced technical and operational assistance, the Commission proposes to reinforce the EU contribution to the Agency by EUR 55 million in commitment and payment appropriations.</w:t>
      </w:r>
      <w:r>
        <w:rPr>
          <w:noProof/>
        </w:rPr>
        <w:t xml:space="preserve"> </w:t>
      </w:r>
    </w:p>
    <w:p>
      <w:pPr>
        <w:spacing w:before="120" w:after="120"/>
        <w:jc w:val="both"/>
        <w:rPr>
          <w:rFonts w:eastAsia="Calibri"/>
          <w:noProof/>
        </w:rPr>
      </w:pPr>
      <w:r>
        <w:rPr>
          <w:rFonts w:eastAsia="Calibri"/>
          <w:noProof/>
        </w:rPr>
        <w:t>Given the absence of margin and no room for redeployment under heading 3, t</w:t>
      </w:r>
      <w:r>
        <w:rPr>
          <w:noProof/>
        </w:rPr>
        <w:t>he Commission proposes to modify the mobilisation of the Flexibility Instrument accordingly.</w:t>
      </w:r>
    </w:p>
    <w:p>
      <w:pPr>
        <w:spacing w:before="120" w:after="120"/>
        <w:jc w:val="both"/>
        <w:rPr>
          <w:rFonts w:eastAsia="Calibri"/>
          <w:noProof/>
        </w:rPr>
      </w:pPr>
      <w:r>
        <w:rPr>
          <w:rFonts w:eastAsia="Calibri"/>
          <w:noProof/>
        </w:rPr>
        <w:t>The details by budget line are presented in the table below:</w:t>
      </w:r>
    </w:p>
    <w:tbl>
      <w:tblPr>
        <w:tblW w:w="10000" w:type="dxa"/>
        <w:jc w:val="center"/>
        <w:tblLayout w:type="fixed"/>
        <w:tblCellMar>
          <w:left w:w="40" w:type="dxa"/>
          <w:right w:w="40" w:type="dxa"/>
        </w:tblCellMar>
        <w:tblLook w:val="0000" w:firstRow="0" w:lastRow="0" w:firstColumn="0" w:lastColumn="0" w:noHBand="0" w:noVBand="0"/>
      </w:tblPr>
      <w:tblGrid>
        <w:gridCol w:w="9"/>
        <w:gridCol w:w="1191"/>
        <w:gridCol w:w="5503"/>
        <w:gridCol w:w="1617"/>
        <w:gridCol w:w="1672"/>
        <w:gridCol w:w="8"/>
      </w:tblGrid>
      <w:tr>
        <w:trPr>
          <w:gridBefore w:val="1"/>
          <w:gridAfter w:val="1"/>
          <w:wBefore w:w="9" w:type="dxa"/>
          <w:wAfter w:w="8" w:type="dxa"/>
          <w:trHeight w:val="164"/>
          <w:tblHeader/>
          <w:jc w:val="center"/>
        </w:trPr>
        <w:tc>
          <w:tcPr>
            <w:tcW w:w="9983" w:type="dxa"/>
            <w:gridSpan w:val="4"/>
            <w:shd w:val="clear" w:color="auto" w:fill="FFFFFF"/>
            <w:vAlign w:val="center"/>
          </w:tcPr>
          <w:p>
            <w:pPr>
              <w:jc w:val="right"/>
              <w:rPr>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Budget line</w:t>
            </w:r>
          </w:p>
        </w:tc>
        <w:tc>
          <w:tcPr>
            <w:tcW w:w="5503"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Name</w:t>
            </w:r>
          </w:p>
        </w:tc>
        <w:tc>
          <w:tcPr>
            <w:tcW w:w="1617"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Commitment appropriations</w:t>
            </w:r>
          </w:p>
        </w:tc>
        <w:tc>
          <w:tcPr>
            <w:tcW w:w="168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00" w:type="dxa"/>
            <w:gridSpan w:val="6"/>
            <w:shd w:val="clear" w:color="auto" w:fill="F2F2F2" w:themeFill="background1" w:themeFillShade="F2"/>
          </w:tcPr>
          <w:p>
            <w:pPr>
              <w:widowControl w:val="0"/>
              <w:spacing w:before="15" w:after="15" w:line="276" w:lineRule="auto"/>
              <w:rPr>
                <w:i/>
                <w:noProof/>
                <w:sz w:val="20"/>
                <w:szCs w:val="20"/>
                <w:lang w:eastAsia="en-US"/>
              </w:rPr>
            </w:pPr>
            <w:r>
              <w:rPr>
                <w:i/>
                <w:noProof/>
                <w:sz w:val="20"/>
                <w:szCs w:val="20"/>
                <w:lang w:eastAsia="en-US"/>
              </w:rPr>
              <w:t>Section III – European Commission</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18 03 02</w:t>
            </w:r>
          </w:p>
        </w:tc>
        <w:tc>
          <w:tcPr>
            <w:tcW w:w="5503" w:type="dxa"/>
          </w:tcPr>
          <w:p>
            <w:pPr>
              <w:rPr>
                <w:noProof/>
                <w:sz w:val="20"/>
                <w:szCs w:val="20"/>
                <w:lang w:eastAsia="en-US"/>
              </w:rPr>
            </w:pPr>
            <w:r>
              <w:rPr>
                <w:noProof/>
                <w:sz w:val="20"/>
                <w:szCs w:val="20"/>
                <w:lang w:eastAsia="en-US"/>
              </w:rPr>
              <w:t>European Asylum Support Office (EASO)</w:t>
            </w:r>
          </w:p>
        </w:tc>
        <w:tc>
          <w:tcPr>
            <w:tcW w:w="1617" w:type="dxa"/>
          </w:tcPr>
          <w:p>
            <w:pPr>
              <w:widowControl w:val="0"/>
              <w:spacing w:before="15" w:after="15" w:line="276" w:lineRule="auto"/>
              <w:jc w:val="right"/>
              <w:rPr>
                <w:noProof/>
                <w:sz w:val="20"/>
                <w:szCs w:val="20"/>
                <w:lang w:eastAsia="en-US"/>
              </w:rPr>
            </w:pPr>
            <w:r>
              <w:rPr>
                <w:noProof/>
                <w:sz w:val="20"/>
                <w:szCs w:val="20"/>
                <w:lang w:eastAsia="en-US"/>
              </w:rPr>
              <w:t>55 000 000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55 000 000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617" w:type="dxa"/>
            <w:shd w:val="clear" w:color="auto" w:fill="D9D9D9"/>
          </w:tcPr>
          <w:p>
            <w:pPr>
              <w:widowControl w:val="0"/>
              <w:spacing w:before="15" w:after="15"/>
              <w:jc w:val="right"/>
              <w:rPr>
                <w:b/>
                <w:noProof/>
                <w:sz w:val="20"/>
                <w:szCs w:val="20"/>
              </w:rPr>
            </w:pPr>
            <w:r>
              <w:rPr>
                <w:b/>
                <w:noProof/>
                <w:sz w:val="20"/>
                <w:szCs w:val="20"/>
              </w:rPr>
              <w:t>55 000 000</w:t>
            </w:r>
          </w:p>
        </w:tc>
        <w:tc>
          <w:tcPr>
            <w:tcW w:w="1680" w:type="dxa"/>
            <w:gridSpan w:val="2"/>
            <w:shd w:val="clear" w:color="auto" w:fill="D9D9D9"/>
          </w:tcPr>
          <w:p>
            <w:pPr>
              <w:widowControl w:val="0"/>
              <w:spacing w:before="15" w:after="15"/>
              <w:jc w:val="right"/>
              <w:rPr>
                <w:b/>
                <w:noProof/>
                <w:sz w:val="20"/>
                <w:szCs w:val="20"/>
              </w:rPr>
            </w:pPr>
            <w:r>
              <w:rPr>
                <w:b/>
                <w:noProof/>
                <w:sz w:val="20"/>
                <w:szCs w:val="20"/>
              </w:rPr>
              <w:t>55 000 000</w:t>
            </w:r>
          </w:p>
        </w:tc>
      </w:tr>
    </w:tbl>
    <w:p>
      <w:pPr>
        <w:keepNext/>
        <w:tabs>
          <w:tab w:val="left" w:pos="850"/>
        </w:tabs>
        <w:spacing w:before="360" w:after="120"/>
        <w:ind w:left="851" w:hanging="851"/>
        <w:jc w:val="both"/>
        <w:outlineLvl w:val="1"/>
        <w:rPr>
          <w:rFonts w:eastAsia="Calibri"/>
          <w:b/>
          <w:noProof/>
          <w:lang w:eastAsia="en-US"/>
        </w:rPr>
      </w:pPr>
      <w:bookmarkStart w:id="79" w:name="_Toc527106863"/>
      <w:bookmarkStart w:id="80" w:name="_Toc526753791"/>
      <w:r>
        <w:rPr>
          <w:rFonts w:eastAsia="Calibri"/>
          <w:b/>
          <w:noProof/>
          <w:lang w:eastAsia="en-US"/>
        </w:rPr>
        <w:t xml:space="preserve">4.3 </w:t>
      </w:r>
      <w:r>
        <w:rPr>
          <w:rFonts w:eastAsia="Calibri"/>
          <w:b/>
          <w:noProof/>
          <w:lang w:eastAsia="en-US"/>
        </w:rPr>
        <w:tab/>
        <w:t>Amendment of the Authority for European Political Parties and European Political Foundations' Regulation</w:t>
      </w:r>
      <w:bookmarkEnd w:id="79"/>
      <w:bookmarkEnd w:id="80"/>
    </w:p>
    <w:p>
      <w:pPr>
        <w:spacing w:before="120" w:after="120"/>
        <w:jc w:val="both"/>
        <w:rPr>
          <w:rFonts w:eastAsia="Calibri"/>
          <w:noProof/>
        </w:rPr>
      </w:pPr>
      <w:r>
        <w:rPr>
          <w:rFonts w:eastAsia="Calibri"/>
          <w:noProof/>
        </w:rPr>
        <w:t>Regulation (EU, Euratom) No 1141/2014 of the European Parliament and of the Council of 22 October 2014 on the statute and funding of European political parties and European political foundations</w:t>
      </w:r>
      <w:r>
        <w:rPr>
          <w:rStyle w:val="FootnoteReference"/>
          <w:noProof/>
        </w:rPr>
        <w:footnoteReference w:id="16"/>
      </w:r>
      <w:r>
        <w:rPr>
          <w:rFonts w:eastAsia="Calibri"/>
          <w:noProof/>
        </w:rPr>
        <w:t xml:space="preserve"> was introduced to increase the visibility, recognition, effectiveness, transparency and accountability of European political parties and their affiliated political foundations. An independent Authority for European political parties and European political foundations ("the Authority") was created, for the purpose of registering, monitoring and, if necessary, imposing sanctions on European political parties and European political foundations, including to consider cases where such entities allegedly fail to respect these fundamental European values.</w:t>
      </w:r>
    </w:p>
    <w:p>
      <w:pPr>
        <w:spacing w:before="120" w:after="120"/>
        <w:jc w:val="both"/>
        <w:rPr>
          <w:rFonts w:eastAsia="Calibri"/>
          <w:noProof/>
        </w:rPr>
      </w:pPr>
      <w:r>
        <w:rPr>
          <w:rFonts w:eastAsia="Calibri"/>
          <w:noProof/>
        </w:rPr>
        <w:t>As part of its contribution to the Leaders' meeting in Salzburg on 19-20 September 2018, the Commission adopted a proposal</w:t>
      </w:r>
      <w:r>
        <w:rPr>
          <w:rStyle w:val="FootnoteReference"/>
          <w:rFonts w:eastAsia="Calibri"/>
          <w:noProof/>
        </w:rPr>
        <w:footnoteReference w:id="17"/>
      </w:r>
      <w:r>
        <w:rPr>
          <w:rFonts w:eastAsia="Calibri"/>
          <w:noProof/>
        </w:rPr>
        <w:t xml:space="preserve"> amending this regulation as regards a verification procedure related to infringements of rules on the protection of personal data in the context of elections to the European Parliament. </w:t>
      </w:r>
    </w:p>
    <w:p>
      <w:pPr>
        <w:spacing w:before="120" w:after="120"/>
        <w:jc w:val="both"/>
        <w:rPr>
          <w:rFonts w:eastAsia="Calibri"/>
          <w:i/>
          <w:noProof/>
        </w:rPr>
      </w:pPr>
      <w:r>
        <w:rPr>
          <w:rFonts w:eastAsia="Calibri"/>
          <w:noProof/>
        </w:rPr>
        <w:t>To enable the Authority to operate in a smooth and effective manner, it is proposed to add 9 posts to the establishment plan of the European Parliament</w:t>
      </w:r>
      <w:r>
        <w:rPr>
          <w:rStyle w:val="FootnoteReference"/>
          <w:rFonts w:eastAsia="Calibri"/>
          <w:noProof/>
        </w:rPr>
        <w:footnoteReference w:id="18"/>
      </w:r>
      <w:r>
        <w:rPr>
          <w:rFonts w:eastAsia="Calibri"/>
          <w:noProof/>
        </w:rPr>
        <w:t>, on top of the temporary post of the  Director of the Authority, which is already included in the draft dudget 2019</w:t>
      </w:r>
      <w:r>
        <w:rPr>
          <w:rStyle w:val="FootnoteReference"/>
          <w:rFonts w:eastAsia="Calibri"/>
          <w:noProof/>
        </w:rPr>
        <w:footnoteReference w:id="19"/>
      </w:r>
      <w:r>
        <w:rPr>
          <w:rFonts w:eastAsia="Calibri"/>
          <w:noProof/>
        </w:rPr>
        <w:t xml:space="preserve">. As a result, a total of 10 posts will be allocated to the Authority. </w:t>
      </w:r>
    </w:p>
    <w:p>
      <w:pPr>
        <w:spacing w:after="200" w:line="276" w:lineRule="auto"/>
        <w:jc w:val="both"/>
        <w:rPr>
          <w:rFonts w:eastAsia="Calibri"/>
          <w:noProof/>
          <w:highlight w:val="yellow"/>
        </w:rPr>
      </w:pPr>
      <w:r>
        <w:rPr>
          <w:rFonts w:eastAsia="Calibri"/>
          <w:noProof/>
        </w:rPr>
        <w:t xml:space="preserve">In the Parliament's section of the draft budget 2019, given the time needed to recruit the permanent staff, it is proposed to add a level of appropriations corresponding to six months of average effective activity for 2019. </w:t>
      </w:r>
    </w:p>
    <w:p>
      <w:pPr>
        <w:spacing w:after="200" w:line="276" w:lineRule="auto"/>
        <w:rPr>
          <w:rFonts w:eastAsia="Calibri"/>
          <w:noProof/>
        </w:rPr>
      </w:pPr>
      <w:r>
        <w:rPr>
          <w:rFonts w:eastAsia="Calibri"/>
          <w:noProof/>
        </w:rPr>
        <w:br w:type="page"/>
      </w:r>
    </w:p>
    <w:p>
      <w:pPr>
        <w:spacing w:before="120" w:after="120"/>
        <w:jc w:val="both"/>
        <w:rPr>
          <w:rFonts w:eastAsia="Calibri"/>
          <w:noProof/>
        </w:rPr>
      </w:pPr>
      <w:r>
        <w:rPr>
          <w:rFonts w:eastAsia="Calibri"/>
          <w:noProof/>
        </w:rPr>
        <w:t>For the immediate support to the Authority, it is also proposed to add appropriations corresponding to 6 contract agents for six months of effective activity for 2019 in the European Parliament's section of the draft budget 2019. This addition is compensated by an equivalent reduction in the Commission’s section.</w:t>
      </w:r>
    </w:p>
    <w:p>
      <w:pPr>
        <w:spacing w:before="120" w:after="120"/>
        <w:jc w:val="both"/>
        <w:rPr>
          <w:rFonts w:eastAsia="Calibri"/>
          <w:noProof/>
          <w:highlight w:val="yellow"/>
        </w:rPr>
      </w:pPr>
      <w:r>
        <w:rPr>
          <w:rFonts w:eastAsia="Calibri"/>
          <w:noProof/>
        </w:rPr>
        <w:t>The details by budget line are presented in the table below:</w:t>
      </w:r>
    </w:p>
    <w:tbl>
      <w:tblPr>
        <w:tblW w:w="9938" w:type="dxa"/>
        <w:tblCellMar>
          <w:left w:w="0" w:type="dxa"/>
          <w:right w:w="0" w:type="dxa"/>
        </w:tblCellMar>
        <w:tblLook w:val="04A0" w:firstRow="1" w:lastRow="0" w:firstColumn="1" w:lastColumn="0" w:noHBand="0" w:noVBand="1"/>
      </w:tblPr>
      <w:tblGrid>
        <w:gridCol w:w="960"/>
        <w:gridCol w:w="189"/>
        <w:gridCol w:w="5529"/>
        <w:gridCol w:w="1559"/>
        <w:gridCol w:w="1701"/>
      </w:tblGrid>
      <w:tr>
        <w:trPr>
          <w:trHeight w:val="212"/>
        </w:trPr>
        <w:tc>
          <w:tcPr>
            <w:tcW w:w="960" w:type="dxa"/>
            <w:tcBorders>
              <w:top w:val="nil"/>
              <w:left w:val="nil"/>
              <w:bottom w:val="nil"/>
              <w:right w:val="nil"/>
            </w:tcBorders>
            <w:shd w:val="clear" w:color="auto" w:fill="auto"/>
            <w:tcMar>
              <w:top w:w="15" w:type="dxa"/>
              <w:left w:w="15" w:type="dxa"/>
              <w:bottom w:w="0" w:type="dxa"/>
              <w:right w:w="15" w:type="dxa"/>
            </w:tcMar>
            <w:vAlign w:val="center"/>
            <w:hideMark/>
          </w:tcPr>
          <w:p>
            <w:pPr>
              <w:rPr>
                <w:noProof/>
                <w:sz w:val="20"/>
                <w:szCs w:val="20"/>
              </w:rPr>
            </w:pPr>
          </w:p>
        </w:tc>
        <w:tc>
          <w:tcPr>
            <w:tcW w:w="8978" w:type="dxa"/>
            <w:gridSpan w:val="4"/>
            <w:tcBorders>
              <w:top w:val="nil"/>
              <w:left w:val="nil"/>
              <w:bottom w:val="nil"/>
              <w:right w:val="nil"/>
            </w:tcBorders>
            <w:shd w:val="clear" w:color="000000" w:fill="FFFFFF"/>
            <w:tcMar>
              <w:top w:w="0" w:type="dxa"/>
              <w:left w:w="15" w:type="dxa"/>
              <w:bottom w:w="0" w:type="dxa"/>
              <w:right w:w="15" w:type="dxa"/>
            </w:tcMar>
            <w:vAlign w:val="center"/>
            <w:hideMark/>
          </w:tcPr>
          <w:p>
            <w:pPr>
              <w:jc w:val="right"/>
              <w:rPr>
                <w:i/>
                <w:iCs/>
                <w:noProof/>
                <w:color w:val="000000"/>
                <w:sz w:val="16"/>
                <w:szCs w:val="16"/>
              </w:rPr>
            </w:pPr>
            <w:r>
              <w:rPr>
                <w:i/>
                <w:iCs/>
                <w:noProof/>
                <w:color w:val="000000"/>
                <w:sz w:val="16"/>
                <w:szCs w:val="16"/>
                <w:lang w:eastAsia="en-US"/>
              </w:rPr>
              <w:t>(in EUR)</w:t>
            </w:r>
          </w:p>
        </w:tc>
      </w:tr>
      <w:tr>
        <w:trPr>
          <w:trHeight w:val="282"/>
        </w:trPr>
        <w:tc>
          <w:tcPr>
            <w:tcW w:w="1149" w:type="dxa"/>
            <w:gridSpan w:val="2"/>
            <w:tcBorders>
              <w:top w:val="single" w:sz="8" w:space="0" w:color="auto"/>
              <w:left w:val="single" w:sz="8" w:space="0" w:color="auto"/>
              <w:bottom w:val="single" w:sz="8" w:space="0" w:color="auto"/>
              <w:right w:val="single" w:sz="8" w:space="0" w:color="000000"/>
            </w:tcBorders>
            <w:shd w:val="clear" w:color="000000" w:fill="D9D9D9"/>
            <w:tcMar>
              <w:top w:w="15" w:type="dxa"/>
              <w:left w:w="15" w:type="dxa"/>
              <w:bottom w:w="0" w:type="dxa"/>
              <w:right w:w="15" w:type="dxa"/>
            </w:tcMar>
            <w:vAlign w:val="center"/>
            <w:hideMark/>
          </w:tcPr>
          <w:p>
            <w:pPr>
              <w:jc w:val="center"/>
              <w:rPr>
                <w:b/>
                <w:bCs/>
                <w:noProof/>
                <w:color w:val="000000"/>
                <w:sz w:val="20"/>
                <w:szCs w:val="20"/>
              </w:rPr>
            </w:pPr>
            <w:r>
              <w:rPr>
                <w:b/>
                <w:bCs/>
                <w:noProof/>
                <w:color w:val="000000"/>
                <w:sz w:val="20"/>
                <w:szCs w:val="20"/>
                <w:lang w:eastAsia="en-US"/>
              </w:rPr>
              <w:t>Budget line</w:t>
            </w:r>
          </w:p>
        </w:tc>
        <w:tc>
          <w:tcPr>
            <w:tcW w:w="5529" w:type="dxa"/>
            <w:tcBorders>
              <w:top w:val="single" w:sz="8" w:space="0" w:color="auto"/>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pPr>
              <w:jc w:val="center"/>
              <w:rPr>
                <w:b/>
                <w:bCs/>
                <w:noProof/>
                <w:color w:val="000000"/>
                <w:sz w:val="20"/>
                <w:szCs w:val="20"/>
              </w:rPr>
            </w:pPr>
            <w:r>
              <w:rPr>
                <w:b/>
                <w:bCs/>
                <w:noProof/>
                <w:color w:val="000000"/>
                <w:sz w:val="20"/>
                <w:szCs w:val="20"/>
                <w:lang w:eastAsia="en-US"/>
              </w:rPr>
              <w:t>Name</w:t>
            </w:r>
          </w:p>
        </w:tc>
        <w:tc>
          <w:tcPr>
            <w:tcW w:w="1559" w:type="dxa"/>
            <w:tcBorders>
              <w:top w:val="single" w:sz="8" w:space="0" w:color="auto"/>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pPr>
              <w:jc w:val="center"/>
              <w:rPr>
                <w:b/>
                <w:bCs/>
                <w:noProof/>
                <w:color w:val="000000"/>
                <w:sz w:val="20"/>
                <w:szCs w:val="20"/>
              </w:rPr>
            </w:pPr>
            <w:r>
              <w:rPr>
                <w:b/>
                <w:bCs/>
                <w:noProof/>
                <w:color w:val="000000"/>
                <w:sz w:val="20"/>
                <w:szCs w:val="20"/>
                <w:lang w:eastAsia="en-US"/>
              </w:rPr>
              <w:t>Commitment appropriations</w:t>
            </w:r>
          </w:p>
        </w:tc>
        <w:tc>
          <w:tcPr>
            <w:tcW w:w="1701" w:type="dxa"/>
            <w:tcBorders>
              <w:top w:val="single" w:sz="8" w:space="0" w:color="auto"/>
              <w:left w:val="nil"/>
              <w:bottom w:val="single" w:sz="8" w:space="0" w:color="auto"/>
              <w:right w:val="single" w:sz="8" w:space="0" w:color="000000"/>
            </w:tcBorders>
            <w:shd w:val="clear" w:color="000000" w:fill="D9D9D9"/>
            <w:tcMar>
              <w:top w:w="15" w:type="dxa"/>
              <w:left w:w="15" w:type="dxa"/>
              <w:bottom w:w="0" w:type="dxa"/>
              <w:right w:w="15" w:type="dxa"/>
            </w:tcMar>
            <w:vAlign w:val="center"/>
            <w:hideMark/>
          </w:tcPr>
          <w:p>
            <w:pPr>
              <w:jc w:val="center"/>
              <w:rPr>
                <w:b/>
                <w:bCs/>
                <w:noProof/>
                <w:color w:val="000000"/>
                <w:sz w:val="20"/>
                <w:szCs w:val="20"/>
              </w:rPr>
            </w:pPr>
            <w:r>
              <w:rPr>
                <w:b/>
                <w:bCs/>
                <w:noProof/>
                <w:color w:val="000000"/>
                <w:sz w:val="20"/>
                <w:szCs w:val="20"/>
                <w:lang w:eastAsia="en-US"/>
              </w:rPr>
              <w:t>Payment appropriations</w:t>
            </w:r>
          </w:p>
        </w:tc>
      </w:tr>
      <w:tr>
        <w:trPr>
          <w:trHeight w:val="174"/>
        </w:trPr>
        <w:tc>
          <w:tcPr>
            <w:tcW w:w="9938" w:type="dxa"/>
            <w:gridSpan w:val="5"/>
            <w:tcBorders>
              <w:top w:val="single" w:sz="8" w:space="0" w:color="auto"/>
              <w:left w:val="single" w:sz="8" w:space="0" w:color="auto"/>
              <w:bottom w:val="single" w:sz="8" w:space="0" w:color="auto"/>
              <w:right w:val="single" w:sz="8" w:space="0" w:color="000000"/>
            </w:tcBorders>
            <w:shd w:val="clear" w:color="000000" w:fill="F2F2F2"/>
            <w:tcMar>
              <w:top w:w="15" w:type="dxa"/>
              <w:left w:w="15" w:type="dxa"/>
              <w:bottom w:w="0" w:type="dxa"/>
              <w:right w:w="15" w:type="dxa"/>
            </w:tcMar>
            <w:vAlign w:val="center"/>
            <w:hideMark/>
          </w:tcPr>
          <w:p>
            <w:pPr>
              <w:widowControl w:val="0"/>
              <w:spacing w:before="15" w:after="15" w:line="276" w:lineRule="auto"/>
              <w:rPr>
                <w:i/>
                <w:noProof/>
                <w:sz w:val="20"/>
                <w:szCs w:val="20"/>
                <w:lang w:eastAsia="en-US"/>
              </w:rPr>
            </w:pPr>
            <w:r>
              <w:rPr>
                <w:i/>
                <w:noProof/>
                <w:sz w:val="20"/>
                <w:szCs w:val="20"/>
                <w:lang w:eastAsia="en-US"/>
              </w:rPr>
              <w:t xml:space="preserve">  Section I – European Parliament</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1 2 0 0</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rPr>
                <w:noProof/>
                <w:color w:val="000000"/>
                <w:sz w:val="20"/>
                <w:szCs w:val="20"/>
              </w:rPr>
            </w:pPr>
            <w:r>
              <w:rPr>
                <w:noProof/>
                <w:color w:val="000000"/>
                <w:sz w:val="20"/>
                <w:szCs w:val="20"/>
              </w:rPr>
              <w:t xml:space="preserve">  Remuneration and allowances </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szCs w:val="20"/>
              </w:rPr>
              <w:t>535 500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szCs w:val="20"/>
              </w:rPr>
              <w:t>535 500</w:t>
            </w:r>
          </w:p>
        </w:tc>
      </w:tr>
      <w:tr>
        <w:trPr>
          <w:trHeight w:val="170"/>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1 4 0 0</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rPr>
                <w:noProof/>
                <w:color w:val="000000"/>
                <w:sz w:val="20"/>
                <w:szCs w:val="20"/>
              </w:rPr>
            </w:pPr>
            <w:r>
              <w:rPr>
                <w:noProof/>
                <w:color w:val="000000"/>
                <w:sz w:val="20"/>
                <w:szCs w:val="20"/>
              </w:rPr>
              <w:t xml:space="preserve">  Other staff — Secretariat and political groups</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szCs w:val="20"/>
              </w:rPr>
              <w:t>150 000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szCs w:val="20"/>
              </w:rPr>
              <w:t>150 000</w:t>
            </w:r>
          </w:p>
        </w:tc>
      </w:tr>
      <w:tr>
        <w:trPr>
          <w:trHeight w:val="214"/>
        </w:trPr>
        <w:tc>
          <w:tcPr>
            <w:tcW w:w="6678" w:type="dxa"/>
            <w:gridSpan w:val="3"/>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b/>
                <w:bCs/>
                <w:noProof/>
                <w:color w:val="000000"/>
                <w:sz w:val="20"/>
                <w:szCs w:val="20"/>
              </w:rPr>
            </w:pPr>
            <w:r>
              <w:rPr>
                <w:b/>
                <w:bCs/>
                <w:noProof/>
                <w:color w:val="000000"/>
                <w:sz w:val="20"/>
                <w:szCs w:val="20"/>
              </w:rPr>
              <w:t xml:space="preserve">  Sub-total Section I </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57" w:right="127" w:firstLine="157"/>
              <w:jc w:val="right"/>
              <w:rPr>
                <w:b/>
                <w:noProof/>
                <w:color w:val="000000"/>
                <w:sz w:val="20"/>
                <w:szCs w:val="20"/>
              </w:rPr>
            </w:pPr>
            <w:r>
              <w:rPr>
                <w:b/>
                <w:noProof/>
                <w:color w:val="000000"/>
                <w:sz w:val="20"/>
                <w:szCs w:val="20"/>
              </w:rPr>
              <w:t>685 500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pPr>
              <w:ind w:left="-157" w:right="127" w:firstLine="157"/>
              <w:jc w:val="right"/>
              <w:rPr>
                <w:b/>
                <w:noProof/>
                <w:color w:val="000000"/>
                <w:sz w:val="20"/>
                <w:szCs w:val="20"/>
              </w:rPr>
            </w:pPr>
            <w:r>
              <w:rPr>
                <w:b/>
                <w:noProof/>
                <w:color w:val="000000"/>
                <w:sz w:val="20"/>
                <w:szCs w:val="20"/>
              </w:rPr>
              <w:t>685 500</w:t>
            </w:r>
          </w:p>
        </w:tc>
      </w:tr>
      <w:tr>
        <w:trPr>
          <w:trHeight w:val="247"/>
        </w:trPr>
        <w:tc>
          <w:tcPr>
            <w:tcW w:w="9938" w:type="dxa"/>
            <w:gridSpan w:val="5"/>
            <w:tcBorders>
              <w:top w:val="single" w:sz="8" w:space="0" w:color="auto"/>
              <w:left w:val="single" w:sz="8" w:space="0" w:color="auto"/>
              <w:bottom w:val="single" w:sz="8" w:space="0" w:color="auto"/>
              <w:right w:val="single" w:sz="8" w:space="0" w:color="000000"/>
            </w:tcBorders>
            <w:shd w:val="clear" w:color="000000" w:fill="F2F2F2"/>
            <w:tcMar>
              <w:top w:w="15" w:type="dxa"/>
              <w:left w:w="15" w:type="dxa"/>
              <w:bottom w:w="0" w:type="dxa"/>
              <w:right w:w="15" w:type="dxa"/>
            </w:tcMar>
            <w:vAlign w:val="center"/>
            <w:hideMark/>
          </w:tcPr>
          <w:p>
            <w:pPr>
              <w:rPr>
                <w:i/>
                <w:iCs/>
                <w:noProof/>
                <w:color w:val="000000"/>
                <w:sz w:val="20"/>
                <w:szCs w:val="20"/>
              </w:rPr>
            </w:pPr>
            <w:r>
              <w:rPr>
                <w:i/>
                <w:iCs/>
                <w:noProof/>
                <w:color w:val="000000"/>
                <w:sz w:val="20"/>
                <w:szCs w:val="20"/>
                <w:lang w:eastAsia="en-US"/>
              </w:rPr>
              <w:t xml:space="preserve">  Section III – European Commission</w:t>
            </w:r>
          </w:p>
        </w:tc>
      </w:tr>
      <w:tr>
        <w:trPr>
          <w:trHeight w:val="236"/>
        </w:trPr>
        <w:tc>
          <w:tcPr>
            <w:tcW w:w="1149"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noProof/>
                <w:color w:val="000000"/>
                <w:sz w:val="20"/>
                <w:szCs w:val="20"/>
              </w:rPr>
            </w:pPr>
            <w:r>
              <w:rPr>
                <w:noProof/>
                <w:color w:val="000000"/>
                <w:sz w:val="20"/>
                <w:szCs w:val="20"/>
              </w:rPr>
              <w:t xml:space="preserve">  27 01 02 09</w:t>
            </w:r>
          </w:p>
        </w:tc>
        <w:tc>
          <w:tcPr>
            <w:tcW w:w="552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rPr>
                <w:noProof/>
                <w:color w:val="000000"/>
                <w:sz w:val="20"/>
                <w:szCs w:val="20"/>
                <w:lang w:val="fr-BE"/>
              </w:rPr>
            </w:pPr>
            <w:r>
              <w:rPr>
                <w:noProof/>
                <w:color w:val="000000"/>
                <w:sz w:val="20"/>
                <w:szCs w:val="20"/>
                <w:lang w:val="fr-BE" w:eastAsia="en-US"/>
              </w:rPr>
              <w:t xml:space="preserve">  External personnel – non-decentralised management</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szCs w:val="20"/>
              </w:rPr>
              <w:t>-150 000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pPr>
              <w:ind w:left="-157" w:right="127" w:firstLine="157"/>
              <w:jc w:val="right"/>
              <w:rPr>
                <w:noProof/>
                <w:color w:val="000000"/>
                <w:sz w:val="20"/>
                <w:szCs w:val="20"/>
              </w:rPr>
            </w:pPr>
            <w:r>
              <w:rPr>
                <w:noProof/>
                <w:color w:val="000000"/>
                <w:sz w:val="20"/>
                <w:szCs w:val="20"/>
              </w:rPr>
              <w:t>-150 000</w:t>
            </w:r>
          </w:p>
        </w:tc>
      </w:tr>
      <w:tr>
        <w:trPr>
          <w:trHeight w:val="254"/>
        </w:trPr>
        <w:tc>
          <w:tcPr>
            <w:tcW w:w="6678" w:type="dxa"/>
            <w:gridSpan w:val="3"/>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pPr>
              <w:jc w:val="both"/>
              <w:rPr>
                <w:b/>
                <w:bCs/>
                <w:noProof/>
                <w:color w:val="000000"/>
                <w:sz w:val="20"/>
                <w:szCs w:val="20"/>
              </w:rPr>
            </w:pPr>
            <w:r>
              <w:rPr>
                <w:b/>
                <w:bCs/>
                <w:noProof/>
                <w:color w:val="000000"/>
                <w:sz w:val="20"/>
                <w:szCs w:val="20"/>
              </w:rPr>
              <w:t xml:space="preserve">  Sub-total Section III </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pPr>
              <w:ind w:left="-157" w:right="127" w:firstLine="157"/>
              <w:jc w:val="right"/>
              <w:rPr>
                <w:b/>
                <w:noProof/>
                <w:color w:val="000000"/>
                <w:sz w:val="20"/>
                <w:szCs w:val="20"/>
              </w:rPr>
            </w:pPr>
            <w:r>
              <w:rPr>
                <w:b/>
                <w:noProof/>
                <w:color w:val="000000"/>
                <w:sz w:val="20"/>
                <w:szCs w:val="20"/>
              </w:rPr>
              <w:t>-150 000</w:t>
            </w:r>
          </w:p>
        </w:tc>
        <w:tc>
          <w:tcPr>
            <w:tcW w:w="1701"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pPr>
              <w:ind w:left="-157" w:right="127" w:firstLine="157"/>
              <w:jc w:val="right"/>
              <w:rPr>
                <w:b/>
                <w:noProof/>
                <w:color w:val="000000"/>
                <w:sz w:val="20"/>
                <w:szCs w:val="20"/>
              </w:rPr>
            </w:pPr>
            <w:r>
              <w:rPr>
                <w:b/>
                <w:noProof/>
                <w:color w:val="000000"/>
                <w:sz w:val="20"/>
                <w:szCs w:val="20"/>
              </w:rPr>
              <w:t>-150 000</w:t>
            </w:r>
          </w:p>
        </w:tc>
      </w:tr>
      <w:tr>
        <w:trPr>
          <w:trHeight w:val="254"/>
        </w:trPr>
        <w:tc>
          <w:tcPr>
            <w:tcW w:w="6678" w:type="dxa"/>
            <w:gridSpan w:val="3"/>
            <w:tcBorders>
              <w:top w:val="single" w:sz="8" w:space="0" w:color="auto"/>
              <w:left w:val="single" w:sz="8" w:space="0" w:color="auto"/>
              <w:bottom w:val="single" w:sz="8" w:space="0" w:color="auto"/>
              <w:right w:val="single" w:sz="8" w:space="0" w:color="000000"/>
            </w:tcBorders>
            <w:shd w:val="clear" w:color="000000" w:fill="D9D9D9"/>
            <w:tcMar>
              <w:top w:w="15" w:type="dxa"/>
              <w:left w:w="15" w:type="dxa"/>
              <w:bottom w:w="0" w:type="dxa"/>
              <w:right w:w="15" w:type="dxa"/>
            </w:tcMar>
            <w:vAlign w:val="center"/>
            <w:hideMark/>
          </w:tcPr>
          <w:p>
            <w:pPr>
              <w:jc w:val="both"/>
              <w:rPr>
                <w:b/>
                <w:bCs/>
                <w:noProof/>
                <w:color w:val="000000"/>
                <w:sz w:val="20"/>
                <w:szCs w:val="20"/>
              </w:rPr>
            </w:pPr>
            <w:r>
              <w:rPr>
                <w:b/>
                <w:bCs/>
                <w:noProof/>
                <w:color w:val="000000"/>
                <w:sz w:val="20"/>
                <w:szCs w:val="20"/>
              </w:rPr>
              <w:t xml:space="preserve">  Total</w:t>
            </w:r>
          </w:p>
        </w:tc>
        <w:tc>
          <w:tcPr>
            <w:tcW w:w="1559" w:type="dxa"/>
            <w:tcBorders>
              <w:top w:val="nil"/>
              <w:left w:val="nil"/>
              <w:bottom w:val="single" w:sz="8" w:space="0" w:color="auto"/>
              <w:right w:val="single" w:sz="8" w:space="0" w:color="auto"/>
            </w:tcBorders>
            <w:shd w:val="clear" w:color="000000" w:fill="D9D9D9"/>
            <w:tcMar>
              <w:top w:w="15" w:type="dxa"/>
              <w:left w:w="15" w:type="dxa"/>
              <w:bottom w:w="0" w:type="dxa"/>
              <w:right w:w="15" w:type="dxa"/>
            </w:tcMar>
            <w:vAlign w:val="center"/>
            <w:hideMark/>
          </w:tcPr>
          <w:p>
            <w:pPr>
              <w:ind w:right="127"/>
              <w:jc w:val="right"/>
              <w:rPr>
                <w:b/>
                <w:bCs/>
                <w:noProof/>
                <w:color w:val="000000"/>
                <w:sz w:val="20"/>
                <w:szCs w:val="20"/>
              </w:rPr>
            </w:pPr>
            <w:r>
              <w:rPr>
                <w:b/>
                <w:bCs/>
                <w:noProof/>
                <w:color w:val="000000"/>
                <w:sz w:val="20"/>
                <w:szCs w:val="20"/>
              </w:rPr>
              <w:t>535 500</w:t>
            </w:r>
          </w:p>
        </w:tc>
        <w:tc>
          <w:tcPr>
            <w:tcW w:w="1701" w:type="dxa"/>
            <w:tcBorders>
              <w:top w:val="single" w:sz="8" w:space="0" w:color="auto"/>
              <w:left w:val="nil"/>
              <w:bottom w:val="single" w:sz="8" w:space="0" w:color="auto"/>
              <w:right w:val="single" w:sz="8" w:space="0" w:color="000000"/>
            </w:tcBorders>
            <w:shd w:val="clear" w:color="000000" w:fill="D9D9D9"/>
            <w:tcMar>
              <w:top w:w="15" w:type="dxa"/>
              <w:left w:w="15" w:type="dxa"/>
              <w:bottom w:w="0" w:type="dxa"/>
              <w:right w:w="15" w:type="dxa"/>
            </w:tcMar>
            <w:vAlign w:val="center"/>
            <w:hideMark/>
          </w:tcPr>
          <w:p>
            <w:pPr>
              <w:ind w:right="127"/>
              <w:jc w:val="right"/>
              <w:rPr>
                <w:b/>
                <w:bCs/>
                <w:noProof/>
                <w:color w:val="000000"/>
                <w:sz w:val="20"/>
                <w:szCs w:val="20"/>
              </w:rPr>
            </w:pPr>
            <w:r>
              <w:rPr>
                <w:b/>
                <w:bCs/>
                <w:noProof/>
                <w:color w:val="000000"/>
                <w:sz w:val="20"/>
                <w:szCs w:val="20"/>
              </w:rPr>
              <w:t>535 500</w:t>
            </w:r>
          </w:p>
        </w:tc>
      </w:tr>
    </w:tbl>
    <w:p>
      <w:pPr>
        <w:spacing w:before="120" w:after="120"/>
        <w:jc w:val="both"/>
        <w:rPr>
          <w:rFonts w:eastAsia="Calibri"/>
          <w:noProof/>
        </w:rPr>
      </w:pPr>
      <w:r>
        <w:rPr>
          <w:rFonts w:eastAsia="Calibri"/>
          <w:noProof/>
        </w:rPr>
        <w:t>The updated establishment plan is set out in the budgetary annex.</w:t>
      </w:r>
    </w:p>
    <w:p>
      <w:pPr>
        <w:pStyle w:val="ManualHeading1"/>
        <w:spacing w:before="240"/>
        <w:rPr>
          <w:noProof/>
        </w:rPr>
      </w:pPr>
      <w:bookmarkStart w:id="81" w:name="_Toc527106864"/>
      <w:bookmarkStart w:id="82" w:name="_Toc526753792"/>
      <w:r>
        <w:rPr>
          <w:noProof/>
        </w:rPr>
        <w:t>5.</w:t>
      </w:r>
      <w:r>
        <w:rPr>
          <w:noProof/>
        </w:rPr>
        <w:tab/>
        <w:t>Other adjustments based on recent developments</w:t>
      </w:r>
      <w:bookmarkEnd w:id="81"/>
      <w:bookmarkEnd w:id="82"/>
      <w:r>
        <w:rPr>
          <w:noProof/>
        </w:rPr>
        <w:t xml:space="preserve"> </w:t>
      </w:r>
    </w:p>
    <w:p>
      <w:pPr>
        <w:keepNext/>
        <w:tabs>
          <w:tab w:val="left" w:pos="850"/>
        </w:tabs>
        <w:spacing w:before="360" w:after="120"/>
        <w:ind w:left="851" w:hanging="851"/>
        <w:jc w:val="both"/>
        <w:outlineLvl w:val="1"/>
        <w:rPr>
          <w:rFonts w:eastAsia="Calibri"/>
          <w:b/>
          <w:noProof/>
          <w:lang w:eastAsia="en-US"/>
        </w:rPr>
      </w:pPr>
      <w:bookmarkStart w:id="83" w:name="_Toc462933838"/>
      <w:bookmarkStart w:id="84" w:name="_Toc462935199"/>
      <w:bookmarkStart w:id="85" w:name="_Toc462935301"/>
      <w:bookmarkStart w:id="86" w:name="_Toc462935349"/>
      <w:bookmarkStart w:id="87" w:name="_Toc462935506"/>
      <w:bookmarkStart w:id="88" w:name="_Toc463004740"/>
      <w:bookmarkStart w:id="89" w:name="_Toc462933839"/>
      <w:bookmarkStart w:id="90" w:name="_Toc462935200"/>
      <w:bookmarkStart w:id="91" w:name="_Toc462935302"/>
      <w:bookmarkStart w:id="92" w:name="_Toc462935350"/>
      <w:bookmarkStart w:id="93" w:name="_Toc462935507"/>
      <w:bookmarkStart w:id="94" w:name="_Toc463004741"/>
      <w:bookmarkStart w:id="95" w:name="_Toc462933840"/>
      <w:bookmarkStart w:id="96" w:name="_Toc462935201"/>
      <w:bookmarkStart w:id="97" w:name="_Toc462935303"/>
      <w:bookmarkStart w:id="98" w:name="_Toc462935351"/>
      <w:bookmarkStart w:id="99" w:name="_Toc462935508"/>
      <w:bookmarkStart w:id="100" w:name="_Toc463004742"/>
      <w:bookmarkStart w:id="101" w:name="_Toc463974158"/>
      <w:bookmarkStart w:id="102" w:name="_Toc464028203"/>
      <w:bookmarkStart w:id="103" w:name="_Toc464028335"/>
      <w:bookmarkStart w:id="104" w:name="_Toc463974159"/>
      <w:bookmarkStart w:id="105" w:name="_Toc464028204"/>
      <w:bookmarkStart w:id="106" w:name="_Toc464028336"/>
      <w:bookmarkStart w:id="107" w:name="_Toc463974160"/>
      <w:bookmarkStart w:id="108" w:name="_Toc464028205"/>
      <w:bookmarkStart w:id="109" w:name="_Toc464028337"/>
      <w:bookmarkStart w:id="110" w:name="_Toc463974161"/>
      <w:bookmarkStart w:id="111" w:name="_Toc464028206"/>
      <w:bookmarkStart w:id="112" w:name="_Toc464028338"/>
      <w:bookmarkStart w:id="113" w:name="_Toc526753793"/>
      <w:bookmarkStart w:id="114" w:name="_Toc527106865"/>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eastAsia="Calibri"/>
          <w:b/>
          <w:noProof/>
          <w:lang w:eastAsia="en-US"/>
        </w:rPr>
        <w:t xml:space="preserve">5.1 </w:t>
      </w:r>
      <w:r>
        <w:rPr>
          <w:rFonts w:eastAsia="Calibri"/>
          <w:b/>
          <w:noProof/>
          <w:lang w:eastAsia="en-US"/>
        </w:rPr>
        <w:tab/>
        <w:t xml:space="preserve">Reinforcement of the EU contribution to </w:t>
      </w:r>
      <w:bookmarkEnd w:id="113"/>
      <w:r>
        <w:rPr>
          <w:rFonts w:eastAsia="Calibri"/>
          <w:b/>
          <w:noProof/>
          <w:lang w:eastAsia="en-US"/>
        </w:rPr>
        <w:t xml:space="preserve">the European Union Agency for Law Enforcement </w:t>
      </w:r>
      <w:bookmarkEnd w:id="114"/>
      <w:r>
        <w:rPr>
          <w:rFonts w:eastAsia="Calibri"/>
          <w:b/>
          <w:noProof/>
          <w:lang w:eastAsia="en-US"/>
        </w:rPr>
        <w:t>Cooperation</w:t>
      </w:r>
    </w:p>
    <w:p>
      <w:pPr>
        <w:spacing w:before="120" w:after="120"/>
        <w:jc w:val="both"/>
        <w:rPr>
          <w:noProof/>
        </w:rPr>
      </w:pPr>
      <w:r>
        <w:rPr>
          <w:noProof/>
        </w:rPr>
        <w:t>Under the European Agenda for Security, the European Union Agency for Law Enforcement Cooperation (Europol) plays a key role as the central hub in the fight against terrorism in the EU, contributing to a coordinated reaction against the ongoing and anticipated terrorist threat and attacks. Further to the recent terrorist attacks in Europe, the amount of data exchanged with Europol and the number of users have increased steeply, which creates a need for upgrading the Agency’s core IT systems. For this reason the Commission proposes a reinforcement of the EU contribution to Europol by EUR 5,0 million.</w:t>
      </w:r>
    </w:p>
    <w:p>
      <w:pPr>
        <w:spacing w:before="120" w:after="120"/>
        <w:jc w:val="both"/>
        <w:rPr>
          <w:noProof/>
        </w:rPr>
      </w:pPr>
      <w:r>
        <w:rPr>
          <w:noProof/>
        </w:rPr>
        <w:t>In addition, the Commission requests an additional EUR 3,0 million to extend Europol’s scheme for deployment of guest officers for secondary security checks, as a key instrument to support Member States in stemming illegal migration on all existing and emerging routes.</w:t>
      </w:r>
    </w:p>
    <w:p>
      <w:pPr>
        <w:spacing w:before="120" w:after="120"/>
        <w:jc w:val="both"/>
        <w:rPr>
          <w:noProof/>
        </w:rPr>
      </w:pPr>
      <w:r>
        <w:rPr>
          <w:noProof/>
        </w:rPr>
        <w:t xml:space="preserve">The Commission’s assessment of total additional needs for Europol therefore amounts to EUR 8,0 million in commitment and payment appropriations. Given the absence of margin under hearding 3 </w:t>
      </w:r>
      <w:r>
        <w:rPr>
          <w:rFonts w:eastAsia="Calibri"/>
          <w:noProof/>
        </w:rPr>
        <w:t>and no room for redeployment</w:t>
      </w:r>
      <w:r>
        <w:rPr>
          <w:noProof/>
        </w:rPr>
        <w:t xml:space="preserve">, </w:t>
      </w:r>
      <w:r>
        <w:rPr>
          <w:rFonts w:eastAsia="Calibri"/>
          <w:noProof/>
        </w:rPr>
        <w:t>t</w:t>
      </w:r>
      <w:r>
        <w:rPr>
          <w:noProof/>
        </w:rPr>
        <w:t>he Commission proposes to modify the mobilisation of the Flexibility Instrument accordingly.</w:t>
      </w:r>
    </w:p>
    <w:p>
      <w:pPr>
        <w:spacing w:before="120" w:after="120"/>
        <w:jc w:val="both"/>
        <w:rPr>
          <w:noProof/>
        </w:rPr>
      </w:pPr>
      <w:r>
        <w:rPr>
          <w:rFonts w:eastAsia="Calibri"/>
          <w:noProof/>
        </w:rPr>
        <w:t>The details by budget line are presented in the table below:</w:t>
      </w:r>
    </w:p>
    <w:tbl>
      <w:tblPr>
        <w:tblW w:w="10000" w:type="dxa"/>
        <w:jc w:val="center"/>
        <w:tblLayout w:type="fixed"/>
        <w:tblCellMar>
          <w:left w:w="40" w:type="dxa"/>
          <w:right w:w="40" w:type="dxa"/>
        </w:tblCellMar>
        <w:tblLook w:val="0000" w:firstRow="0" w:lastRow="0" w:firstColumn="0" w:lastColumn="0" w:noHBand="0" w:noVBand="0"/>
      </w:tblPr>
      <w:tblGrid>
        <w:gridCol w:w="9"/>
        <w:gridCol w:w="1191"/>
        <w:gridCol w:w="5503"/>
        <w:gridCol w:w="1617"/>
        <w:gridCol w:w="1672"/>
        <w:gridCol w:w="8"/>
      </w:tblGrid>
      <w:tr>
        <w:trPr>
          <w:gridBefore w:val="1"/>
          <w:gridAfter w:val="1"/>
          <w:wBefore w:w="9" w:type="dxa"/>
          <w:wAfter w:w="8" w:type="dxa"/>
          <w:trHeight w:val="164"/>
          <w:tblHeader/>
          <w:jc w:val="center"/>
        </w:trPr>
        <w:tc>
          <w:tcPr>
            <w:tcW w:w="9983" w:type="dxa"/>
            <w:gridSpan w:val="4"/>
            <w:shd w:val="clear" w:color="auto" w:fill="FFFFFF"/>
            <w:vAlign w:val="center"/>
          </w:tcPr>
          <w:p>
            <w:pPr>
              <w:jc w:val="right"/>
              <w:rPr>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Budget line</w:t>
            </w:r>
          </w:p>
        </w:tc>
        <w:tc>
          <w:tcPr>
            <w:tcW w:w="5503"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Name</w:t>
            </w:r>
          </w:p>
        </w:tc>
        <w:tc>
          <w:tcPr>
            <w:tcW w:w="1617"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Commitment appropriations</w:t>
            </w:r>
          </w:p>
        </w:tc>
        <w:tc>
          <w:tcPr>
            <w:tcW w:w="168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00" w:type="dxa"/>
            <w:gridSpan w:val="6"/>
            <w:shd w:val="clear" w:color="auto" w:fill="F2F2F2" w:themeFill="background1" w:themeFillShade="F2"/>
          </w:tcPr>
          <w:p>
            <w:pPr>
              <w:widowControl w:val="0"/>
              <w:spacing w:before="15" w:after="15" w:line="276" w:lineRule="auto"/>
              <w:rPr>
                <w:i/>
                <w:noProof/>
                <w:sz w:val="20"/>
                <w:szCs w:val="20"/>
                <w:lang w:eastAsia="en-US"/>
              </w:rPr>
            </w:pPr>
            <w:r>
              <w:rPr>
                <w:i/>
                <w:noProof/>
                <w:sz w:val="20"/>
                <w:szCs w:val="20"/>
                <w:lang w:eastAsia="en-US"/>
              </w:rPr>
              <w:t>Section III – European Commission</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rPr>
              <w:t>18 02 04</w:t>
            </w:r>
          </w:p>
        </w:tc>
        <w:tc>
          <w:tcPr>
            <w:tcW w:w="5503" w:type="dxa"/>
          </w:tcPr>
          <w:p>
            <w:pPr>
              <w:rPr>
                <w:noProof/>
                <w:sz w:val="20"/>
                <w:szCs w:val="20"/>
                <w:lang w:eastAsia="en-US"/>
              </w:rPr>
            </w:pPr>
            <w:r>
              <w:rPr>
                <w:noProof/>
                <w:sz w:val="20"/>
                <w:szCs w:val="20"/>
                <w:lang w:eastAsia="en-US"/>
              </w:rPr>
              <w:t>European Union Agency for Law Enforcement Cooperation (Europol)</w:t>
            </w:r>
          </w:p>
        </w:tc>
        <w:tc>
          <w:tcPr>
            <w:tcW w:w="1617" w:type="dxa"/>
          </w:tcPr>
          <w:p>
            <w:pPr>
              <w:widowControl w:val="0"/>
              <w:spacing w:before="15" w:after="15" w:line="276" w:lineRule="auto"/>
              <w:jc w:val="right"/>
              <w:rPr>
                <w:noProof/>
                <w:sz w:val="20"/>
                <w:szCs w:val="20"/>
                <w:lang w:eastAsia="en-US"/>
              </w:rPr>
            </w:pPr>
            <w:r>
              <w:rPr>
                <w:noProof/>
                <w:sz w:val="20"/>
                <w:szCs w:val="20"/>
                <w:lang w:eastAsia="en-US"/>
              </w:rPr>
              <w:t>8 000 000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8 000 000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617" w:type="dxa"/>
            <w:shd w:val="clear" w:color="auto" w:fill="D9D9D9"/>
          </w:tcPr>
          <w:p>
            <w:pPr>
              <w:widowControl w:val="0"/>
              <w:spacing w:before="15" w:after="15"/>
              <w:jc w:val="right"/>
              <w:rPr>
                <w:b/>
                <w:noProof/>
                <w:sz w:val="20"/>
                <w:szCs w:val="20"/>
              </w:rPr>
            </w:pPr>
            <w:r>
              <w:rPr>
                <w:b/>
                <w:noProof/>
                <w:sz w:val="20"/>
                <w:szCs w:val="20"/>
              </w:rPr>
              <w:t>8 000 000</w:t>
            </w:r>
          </w:p>
        </w:tc>
        <w:tc>
          <w:tcPr>
            <w:tcW w:w="1680" w:type="dxa"/>
            <w:gridSpan w:val="2"/>
            <w:shd w:val="clear" w:color="auto" w:fill="D9D9D9"/>
          </w:tcPr>
          <w:p>
            <w:pPr>
              <w:widowControl w:val="0"/>
              <w:spacing w:before="15" w:after="15"/>
              <w:jc w:val="right"/>
              <w:rPr>
                <w:b/>
                <w:noProof/>
                <w:sz w:val="20"/>
                <w:szCs w:val="20"/>
              </w:rPr>
            </w:pPr>
            <w:r>
              <w:rPr>
                <w:b/>
                <w:noProof/>
                <w:sz w:val="20"/>
                <w:szCs w:val="20"/>
              </w:rPr>
              <w:t>8 000 000</w:t>
            </w:r>
          </w:p>
        </w:tc>
      </w:tr>
    </w:tbl>
    <w:p>
      <w:pPr>
        <w:rPr>
          <w:rFonts w:eastAsia="Calibri"/>
          <w:noProof/>
          <w:lang w:eastAsia="en-US"/>
        </w:rPr>
      </w:pPr>
      <w:r>
        <w:rPr>
          <w:rFonts w:eastAsia="Calibri"/>
          <w:noProof/>
          <w:lang w:eastAsia="en-US"/>
        </w:rPr>
        <w:br w:type="page"/>
      </w:r>
    </w:p>
    <w:p>
      <w:pPr>
        <w:keepNext/>
        <w:tabs>
          <w:tab w:val="left" w:pos="850"/>
        </w:tabs>
        <w:spacing w:before="360" w:after="120"/>
        <w:ind w:left="357" w:hanging="357"/>
        <w:jc w:val="both"/>
        <w:outlineLvl w:val="1"/>
        <w:rPr>
          <w:rFonts w:eastAsia="Calibri"/>
          <w:b/>
          <w:noProof/>
          <w:lang w:eastAsia="en-US"/>
        </w:rPr>
      </w:pPr>
      <w:bookmarkStart w:id="115" w:name="_Toc527106866"/>
      <w:bookmarkStart w:id="116" w:name="_Toc526753794"/>
      <w:r>
        <w:rPr>
          <w:rFonts w:eastAsia="Calibri"/>
          <w:b/>
          <w:noProof/>
          <w:lang w:eastAsia="en-US"/>
        </w:rPr>
        <w:t xml:space="preserve">5.2 </w:t>
      </w:r>
      <w:r>
        <w:rPr>
          <w:rFonts w:eastAsia="Calibri"/>
          <w:b/>
          <w:noProof/>
          <w:lang w:eastAsia="en-US"/>
        </w:rPr>
        <w:tab/>
        <w:t>Reinforcement of the European Public Prosecutor’s Office</w:t>
      </w:r>
      <w:bookmarkEnd w:id="115"/>
      <w:bookmarkEnd w:id="116"/>
    </w:p>
    <w:p>
      <w:pPr>
        <w:pStyle w:val="Default"/>
        <w:spacing w:before="120" w:after="120"/>
        <w:jc w:val="both"/>
        <w:rPr>
          <w:bCs/>
          <w:noProof/>
        </w:rPr>
      </w:pPr>
      <w:r>
        <w:rPr>
          <w:bCs/>
          <w:noProof/>
        </w:rPr>
        <w:t>The European Public Prosecutor’s Office (EPPO) was created in October 2017 under enhanced cooperation</w:t>
      </w:r>
      <w:r>
        <w:rPr>
          <w:rStyle w:val="FootnoteReference"/>
          <w:bCs/>
          <w:noProof/>
        </w:rPr>
        <w:footnoteReference w:id="20"/>
      </w:r>
      <w:r>
        <w:rPr>
          <w:bCs/>
          <w:noProof/>
        </w:rPr>
        <w:t>, at that time with 20 participating countries. Since then, the participation of Malta and The Netherlands in the EPPO has been confirmed. Based on the College model of the Office, this requires the recruitment of two additional European Prosecutors. In light of the relatively low caseload expected to arise from the participation of these new countries, however, no further increases of EPPO staff numbers are expected to be required as compared to the revised legislative financial statement of September 2017.</w:t>
      </w:r>
    </w:p>
    <w:p>
      <w:pPr>
        <w:pStyle w:val="Default"/>
        <w:spacing w:before="120" w:after="120"/>
        <w:jc w:val="both"/>
        <w:rPr>
          <w:bCs/>
          <w:noProof/>
        </w:rPr>
      </w:pPr>
      <w:r>
        <w:rPr>
          <w:noProof/>
        </w:rPr>
        <w:t>Furthermore, in view of the importance to attract highly qualified candidates on account of the prosecutorial functions to be exercised and the standing and responsibility of the positions, the Commission proposes to recruit the European Chief Prosecutor and the 22 European Prosecutors in grades AD15 and AD13, respectively.</w:t>
      </w:r>
    </w:p>
    <w:p>
      <w:pPr>
        <w:pStyle w:val="Default"/>
        <w:spacing w:before="120" w:after="120"/>
        <w:jc w:val="both"/>
        <w:rPr>
          <w:bCs/>
          <w:noProof/>
        </w:rPr>
      </w:pPr>
      <w:r>
        <w:rPr>
          <w:bCs/>
          <w:noProof/>
        </w:rPr>
        <w:t>Given the planned timing of the recruitment of the EPPO staff over 2019, no additional funding is requested as compared to the EU contribution included in the Draft Budget 2019 (EUR 4,9 million).</w:t>
      </w:r>
    </w:p>
    <w:p>
      <w:pPr>
        <w:spacing w:before="120" w:after="120"/>
        <w:jc w:val="both"/>
        <w:rPr>
          <w:rFonts w:eastAsia="Calibri"/>
          <w:noProof/>
        </w:rPr>
      </w:pPr>
      <w:r>
        <w:rPr>
          <w:rFonts w:eastAsia="Calibri"/>
          <w:noProof/>
        </w:rPr>
        <w:t>The updated establishment plan is set out in the budgetary annex.</w:t>
      </w:r>
    </w:p>
    <w:p>
      <w:pPr>
        <w:keepNext/>
        <w:tabs>
          <w:tab w:val="left" w:pos="850"/>
        </w:tabs>
        <w:spacing w:before="360" w:after="120"/>
        <w:ind w:left="851" w:hanging="851"/>
        <w:jc w:val="both"/>
        <w:outlineLvl w:val="1"/>
        <w:rPr>
          <w:rFonts w:eastAsia="Calibri"/>
          <w:b/>
          <w:noProof/>
          <w:lang w:eastAsia="en-US"/>
        </w:rPr>
      </w:pPr>
      <w:bookmarkStart w:id="117" w:name="_Toc526753795"/>
      <w:bookmarkStart w:id="118" w:name="_Toc527106867"/>
      <w:r>
        <w:rPr>
          <w:rFonts w:eastAsia="Calibri"/>
          <w:b/>
          <w:noProof/>
          <w:lang w:eastAsia="en-US"/>
        </w:rPr>
        <w:t xml:space="preserve">5.3 </w:t>
      </w:r>
      <w:r>
        <w:rPr>
          <w:rFonts w:eastAsia="Calibri"/>
          <w:b/>
          <w:noProof/>
          <w:lang w:eastAsia="en-US"/>
        </w:rPr>
        <w:tab/>
        <w:t xml:space="preserve">Modification of the establishment plan of </w:t>
      </w:r>
      <w:bookmarkEnd w:id="117"/>
      <w:r>
        <w:rPr>
          <w:rFonts w:eastAsia="Calibri"/>
          <w:b/>
          <w:noProof/>
          <w:lang w:eastAsia="en-US"/>
        </w:rPr>
        <w:t>the European Agency for the operational management of large-scale IT systems in the area of freedom, security and justice</w:t>
      </w:r>
      <w:bookmarkEnd w:id="118"/>
    </w:p>
    <w:p>
      <w:pPr>
        <w:pStyle w:val="Default"/>
        <w:spacing w:before="120" w:after="120"/>
        <w:jc w:val="both"/>
        <w:rPr>
          <w:bCs/>
          <w:noProof/>
        </w:rPr>
      </w:pPr>
      <w:r>
        <w:rPr>
          <w:bCs/>
          <w:noProof/>
        </w:rPr>
        <w:t>The agreement reached between the European Parliament and the Council on the revised founding Regulation of the</w:t>
      </w:r>
      <w:r>
        <w:rPr>
          <w:noProof/>
          <w:color w:val="auto"/>
          <w:szCs w:val="20"/>
          <w:lang w:val="en-US" w:eastAsia="en-US"/>
        </w:rPr>
        <w:t xml:space="preserve"> European Agency for the operational management of large-scale IT systems in the area of freedom, security and justice (eu-LISA)</w:t>
      </w:r>
      <w:r>
        <w:rPr>
          <w:rStyle w:val="FootnoteReference"/>
          <w:noProof/>
          <w:color w:val="auto"/>
          <w:szCs w:val="20"/>
          <w:lang w:val="en-US" w:eastAsia="en-US"/>
        </w:rPr>
        <w:footnoteReference w:id="21"/>
      </w:r>
      <w:r>
        <w:rPr>
          <w:noProof/>
          <w:color w:val="auto"/>
          <w:szCs w:val="20"/>
          <w:lang w:val="en-US" w:eastAsia="en-US"/>
        </w:rPr>
        <w:t xml:space="preserve"> includes the creation of the position of the Deputy Executive Director, to assist and replace the Executive Director. Since the Commission proposal did not include such a position, it is proposed to upgrade an AD5 post in the establishment plan to AD13, to allow the Agency to proceed with the recruitment of the Deputy Executive Director. This has no impact on the EU contribution requested for the Agency. </w:t>
      </w:r>
    </w:p>
    <w:p>
      <w:pPr>
        <w:spacing w:before="120" w:after="120"/>
        <w:jc w:val="both"/>
        <w:rPr>
          <w:bCs/>
          <w:noProof/>
        </w:rPr>
      </w:pPr>
      <w:r>
        <w:rPr>
          <w:rFonts w:eastAsia="Calibri"/>
          <w:noProof/>
        </w:rPr>
        <w:t>The updated establishment plan is set out in the budgetary annex.</w:t>
      </w:r>
    </w:p>
    <w:p>
      <w:pPr>
        <w:keepNext/>
        <w:tabs>
          <w:tab w:val="left" w:pos="850"/>
        </w:tabs>
        <w:spacing w:before="360" w:after="120"/>
        <w:ind w:left="357" w:hanging="357"/>
        <w:jc w:val="both"/>
        <w:outlineLvl w:val="1"/>
        <w:rPr>
          <w:rFonts w:eastAsia="Calibri"/>
          <w:b/>
          <w:noProof/>
          <w:lang w:eastAsia="en-US"/>
        </w:rPr>
      </w:pPr>
      <w:bookmarkStart w:id="119" w:name="_Toc526753796"/>
      <w:bookmarkStart w:id="120" w:name="_Toc527106868"/>
      <w:r>
        <w:rPr>
          <w:rFonts w:eastAsia="Calibri"/>
          <w:b/>
          <w:noProof/>
          <w:lang w:eastAsia="en-US"/>
        </w:rPr>
        <w:t xml:space="preserve">5.4 </w:t>
      </w:r>
      <w:r>
        <w:rPr>
          <w:rFonts w:eastAsia="Calibri"/>
          <w:b/>
          <w:noProof/>
          <w:lang w:eastAsia="en-US"/>
        </w:rPr>
        <w:tab/>
        <w:t xml:space="preserve">Reinforcement of the European External Action </w:t>
      </w:r>
      <w:bookmarkEnd w:id="119"/>
      <w:r>
        <w:rPr>
          <w:rFonts w:eastAsia="Calibri"/>
          <w:b/>
          <w:noProof/>
          <w:lang w:eastAsia="en-US"/>
        </w:rPr>
        <w:t>Service</w:t>
      </w:r>
      <w:bookmarkEnd w:id="120"/>
    </w:p>
    <w:p>
      <w:pPr>
        <w:pStyle w:val="Default"/>
        <w:spacing w:before="120" w:after="120"/>
        <w:jc w:val="both"/>
        <w:rPr>
          <w:bCs/>
          <w:noProof/>
        </w:rPr>
      </w:pPr>
      <w:r>
        <w:rPr>
          <w:bCs/>
          <w:noProof/>
        </w:rPr>
        <w:t>In the draft budget 2019, a number of items were not included in the section of the European External Action Service (EEAS) as the related decision processes were not sufficiently advanced. Four of these items have now progressed to a stage which justifies their inclusion, namely:</w:t>
      </w:r>
    </w:p>
    <w:p>
      <w:pPr>
        <w:numPr>
          <w:ilvl w:val="0"/>
          <w:numId w:val="10"/>
        </w:numPr>
        <w:spacing w:before="120" w:after="120"/>
        <w:jc w:val="both"/>
        <w:rPr>
          <w:noProof/>
        </w:rPr>
      </w:pPr>
      <w:r>
        <w:rPr>
          <w:noProof/>
        </w:rPr>
        <w:t>The opening of delegations in Turkmenistan and Kuwait and establishing a permanent presence in The Hague;</w:t>
      </w:r>
    </w:p>
    <w:p>
      <w:pPr>
        <w:numPr>
          <w:ilvl w:val="0"/>
          <w:numId w:val="10"/>
        </w:numPr>
        <w:spacing w:before="120" w:after="120"/>
        <w:jc w:val="both"/>
        <w:rPr>
          <w:noProof/>
        </w:rPr>
      </w:pPr>
      <w:r>
        <w:rPr>
          <w:noProof/>
        </w:rPr>
        <w:t>Maintaining the Union's presence in Belfast;</w:t>
      </w:r>
    </w:p>
    <w:p>
      <w:pPr>
        <w:numPr>
          <w:ilvl w:val="0"/>
          <w:numId w:val="10"/>
        </w:numPr>
        <w:spacing w:before="120" w:after="120"/>
        <w:jc w:val="both"/>
        <w:rPr>
          <w:noProof/>
        </w:rPr>
      </w:pPr>
      <w:r>
        <w:rPr>
          <w:noProof/>
        </w:rPr>
        <w:t>Military advisors in delegations;</w:t>
      </w:r>
    </w:p>
    <w:p>
      <w:pPr>
        <w:numPr>
          <w:ilvl w:val="0"/>
          <w:numId w:val="10"/>
        </w:numPr>
        <w:spacing w:before="120" w:after="120"/>
        <w:jc w:val="both"/>
        <w:rPr>
          <w:noProof/>
        </w:rPr>
      </w:pPr>
      <w:r>
        <w:rPr>
          <w:noProof/>
        </w:rPr>
        <w:t>Reinforcement of the EU Military Staff (EUMS) Intelligence Directorate.</w:t>
      </w:r>
    </w:p>
    <w:p>
      <w:pPr>
        <w:pStyle w:val="Default"/>
        <w:spacing w:after="120"/>
        <w:jc w:val="both"/>
        <w:rPr>
          <w:bCs/>
          <w:noProof/>
        </w:rPr>
      </w:pPr>
      <w:r>
        <w:rPr>
          <w:bCs/>
          <w:noProof/>
        </w:rPr>
        <w:t>It concerns in all cases new responsibilities that were endorsed either by the Council or received strong political support from Member States and for which no resources are foreseen in the current or future budgets of the EEAS.</w:t>
      </w:r>
    </w:p>
    <w:p>
      <w:pPr>
        <w:spacing w:after="200" w:line="276" w:lineRule="auto"/>
        <w:rPr>
          <w:bCs/>
          <w:i/>
          <w:noProof/>
        </w:rPr>
      </w:pPr>
      <w:r>
        <w:rPr>
          <w:bCs/>
          <w:i/>
          <w:noProof/>
        </w:rPr>
        <w:br w:type="page"/>
      </w:r>
    </w:p>
    <w:p>
      <w:pPr>
        <w:tabs>
          <w:tab w:val="left" w:pos="851"/>
        </w:tabs>
        <w:spacing w:before="240" w:after="120"/>
        <w:ind w:left="851" w:hanging="851"/>
        <w:rPr>
          <w:bCs/>
          <w:i/>
          <w:noProof/>
        </w:rPr>
      </w:pPr>
      <w:r>
        <w:rPr>
          <w:bCs/>
          <w:i/>
          <w:noProof/>
        </w:rPr>
        <w:t>5.4.1</w:t>
      </w:r>
      <w:r>
        <w:rPr>
          <w:bCs/>
          <w:i/>
          <w:noProof/>
        </w:rPr>
        <w:tab/>
        <w:t xml:space="preserve">Opening of delegations in Turkmenistan and Kuwait and establishing a permanent presence in The Hague </w:t>
      </w:r>
    </w:p>
    <w:p>
      <w:pPr>
        <w:pStyle w:val="Default"/>
        <w:spacing w:after="120"/>
        <w:jc w:val="both"/>
        <w:rPr>
          <w:bCs/>
          <w:noProof/>
        </w:rPr>
      </w:pPr>
      <w:r>
        <w:rPr>
          <w:bCs/>
          <w:noProof/>
        </w:rPr>
        <w:t>The EEAS 2018 Annual Review of the delegation network identified the need to open delegations in Kuwait and Turkmenistan and to have a permanent presence in The Hague.</w:t>
      </w:r>
    </w:p>
    <w:p>
      <w:pPr>
        <w:numPr>
          <w:ilvl w:val="0"/>
          <w:numId w:val="10"/>
        </w:numPr>
        <w:spacing w:before="120" w:after="120"/>
        <w:jc w:val="both"/>
        <w:rPr>
          <w:noProof/>
        </w:rPr>
      </w:pPr>
      <w:r>
        <w:rPr>
          <w:noProof/>
        </w:rPr>
        <w:t>Kuwait is a country which is consistently playing a constructive role in the growing regional tensions and which has offered its mediation not only in the Gulf crisis but also in the search for a possible dialogue between the two shores of the Gulf. It has also shown genuine interest in a substantial upgrading of the bilateral relations with the EU. Currently, the EU Delegation to Saudi Arabia is accredited to five Gulf countries including Kuwait. Presence in Kuwait would facilitate better sharing of representation tasks and presence in the region and would also cover Qatar more efficiently.</w:t>
      </w:r>
    </w:p>
    <w:p>
      <w:pPr>
        <w:numPr>
          <w:ilvl w:val="0"/>
          <w:numId w:val="10"/>
        </w:numPr>
        <w:spacing w:before="120" w:after="120"/>
        <w:jc w:val="both"/>
        <w:rPr>
          <w:noProof/>
        </w:rPr>
      </w:pPr>
      <w:r>
        <w:rPr>
          <w:noProof/>
        </w:rPr>
        <w:t>Key players like Russia and China are intensifying their presence in Central Asia. Turkmenistan, which possesses the world's fourth largest gas reserve and has a strategic geographical location with importance also in the field of security, is increasingly looking to the EU as an alternative partner to complete their reform and modernisation process. Turkmenistan remains the only country of Central Asia in which the EU has no fully-fledged Delegation. Opening an EU Delegation in Ashgabat would allow a full engagement in areas of strategic interest, such as energy and security.</w:t>
      </w:r>
    </w:p>
    <w:p>
      <w:pPr>
        <w:numPr>
          <w:ilvl w:val="0"/>
          <w:numId w:val="10"/>
        </w:numPr>
        <w:spacing w:before="120" w:after="120"/>
        <w:jc w:val="both"/>
        <w:rPr>
          <w:noProof/>
        </w:rPr>
      </w:pPr>
      <w:r>
        <w:rPr>
          <w:noProof/>
        </w:rPr>
        <w:t>The Hague is one of the global centres of multilateral diplomacy and its political importance increases from the work that takes place at the organisation for the Prohibition of Chemical Weapons (OPCW). As the EEAS so far has maintained only a temporary presence, it is considered essential to render this presence permanent.</w:t>
      </w:r>
    </w:p>
    <w:p>
      <w:pPr>
        <w:pStyle w:val="Default"/>
        <w:spacing w:after="120"/>
        <w:jc w:val="both"/>
        <w:rPr>
          <w:bCs/>
          <w:noProof/>
        </w:rPr>
      </w:pPr>
      <w:r>
        <w:rPr>
          <w:bCs/>
          <w:noProof/>
        </w:rPr>
        <w:t>The Foreign Affairs Council agreed formally to the opening of these two delegations on 16 July 2018. Following the conclusions of the Annual Review, several Member States have also expressed strong support for enhancing the EEAS presence in The Hague, in a letter to the High Representative of the Union for Foreign Affairs and Security Policy (HRVP) of 28 May.</w:t>
      </w:r>
    </w:p>
    <w:p>
      <w:pPr>
        <w:pStyle w:val="Default"/>
        <w:spacing w:after="120"/>
        <w:jc w:val="both"/>
        <w:rPr>
          <w:bCs/>
          <w:noProof/>
        </w:rPr>
      </w:pPr>
      <w:r>
        <w:rPr>
          <w:bCs/>
          <w:noProof/>
        </w:rPr>
        <w:t>Therefore, the necessary appropriations and staff are proposed to be added to the EEAS' section of the draft budget 2019 in order to enable EEAS to establish the presence (EUR 3,2 million of appropriations and 19 staff, of which 9 establishment plan posts and 10 local staff). As neither Kuwait nor Turkmenistan can be expected to be up and running on 1 January 2019, a financing for 8 months only in 2019 is proposed, plus the necessary one-off opening costs. Given that there is already a temporary presence in The Hague, financing for the permanent presence is proposed for the whole year 2019.</w:t>
      </w:r>
    </w:p>
    <w:p>
      <w:pPr>
        <w:pStyle w:val="Default"/>
        <w:spacing w:after="120"/>
        <w:jc w:val="both"/>
        <w:rPr>
          <w:bCs/>
          <w:noProof/>
        </w:rPr>
      </w:pPr>
      <w:r>
        <w:rPr>
          <w:rFonts w:eastAsia="Calibri"/>
          <w:noProof/>
        </w:rPr>
        <w:t>The updated establishment plan is set out in the budgetary annex.</w:t>
      </w:r>
    </w:p>
    <w:p>
      <w:pPr>
        <w:tabs>
          <w:tab w:val="left" w:pos="851"/>
        </w:tabs>
        <w:spacing w:before="240" w:after="120"/>
        <w:ind w:left="851" w:hanging="851"/>
        <w:rPr>
          <w:bCs/>
          <w:i/>
          <w:noProof/>
        </w:rPr>
      </w:pPr>
      <w:r>
        <w:rPr>
          <w:bCs/>
          <w:i/>
          <w:noProof/>
        </w:rPr>
        <w:t>5.4.2</w:t>
      </w:r>
      <w:r>
        <w:rPr>
          <w:bCs/>
          <w:i/>
          <w:noProof/>
        </w:rPr>
        <w:tab/>
        <w:t>Maintain the Union's point of presence in Belfast</w:t>
      </w:r>
    </w:p>
    <w:p>
      <w:pPr>
        <w:pStyle w:val="Default"/>
        <w:spacing w:after="120"/>
        <w:jc w:val="both"/>
        <w:rPr>
          <w:noProof/>
        </w:rPr>
      </w:pPr>
      <w:r>
        <w:rPr>
          <w:noProof/>
        </w:rPr>
        <w:t>Given the uncertainty regarding the existing three regional representation offices in the UK, only the appropriations and staff necessary to open the delegation in London were included in the draft budget 2019.</w:t>
      </w:r>
    </w:p>
    <w:p>
      <w:pPr>
        <w:pStyle w:val="Default"/>
        <w:spacing w:after="120"/>
        <w:jc w:val="both"/>
        <w:rPr>
          <w:noProof/>
        </w:rPr>
      </w:pPr>
      <w:r>
        <w:rPr>
          <w:noProof/>
        </w:rPr>
        <w:t xml:space="preserve">The Commission and the EEAS have since agreed to maintain the Belfast Office and close the Offices in Edinburgh and Cardiff. The formal request to the Council and the Commission to establish the delegation in London with an EU Office in Belfast is currently being prepared by the EEAS. </w:t>
      </w:r>
    </w:p>
    <w:p>
      <w:pPr>
        <w:pStyle w:val="Default"/>
        <w:spacing w:after="120"/>
        <w:jc w:val="both"/>
        <w:rPr>
          <w:noProof/>
        </w:rPr>
      </w:pPr>
      <w:r>
        <w:rPr>
          <w:noProof/>
        </w:rPr>
        <w:t>Given the political importance and based on an assessment of the most probable resource requirements in 2019, the appropriations (EUR 0,9 million) and staff (5, including 2 establishment plan posts, 1 contract agent and 2 local staff) necessary to maintain this Office are proposed to be added to the EEAS' section of the draft budget 2019.</w:t>
      </w:r>
    </w:p>
    <w:p>
      <w:pPr>
        <w:pStyle w:val="Default"/>
        <w:spacing w:after="120"/>
        <w:jc w:val="both"/>
        <w:rPr>
          <w:bCs/>
          <w:noProof/>
        </w:rPr>
      </w:pPr>
      <w:r>
        <w:rPr>
          <w:rFonts w:eastAsia="Calibri"/>
          <w:noProof/>
        </w:rPr>
        <w:t>The updated establishment plan is set out in the budgetary annex.</w:t>
      </w:r>
    </w:p>
    <w:p>
      <w:pPr>
        <w:spacing w:after="200" w:line="276" w:lineRule="auto"/>
        <w:rPr>
          <w:bCs/>
          <w:i/>
          <w:noProof/>
        </w:rPr>
      </w:pPr>
      <w:r>
        <w:rPr>
          <w:bCs/>
          <w:i/>
          <w:noProof/>
        </w:rPr>
        <w:t>5.4.3</w:t>
      </w:r>
      <w:r>
        <w:rPr>
          <w:bCs/>
          <w:i/>
          <w:noProof/>
        </w:rPr>
        <w:tab/>
        <w:t>Military advisors in delegations</w:t>
      </w:r>
    </w:p>
    <w:p>
      <w:pPr>
        <w:pStyle w:val="Default"/>
        <w:spacing w:after="120"/>
        <w:jc w:val="both"/>
        <w:rPr>
          <w:noProof/>
        </w:rPr>
      </w:pPr>
      <w:r>
        <w:rPr>
          <w:noProof/>
        </w:rPr>
        <w:t>A Concept Paper on Military Advisors in EU Delegations was presented to Political and Security Committee (PSC) on 13 March 2018 and to the EU Military Committee (EUMC)</w:t>
      </w:r>
      <w:r>
        <w:rPr>
          <w:rStyle w:val="FootnoteReference"/>
          <w:noProof/>
        </w:rPr>
        <w:footnoteReference w:id="22"/>
      </w:r>
      <w:r>
        <w:rPr>
          <w:noProof/>
        </w:rPr>
        <w:t xml:space="preserve"> on 14 March 2018. Based on the strong support and input provided by the two bodies, a revised Concept Paper was approved by the HRVP and endorsed by the PSC in the first half of October.</w:t>
      </w:r>
    </w:p>
    <w:p>
      <w:pPr>
        <w:pStyle w:val="Default"/>
        <w:spacing w:after="120"/>
        <w:jc w:val="both"/>
        <w:rPr>
          <w:noProof/>
        </w:rPr>
      </w:pPr>
      <w:r>
        <w:rPr>
          <w:noProof/>
        </w:rPr>
        <w:t>The Concept Paper notably proposes to post 5 military advisors (seconded national experts) per year in priority Delegations, up to a total of 10 during the first two years and likely more in the following years. This initiative requires an increase to the EEAS administrative budget as from 2019.</w:t>
      </w:r>
    </w:p>
    <w:p>
      <w:pPr>
        <w:pStyle w:val="Default"/>
        <w:spacing w:after="120"/>
        <w:jc w:val="both"/>
        <w:rPr>
          <w:noProof/>
        </w:rPr>
      </w:pPr>
      <w:r>
        <w:rPr>
          <w:noProof/>
        </w:rPr>
        <w:t>It is therefore proposed that the EEAS' section of the draft budget 2019 be increased with the necessary appropriations (EUR 0,8 million) to recruit up to seven experts in the first phase, thereby accelerating the implementation.</w:t>
      </w:r>
    </w:p>
    <w:p>
      <w:pPr>
        <w:pStyle w:val="Default"/>
        <w:spacing w:after="120"/>
        <w:jc w:val="both"/>
        <w:rPr>
          <w:noProof/>
        </w:rPr>
      </w:pPr>
      <w:r>
        <w:rPr>
          <w:noProof/>
        </w:rPr>
        <w:t>Due to the nature of the required expertise, some postings will be in EU Delegations where the security cost is high and non-standard.</w:t>
      </w:r>
    </w:p>
    <w:p>
      <w:pPr>
        <w:tabs>
          <w:tab w:val="left" w:pos="851"/>
        </w:tabs>
        <w:spacing w:before="240" w:after="120"/>
        <w:ind w:left="851" w:hanging="851"/>
        <w:rPr>
          <w:bCs/>
          <w:i/>
          <w:noProof/>
        </w:rPr>
      </w:pPr>
      <w:r>
        <w:rPr>
          <w:bCs/>
          <w:i/>
          <w:noProof/>
        </w:rPr>
        <w:t>5.4.4</w:t>
      </w:r>
      <w:r>
        <w:rPr>
          <w:bCs/>
          <w:i/>
          <w:noProof/>
        </w:rPr>
        <w:tab/>
        <w:t>Reinforcement of the EUMS Intelligence Directorate</w:t>
      </w:r>
    </w:p>
    <w:p>
      <w:pPr>
        <w:pStyle w:val="Default"/>
        <w:spacing w:after="120"/>
        <w:jc w:val="both"/>
        <w:rPr>
          <w:bCs/>
          <w:noProof/>
        </w:rPr>
      </w:pPr>
      <w:r>
        <w:rPr>
          <w:bCs/>
          <w:noProof/>
        </w:rPr>
        <w:t>The EU Military Staff (EUMS) Intelligence Directorate provides intelligence support for the EU, notably though Situation Assessments, Special Reports and Risk Assessments. It thus contributes to policy development, early warning, advance and crisis response planning and to planning and conduct of Common Security and Defence Policy (CSDP) missions/operations and exercises. Demand for its input is high and increasing and its available resources are insufficient compared to needs.</w:t>
      </w:r>
    </w:p>
    <w:p>
      <w:pPr>
        <w:pStyle w:val="Default"/>
        <w:spacing w:after="120"/>
        <w:jc w:val="both"/>
        <w:rPr>
          <w:bCs/>
          <w:noProof/>
        </w:rPr>
      </w:pPr>
      <w:r>
        <w:rPr>
          <w:bCs/>
          <w:noProof/>
        </w:rPr>
        <w:t xml:space="preserve">The number of customers has doubled since 2009. Apart from the EUMS leadership, the clients range from HR and EEAS services, the European Parliament and the European Commission, including its President, and Council bodies, notably the PSC and the EUMC. Furthermore, each customer, both existing and new, increasingly requests more and more tailored and labour-intensive products. In addition, the ongoing transformation of the entire information landscape (e.g. effects of social media) has sped up the information flow and therefore results in demands with even shorter deadlines from nearly all customers, putting more strain on available resources. </w:t>
      </w:r>
    </w:p>
    <w:p>
      <w:pPr>
        <w:pStyle w:val="Default"/>
        <w:spacing w:after="120"/>
        <w:jc w:val="both"/>
        <w:rPr>
          <w:bCs/>
          <w:noProof/>
        </w:rPr>
      </w:pPr>
      <w:r>
        <w:rPr>
          <w:bCs/>
          <w:noProof/>
        </w:rPr>
        <w:t>The analysis or the resource requirements, carried out at the request of the Council, identified the need for an additional 5 co-financed national expert posts to be created; the results of the analysis were presented to the EUMC and PSC on 26 September 2017 and 9 January 2018 respectively. On 2 March, the EUMC provided its Military Advice recommending the establishment of the 5 posts (co-financed national experts) with effect from January 1</w:t>
      </w:r>
      <w:r>
        <w:rPr>
          <w:bCs/>
          <w:noProof/>
          <w:vertAlign w:val="superscript"/>
        </w:rPr>
        <w:t>st</w:t>
      </w:r>
      <w:r>
        <w:rPr>
          <w:bCs/>
          <w:noProof/>
        </w:rPr>
        <w:t xml:space="preserve"> 2019. </w:t>
      </w:r>
    </w:p>
    <w:p>
      <w:pPr>
        <w:pStyle w:val="Default"/>
        <w:spacing w:after="120"/>
        <w:jc w:val="both"/>
        <w:rPr>
          <w:noProof/>
        </w:rPr>
      </w:pPr>
      <w:r>
        <w:rPr>
          <w:bCs/>
          <w:noProof/>
        </w:rPr>
        <w:t xml:space="preserve">Given the endorsement received from the PSC, </w:t>
      </w:r>
      <w:r>
        <w:rPr>
          <w:noProof/>
        </w:rPr>
        <w:t>it is proposed that the necessary appropriations be added to the EEAS' section of the draft budget 2019 (EUR 0,3 million).</w:t>
      </w:r>
    </w:p>
    <w:p>
      <w:pPr>
        <w:tabs>
          <w:tab w:val="left" w:pos="851"/>
        </w:tabs>
        <w:spacing w:before="240" w:after="120"/>
        <w:ind w:left="851" w:hanging="851"/>
        <w:rPr>
          <w:bCs/>
          <w:i/>
          <w:noProof/>
        </w:rPr>
      </w:pPr>
      <w:r>
        <w:rPr>
          <w:bCs/>
          <w:i/>
          <w:noProof/>
        </w:rPr>
        <w:t>5.4.5</w:t>
      </w:r>
      <w:r>
        <w:rPr>
          <w:bCs/>
          <w:i/>
          <w:noProof/>
        </w:rPr>
        <w:tab/>
        <w:t>Combined effect on the EEAS ' section of the draft budget 2019</w:t>
      </w:r>
    </w:p>
    <w:tbl>
      <w:tblPr>
        <w:tblW w:w="10000" w:type="dxa"/>
        <w:jc w:val="center"/>
        <w:tblLayout w:type="fixed"/>
        <w:tblCellMar>
          <w:left w:w="40" w:type="dxa"/>
          <w:right w:w="40" w:type="dxa"/>
        </w:tblCellMar>
        <w:tblLook w:val="0000" w:firstRow="0" w:lastRow="0" w:firstColumn="0" w:lastColumn="0" w:noHBand="0" w:noVBand="0"/>
      </w:tblPr>
      <w:tblGrid>
        <w:gridCol w:w="9"/>
        <w:gridCol w:w="1191"/>
        <w:gridCol w:w="5503"/>
        <w:gridCol w:w="1617"/>
        <w:gridCol w:w="1672"/>
        <w:gridCol w:w="8"/>
      </w:tblGrid>
      <w:tr>
        <w:trPr>
          <w:gridBefore w:val="1"/>
          <w:gridAfter w:val="1"/>
          <w:wBefore w:w="9" w:type="dxa"/>
          <w:wAfter w:w="8" w:type="dxa"/>
          <w:trHeight w:val="164"/>
          <w:tblHeader/>
          <w:jc w:val="center"/>
        </w:trPr>
        <w:tc>
          <w:tcPr>
            <w:tcW w:w="9983" w:type="dxa"/>
            <w:gridSpan w:val="4"/>
            <w:shd w:val="clear" w:color="auto" w:fill="FFFFFF"/>
            <w:vAlign w:val="center"/>
          </w:tcPr>
          <w:p>
            <w:pPr>
              <w:jc w:val="right"/>
              <w:rPr>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blHeader/>
        </w:trPr>
        <w:tc>
          <w:tcPr>
            <w:tcW w:w="120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Budget line</w:t>
            </w:r>
          </w:p>
        </w:tc>
        <w:tc>
          <w:tcPr>
            <w:tcW w:w="5503"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Name</w:t>
            </w:r>
          </w:p>
        </w:tc>
        <w:tc>
          <w:tcPr>
            <w:tcW w:w="1617"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Commitment appropriations</w:t>
            </w:r>
          </w:p>
        </w:tc>
        <w:tc>
          <w:tcPr>
            <w:tcW w:w="168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00" w:type="dxa"/>
            <w:gridSpan w:val="6"/>
            <w:shd w:val="clear" w:color="auto" w:fill="F2F2F2" w:themeFill="background1" w:themeFillShade="F2"/>
          </w:tcPr>
          <w:p>
            <w:pPr>
              <w:widowControl w:val="0"/>
              <w:spacing w:before="15" w:after="15" w:line="276" w:lineRule="auto"/>
              <w:rPr>
                <w:i/>
                <w:noProof/>
                <w:sz w:val="20"/>
                <w:szCs w:val="20"/>
                <w:lang w:val="fr-BE" w:eastAsia="en-US"/>
              </w:rPr>
            </w:pPr>
            <w:r>
              <w:rPr>
                <w:i/>
                <w:noProof/>
                <w:sz w:val="20"/>
                <w:szCs w:val="20"/>
                <w:lang w:val="fr-BE" w:eastAsia="en-US"/>
              </w:rPr>
              <w:t>Section X – European External Action Service</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1 2 0 5</w:t>
            </w:r>
          </w:p>
        </w:tc>
        <w:tc>
          <w:tcPr>
            <w:tcW w:w="5503" w:type="dxa"/>
          </w:tcPr>
          <w:p>
            <w:pPr>
              <w:rPr>
                <w:noProof/>
                <w:sz w:val="20"/>
                <w:szCs w:val="20"/>
                <w:lang w:eastAsia="en-US"/>
              </w:rPr>
            </w:pPr>
            <w:r>
              <w:rPr>
                <w:noProof/>
                <w:sz w:val="20"/>
                <w:szCs w:val="20"/>
                <w:lang w:eastAsia="en-US"/>
              </w:rPr>
              <w:t>Military seconded national experts</w:t>
            </w:r>
          </w:p>
        </w:tc>
        <w:tc>
          <w:tcPr>
            <w:tcW w:w="1617" w:type="dxa"/>
            <w:vAlign w:val="center"/>
          </w:tcPr>
          <w:p>
            <w:pPr>
              <w:widowControl w:val="0"/>
              <w:spacing w:before="15" w:after="15" w:line="276" w:lineRule="auto"/>
              <w:jc w:val="right"/>
              <w:rPr>
                <w:noProof/>
                <w:sz w:val="20"/>
                <w:szCs w:val="20"/>
                <w:lang w:eastAsia="en-US"/>
              </w:rPr>
            </w:pPr>
            <w:r>
              <w:rPr>
                <w:noProof/>
                <w:sz w:val="20"/>
                <w:szCs w:val="20"/>
                <w:lang w:eastAsia="en-US"/>
              </w:rPr>
              <w:t>280 000</w:t>
            </w:r>
          </w:p>
        </w:tc>
        <w:tc>
          <w:tcPr>
            <w:tcW w:w="1680" w:type="dxa"/>
            <w:gridSpan w:val="2"/>
            <w:vAlign w:val="center"/>
          </w:tcPr>
          <w:p>
            <w:pPr>
              <w:widowControl w:val="0"/>
              <w:spacing w:before="15" w:after="15" w:line="276" w:lineRule="auto"/>
              <w:jc w:val="right"/>
              <w:rPr>
                <w:noProof/>
                <w:sz w:val="20"/>
                <w:szCs w:val="20"/>
                <w:lang w:eastAsia="en-US"/>
              </w:rPr>
            </w:pPr>
            <w:r>
              <w:rPr>
                <w:noProof/>
                <w:sz w:val="20"/>
                <w:szCs w:val="20"/>
                <w:lang w:eastAsia="en-US"/>
              </w:rPr>
              <w:t>280 000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 xml:space="preserve">3 0 0 0 </w:t>
            </w:r>
          </w:p>
        </w:tc>
        <w:tc>
          <w:tcPr>
            <w:tcW w:w="5503" w:type="dxa"/>
          </w:tcPr>
          <w:p>
            <w:pPr>
              <w:rPr>
                <w:noProof/>
                <w:sz w:val="20"/>
                <w:szCs w:val="20"/>
                <w:lang w:eastAsia="en-US"/>
              </w:rPr>
            </w:pPr>
            <w:r>
              <w:rPr>
                <w:noProof/>
                <w:sz w:val="20"/>
                <w:szCs w:val="20"/>
                <w:lang w:eastAsia="en-US"/>
              </w:rPr>
              <w:t>Remuneration and entitlements of statutory staff</w:t>
            </w:r>
          </w:p>
        </w:tc>
        <w:tc>
          <w:tcPr>
            <w:tcW w:w="1617" w:type="dxa"/>
            <w:vAlign w:val="center"/>
          </w:tcPr>
          <w:p>
            <w:pPr>
              <w:widowControl w:val="0"/>
              <w:spacing w:before="15" w:after="15" w:line="276" w:lineRule="auto"/>
              <w:jc w:val="right"/>
              <w:rPr>
                <w:noProof/>
                <w:sz w:val="20"/>
                <w:szCs w:val="20"/>
                <w:lang w:eastAsia="en-US"/>
              </w:rPr>
            </w:pPr>
            <w:r>
              <w:rPr>
                <w:noProof/>
                <w:sz w:val="20"/>
                <w:szCs w:val="20"/>
                <w:lang w:eastAsia="en-US"/>
              </w:rPr>
              <w:t xml:space="preserve">1 208 000 </w:t>
            </w:r>
          </w:p>
        </w:tc>
        <w:tc>
          <w:tcPr>
            <w:tcW w:w="1680" w:type="dxa"/>
            <w:gridSpan w:val="2"/>
            <w:vAlign w:val="center"/>
          </w:tcPr>
          <w:p>
            <w:pPr>
              <w:widowControl w:val="0"/>
              <w:spacing w:before="15" w:after="15" w:line="276" w:lineRule="auto"/>
              <w:jc w:val="right"/>
              <w:rPr>
                <w:noProof/>
                <w:sz w:val="20"/>
                <w:szCs w:val="20"/>
                <w:lang w:eastAsia="en-US"/>
              </w:rPr>
            </w:pPr>
            <w:r>
              <w:rPr>
                <w:noProof/>
                <w:sz w:val="20"/>
                <w:szCs w:val="20"/>
                <w:lang w:eastAsia="en-US"/>
              </w:rPr>
              <w:t xml:space="preserve">1 208 000 </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3 0 0 1</w:t>
            </w:r>
          </w:p>
        </w:tc>
        <w:tc>
          <w:tcPr>
            <w:tcW w:w="5503" w:type="dxa"/>
          </w:tcPr>
          <w:p>
            <w:pPr>
              <w:rPr>
                <w:noProof/>
                <w:sz w:val="20"/>
                <w:szCs w:val="20"/>
                <w:lang w:eastAsia="en-US"/>
              </w:rPr>
            </w:pPr>
            <w:r>
              <w:rPr>
                <w:noProof/>
                <w:sz w:val="20"/>
                <w:szCs w:val="20"/>
                <w:lang w:eastAsia="en-US"/>
              </w:rPr>
              <w:t>External staff and outside services</w:t>
            </w:r>
          </w:p>
        </w:tc>
        <w:tc>
          <w:tcPr>
            <w:tcW w:w="1617" w:type="dxa"/>
            <w:vAlign w:val="center"/>
          </w:tcPr>
          <w:p>
            <w:pPr>
              <w:widowControl w:val="0"/>
              <w:spacing w:before="15" w:after="15" w:line="276" w:lineRule="auto"/>
              <w:jc w:val="right"/>
              <w:rPr>
                <w:noProof/>
                <w:sz w:val="20"/>
                <w:szCs w:val="20"/>
                <w:lang w:eastAsia="en-US"/>
              </w:rPr>
            </w:pPr>
            <w:r>
              <w:rPr>
                <w:noProof/>
                <w:sz w:val="20"/>
                <w:szCs w:val="20"/>
                <w:lang w:eastAsia="en-US"/>
              </w:rPr>
              <w:t xml:space="preserve">437 000 </w:t>
            </w:r>
          </w:p>
        </w:tc>
        <w:tc>
          <w:tcPr>
            <w:tcW w:w="1680" w:type="dxa"/>
            <w:gridSpan w:val="2"/>
            <w:vAlign w:val="center"/>
          </w:tcPr>
          <w:p>
            <w:pPr>
              <w:widowControl w:val="0"/>
              <w:spacing w:before="15" w:after="15" w:line="276" w:lineRule="auto"/>
              <w:jc w:val="right"/>
              <w:rPr>
                <w:noProof/>
                <w:sz w:val="20"/>
                <w:szCs w:val="20"/>
                <w:lang w:eastAsia="en-US"/>
              </w:rPr>
            </w:pPr>
            <w:r>
              <w:rPr>
                <w:noProof/>
                <w:sz w:val="20"/>
                <w:szCs w:val="20"/>
                <w:lang w:eastAsia="en-US"/>
              </w:rPr>
              <w:t xml:space="preserve">437 000 </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3 0 0 2</w:t>
            </w:r>
          </w:p>
        </w:tc>
        <w:tc>
          <w:tcPr>
            <w:tcW w:w="5503" w:type="dxa"/>
          </w:tcPr>
          <w:p>
            <w:pPr>
              <w:rPr>
                <w:noProof/>
                <w:sz w:val="20"/>
                <w:szCs w:val="20"/>
                <w:lang w:eastAsia="en-US"/>
              </w:rPr>
            </w:pPr>
            <w:r>
              <w:rPr>
                <w:noProof/>
                <w:sz w:val="20"/>
                <w:szCs w:val="20"/>
                <w:lang w:eastAsia="en-US"/>
              </w:rPr>
              <w:t>Other expenditure related to staff</w:t>
            </w:r>
          </w:p>
        </w:tc>
        <w:tc>
          <w:tcPr>
            <w:tcW w:w="1617" w:type="dxa"/>
          </w:tcPr>
          <w:p>
            <w:pPr>
              <w:widowControl w:val="0"/>
              <w:spacing w:before="15" w:after="15" w:line="276" w:lineRule="auto"/>
              <w:jc w:val="right"/>
              <w:rPr>
                <w:noProof/>
                <w:sz w:val="20"/>
                <w:szCs w:val="20"/>
                <w:lang w:eastAsia="en-US"/>
              </w:rPr>
            </w:pPr>
            <w:r>
              <w:rPr>
                <w:noProof/>
                <w:sz w:val="20"/>
                <w:szCs w:val="20"/>
                <w:lang w:eastAsia="en-US"/>
              </w:rPr>
              <w:t>954 000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954 000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3 0 0 3</w:t>
            </w:r>
          </w:p>
        </w:tc>
        <w:tc>
          <w:tcPr>
            <w:tcW w:w="5503" w:type="dxa"/>
          </w:tcPr>
          <w:p>
            <w:pPr>
              <w:rPr>
                <w:noProof/>
                <w:sz w:val="20"/>
                <w:szCs w:val="20"/>
                <w:lang w:eastAsia="en-US"/>
              </w:rPr>
            </w:pPr>
            <w:r>
              <w:rPr>
                <w:noProof/>
                <w:sz w:val="20"/>
                <w:szCs w:val="20"/>
                <w:lang w:eastAsia="en-US"/>
              </w:rPr>
              <w:t>Buildings and associated costs</w:t>
            </w:r>
          </w:p>
        </w:tc>
        <w:tc>
          <w:tcPr>
            <w:tcW w:w="1617" w:type="dxa"/>
          </w:tcPr>
          <w:p>
            <w:pPr>
              <w:widowControl w:val="0"/>
              <w:spacing w:before="15" w:after="15" w:line="276" w:lineRule="auto"/>
              <w:jc w:val="right"/>
              <w:rPr>
                <w:noProof/>
                <w:sz w:val="20"/>
                <w:szCs w:val="20"/>
                <w:lang w:eastAsia="en-US"/>
              </w:rPr>
            </w:pPr>
            <w:r>
              <w:rPr>
                <w:noProof/>
                <w:sz w:val="20"/>
                <w:szCs w:val="20"/>
                <w:lang w:eastAsia="en-US"/>
              </w:rPr>
              <w:t>1 351 000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1 351 000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3 0 0 4</w:t>
            </w:r>
          </w:p>
        </w:tc>
        <w:tc>
          <w:tcPr>
            <w:tcW w:w="5503" w:type="dxa"/>
          </w:tcPr>
          <w:p>
            <w:pPr>
              <w:rPr>
                <w:noProof/>
                <w:sz w:val="20"/>
                <w:szCs w:val="20"/>
                <w:lang w:eastAsia="en-US"/>
              </w:rPr>
            </w:pPr>
            <w:r>
              <w:rPr>
                <w:noProof/>
                <w:sz w:val="20"/>
                <w:szCs w:val="20"/>
                <w:lang w:eastAsia="en-US"/>
              </w:rPr>
              <w:t>Other administrative expenditure</w:t>
            </w:r>
          </w:p>
        </w:tc>
        <w:tc>
          <w:tcPr>
            <w:tcW w:w="1617" w:type="dxa"/>
          </w:tcPr>
          <w:p>
            <w:pPr>
              <w:widowControl w:val="0"/>
              <w:spacing w:before="15" w:after="15" w:line="276" w:lineRule="auto"/>
              <w:jc w:val="right"/>
              <w:rPr>
                <w:noProof/>
                <w:sz w:val="20"/>
                <w:szCs w:val="20"/>
                <w:lang w:eastAsia="en-US"/>
              </w:rPr>
            </w:pPr>
            <w:r>
              <w:rPr>
                <w:noProof/>
                <w:sz w:val="20"/>
                <w:szCs w:val="20"/>
                <w:lang w:eastAsia="en-US"/>
              </w:rPr>
              <w:t>934 000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934 000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617" w:type="dxa"/>
            <w:shd w:val="clear" w:color="auto" w:fill="D9D9D9"/>
          </w:tcPr>
          <w:p>
            <w:pPr>
              <w:widowControl w:val="0"/>
              <w:spacing w:before="15" w:after="15"/>
              <w:jc w:val="right"/>
              <w:rPr>
                <w:b/>
                <w:noProof/>
                <w:sz w:val="20"/>
                <w:szCs w:val="20"/>
              </w:rPr>
            </w:pPr>
            <w:r>
              <w:rPr>
                <w:b/>
                <w:noProof/>
                <w:sz w:val="20"/>
                <w:szCs w:val="20"/>
              </w:rPr>
              <w:t>5 164 000</w:t>
            </w:r>
          </w:p>
        </w:tc>
        <w:tc>
          <w:tcPr>
            <w:tcW w:w="1680" w:type="dxa"/>
            <w:gridSpan w:val="2"/>
            <w:shd w:val="clear" w:color="auto" w:fill="D9D9D9"/>
          </w:tcPr>
          <w:p>
            <w:pPr>
              <w:widowControl w:val="0"/>
              <w:spacing w:before="15" w:after="15"/>
              <w:jc w:val="right"/>
              <w:rPr>
                <w:b/>
                <w:noProof/>
                <w:sz w:val="20"/>
                <w:szCs w:val="20"/>
              </w:rPr>
            </w:pPr>
            <w:r>
              <w:rPr>
                <w:b/>
                <w:noProof/>
                <w:sz w:val="20"/>
                <w:szCs w:val="20"/>
              </w:rPr>
              <w:t>5 164 000</w:t>
            </w:r>
          </w:p>
        </w:tc>
      </w:tr>
    </w:tbl>
    <w:p>
      <w:pPr>
        <w:rPr>
          <w:rFonts w:eastAsia="Calibri"/>
          <w:b/>
          <w:noProof/>
          <w:lang w:eastAsia="en-US"/>
        </w:rPr>
      </w:pPr>
    </w:p>
    <w:p>
      <w:pPr>
        <w:rPr>
          <w:rFonts w:eastAsia="Calibri"/>
          <w:b/>
          <w:noProof/>
          <w:lang w:eastAsia="en-US"/>
        </w:rPr>
      </w:pPr>
      <w:r>
        <w:rPr>
          <w:rFonts w:eastAsia="Calibri"/>
          <w:b/>
          <w:noProof/>
          <w:lang w:eastAsia="en-US"/>
        </w:rPr>
        <w:t xml:space="preserve">5.5 </w:t>
      </w:r>
      <w:r>
        <w:rPr>
          <w:rFonts w:eastAsia="Calibri"/>
          <w:b/>
          <w:noProof/>
          <w:lang w:eastAsia="en-US"/>
        </w:rPr>
        <w:tab/>
        <w:t>Update of the Sustainable Fisheries Partnership Agreements</w:t>
      </w:r>
    </w:p>
    <w:p>
      <w:pPr>
        <w:spacing w:before="120" w:after="120"/>
        <w:jc w:val="both"/>
        <w:rPr>
          <w:noProof/>
        </w:rPr>
      </w:pPr>
      <w:r>
        <w:rPr>
          <w:noProof/>
        </w:rPr>
        <w:t>As foreseen in point C of Part II of the Interinstitutional Agreement (IIA)</w:t>
      </w:r>
      <w:r>
        <w:rPr>
          <w:noProof/>
          <w:vertAlign w:val="superscript"/>
        </w:rPr>
        <w:footnoteReference w:id="23"/>
      </w:r>
      <w:r>
        <w:rPr>
          <w:noProof/>
        </w:rPr>
        <w:t>, the Commission has examined the most recent information available concerning Sustainable Fisheries Partnership Agreements (SFPAs) and reviewed the expected needs for 2019 on the basis of the developments in the negotiation processes with the third countries involved. On the basis of this review, the Commission proposes to increase commitment and payment appropriations for an amount of EUR 7,0 million, split on operational line (11 03 01) and reserve (40 02 41) as outlined in the table below.</w:t>
      </w:r>
    </w:p>
    <w:p>
      <w:pPr>
        <w:spacing w:before="120" w:after="120"/>
        <w:jc w:val="both"/>
        <w:rPr>
          <w:noProof/>
        </w:rPr>
      </w:pPr>
      <w:r>
        <w:rPr>
          <w:noProof/>
        </w:rPr>
        <w:t>The requested amount will be used to reinforce the financial contribution for the new agreement with Morocco as the negotiations are now completed. It is expected that the agreement and its related protocol will enter into force in the first half of 2019</w:t>
      </w:r>
      <w:r>
        <w:rPr>
          <w:rStyle w:val="FootnoteReference"/>
          <w:noProof/>
        </w:rPr>
        <w:footnoteReference w:id="24"/>
      </w:r>
      <w:r>
        <w:rPr>
          <w:noProof/>
        </w:rPr>
        <w:t xml:space="preserve"> and an additional amount is proposed to be added on the reserve line. Furthermore, as the agreement with the Republic of Côte d'Ivoire entered into provisional application on 1 August  2018</w:t>
      </w:r>
      <w:r>
        <w:rPr>
          <w:rStyle w:val="FootnoteReference"/>
          <w:noProof/>
        </w:rPr>
        <w:footnoteReference w:id="25"/>
      </w:r>
      <w:r>
        <w:rPr>
          <w:noProof/>
        </w:rPr>
        <w:t>, the Commission proposes to move the related commitment appropriations of EUR 0,7 million from the reserve (40 02 41) to the operational line (11 03 01)</w:t>
      </w:r>
      <w:r>
        <w:rPr>
          <w:i/>
          <w:noProof/>
        </w:rPr>
        <w:t>.</w:t>
      </w:r>
    </w:p>
    <w:p>
      <w:pPr>
        <w:spacing w:before="120" w:after="120"/>
        <w:jc w:val="both"/>
        <w:rPr>
          <w:noProof/>
          <w:highlight w:val="yellow"/>
        </w:rPr>
      </w:pPr>
      <w:r>
        <w:rPr>
          <w:rFonts w:eastAsia="Calibri"/>
          <w:noProof/>
        </w:rPr>
        <w:t>The details by budget line are presented in the table below:</w:t>
      </w:r>
    </w:p>
    <w:tbl>
      <w:tblPr>
        <w:tblW w:w="10000" w:type="dxa"/>
        <w:jc w:val="center"/>
        <w:tblLayout w:type="fixed"/>
        <w:tblCellMar>
          <w:left w:w="40" w:type="dxa"/>
          <w:right w:w="40" w:type="dxa"/>
        </w:tblCellMar>
        <w:tblLook w:val="0000" w:firstRow="0" w:lastRow="0" w:firstColumn="0" w:lastColumn="0" w:noHBand="0" w:noVBand="0"/>
      </w:tblPr>
      <w:tblGrid>
        <w:gridCol w:w="9"/>
        <w:gridCol w:w="1191"/>
        <w:gridCol w:w="5503"/>
        <w:gridCol w:w="1617"/>
        <w:gridCol w:w="1672"/>
        <w:gridCol w:w="8"/>
      </w:tblGrid>
      <w:tr>
        <w:trPr>
          <w:gridBefore w:val="1"/>
          <w:gridAfter w:val="1"/>
          <w:wBefore w:w="9" w:type="dxa"/>
          <w:wAfter w:w="8" w:type="dxa"/>
          <w:trHeight w:val="164"/>
          <w:tblHeader/>
          <w:jc w:val="center"/>
        </w:trPr>
        <w:tc>
          <w:tcPr>
            <w:tcW w:w="9983" w:type="dxa"/>
            <w:gridSpan w:val="4"/>
            <w:shd w:val="clear" w:color="auto" w:fill="FFFFFF"/>
            <w:vAlign w:val="center"/>
          </w:tcPr>
          <w:p>
            <w:pPr>
              <w:jc w:val="right"/>
              <w:rPr>
                <w:noProof/>
                <w:sz w:val="16"/>
                <w:szCs w:val="16"/>
                <w:lang w:eastAsia="en-US"/>
              </w:rPr>
            </w:pPr>
            <w:r>
              <w:rPr>
                <w:i/>
                <w:iCs/>
                <w:noProof/>
                <w:sz w:val="16"/>
                <w:szCs w:val="16"/>
                <w:lang w:eastAsia="en-US"/>
              </w:rPr>
              <w:t>(in EUR)</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Budget line</w:t>
            </w:r>
          </w:p>
        </w:tc>
        <w:tc>
          <w:tcPr>
            <w:tcW w:w="5503"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Name</w:t>
            </w:r>
          </w:p>
        </w:tc>
        <w:tc>
          <w:tcPr>
            <w:tcW w:w="1617" w:type="dxa"/>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Commitment appropriations</w:t>
            </w:r>
          </w:p>
        </w:tc>
        <w:tc>
          <w:tcPr>
            <w:tcW w:w="1680" w:type="dxa"/>
            <w:gridSpan w:val="2"/>
            <w:shd w:val="clear" w:color="auto" w:fill="D9D9D9"/>
            <w:vAlign w:val="center"/>
          </w:tcPr>
          <w:p>
            <w:pPr>
              <w:widowControl w:val="0"/>
              <w:spacing w:before="15" w:after="15" w:line="276" w:lineRule="auto"/>
              <w:jc w:val="center"/>
              <w:rPr>
                <w:b/>
                <w:noProof/>
                <w:sz w:val="20"/>
                <w:szCs w:val="20"/>
                <w:lang w:eastAsia="en-US"/>
              </w:rPr>
            </w:pPr>
            <w:r>
              <w:rPr>
                <w:b/>
                <w:noProof/>
                <w:sz w:val="20"/>
                <w:szCs w:val="20"/>
                <w:lang w:eastAsia="en-US"/>
              </w:rPr>
              <w:t>Payment appropriations</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000" w:type="dxa"/>
            <w:gridSpan w:val="6"/>
            <w:shd w:val="clear" w:color="auto" w:fill="F2F2F2" w:themeFill="background1" w:themeFillShade="F2"/>
          </w:tcPr>
          <w:p>
            <w:pPr>
              <w:widowControl w:val="0"/>
              <w:spacing w:before="15" w:after="15" w:line="276" w:lineRule="auto"/>
              <w:rPr>
                <w:i/>
                <w:noProof/>
                <w:sz w:val="20"/>
                <w:szCs w:val="20"/>
                <w:lang w:eastAsia="en-US"/>
              </w:rPr>
            </w:pPr>
            <w:r>
              <w:rPr>
                <w:i/>
                <w:noProof/>
                <w:sz w:val="20"/>
                <w:szCs w:val="20"/>
                <w:lang w:eastAsia="en-US"/>
              </w:rPr>
              <w:t>Section III – European Commission</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11 03 01</w:t>
            </w:r>
          </w:p>
        </w:tc>
        <w:tc>
          <w:tcPr>
            <w:tcW w:w="5503" w:type="dxa"/>
          </w:tcPr>
          <w:p>
            <w:pPr>
              <w:rPr>
                <w:noProof/>
                <w:sz w:val="20"/>
                <w:szCs w:val="20"/>
                <w:lang w:eastAsia="en-US"/>
              </w:rPr>
            </w:pPr>
            <w:r>
              <w:rPr>
                <w:noProof/>
                <w:sz w:val="20"/>
                <w:szCs w:val="20"/>
                <w:lang w:eastAsia="en-US"/>
              </w:rPr>
              <w:t>Establishing a governance framework for fishing activities carried out by Union fishing vessels in third country waters</w:t>
            </w:r>
          </w:p>
        </w:tc>
        <w:tc>
          <w:tcPr>
            <w:tcW w:w="1617" w:type="dxa"/>
          </w:tcPr>
          <w:p>
            <w:pPr>
              <w:widowControl w:val="0"/>
              <w:spacing w:before="15" w:after="15" w:line="276" w:lineRule="auto"/>
              <w:jc w:val="right"/>
              <w:rPr>
                <w:noProof/>
                <w:sz w:val="20"/>
                <w:szCs w:val="20"/>
                <w:lang w:eastAsia="en-US"/>
              </w:rPr>
            </w:pPr>
            <w:r>
              <w:rPr>
                <w:noProof/>
                <w:sz w:val="20"/>
                <w:szCs w:val="20"/>
                <w:lang w:eastAsia="en-US"/>
              </w:rPr>
              <w:t>682 000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00" w:type="dxa"/>
            <w:gridSpan w:val="2"/>
          </w:tcPr>
          <w:p>
            <w:pPr>
              <w:widowControl w:val="0"/>
              <w:spacing w:before="15" w:after="15" w:line="276" w:lineRule="auto"/>
              <w:ind w:right="-113"/>
              <w:jc w:val="both"/>
              <w:rPr>
                <w:noProof/>
                <w:sz w:val="20"/>
                <w:szCs w:val="20"/>
                <w:lang w:eastAsia="en-US"/>
              </w:rPr>
            </w:pPr>
            <w:r>
              <w:rPr>
                <w:noProof/>
                <w:sz w:val="20"/>
                <w:szCs w:val="20"/>
                <w:lang w:eastAsia="en-US"/>
              </w:rPr>
              <w:t>40 02 41</w:t>
            </w:r>
          </w:p>
        </w:tc>
        <w:tc>
          <w:tcPr>
            <w:tcW w:w="5503" w:type="dxa"/>
          </w:tcPr>
          <w:p>
            <w:pPr>
              <w:rPr>
                <w:noProof/>
                <w:sz w:val="20"/>
                <w:szCs w:val="20"/>
                <w:lang w:eastAsia="en-US"/>
              </w:rPr>
            </w:pPr>
            <w:r>
              <w:rPr>
                <w:noProof/>
                <w:sz w:val="20"/>
                <w:szCs w:val="20"/>
                <w:lang w:eastAsia="en-US"/>
              </w:rPr>
              <w:t>Differentiated appropriations</w:t>
            </w:r>
          </w:p>
        </w:tc>
        <w:tc>
          <w:tcPr>
            <w:tcW w:w="1617" w:type="dxa"/>
          </w:tcPr>
          <w:p>
            <w:pPr>
              <w:widowControl w:val="0"/>
              <w:spacing w:before="15" w:after="15" w:line="276" w:lineRule="auto"/>
              <w:jc w:val="right"/>
              <w:rPr>
                <w:noProof/>
                <w:sz w:val="20"/>
                <w:szCs w:val="20"/>
                <w:lang w:eastAsia="en-US"/>
              </w:rPr>
            </w:pPr>
            <w:r>
              <w:rPr>
                <w:noProof/>
                <w:sz w:val="20"/>
                <w:szCs w:val="20"/>
                <w:lang w:eastAsia="en-US"/>
              </w:rPr>
              <w:t>6 318 000</w:t>
            </w:r>
          </w:p>
        </w:tc>
        <w:tc>
          <w:tcPr>
            <w:tcW w:w="1680" w:type="dxa"/>
            <w:gridSpan w:val="2"/>
          </w:tcPr>
          <w:p>
            <w:pPr>
              <w:widowControl w:val="0"/>
              <w:spacing w:before="15" w:after="15" w:line="276" w:lineRule="auto"/>
              <w:jc w:val="right"/>
              <w:rPr>
                <w:noProof/>
                <w:sz w:val="20"/>
                <w:szCs w:val="20"/>
                <w:lang w:eastAsia="en-US"/>
              </w:rPr>
            </w:pPr>
            <w:r>
              <w:rPr>
                <w:noProof/>
                <w:sz w:val="20"/>
                <w:szCs w:val="20"/>
                <w:lang w:eastAsia="en-US"/>
              </w:rPr>
              <w:t>7 000 000</w:t>
            </w:r>
          </w:p>
        </w:tc>
      </w:tr>
      <w:tr>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6703" w:type="dxa"/>
            <w:gridSpan w:val="3"/>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617" w:type="dxa"/>
            <w:shd w:val="clear" w:color="auto" w:fill="D9D9D9"/>
          </w:tcPr>
          <w:p>
            <w:pPr>
              <w:widowControl w:val="0"/>
              <w:spacing w:before="15" w:after="15"/>
              <w:jc w:val="right"/>
              <w:rPr>
                <w:b/>
                <w:noProof/>
                <w:sz w:val="20"/>
                <w:szCs w:val="20"/>
              </w:rPr>
            </w:pPr>
            <w:r>
              <w:rPr>
                <w:b/>
                <w:noProof/>
                <w:sz w:val="20"/>
                <w:szCs w:val="20"/>
              </w:rPr>
              <w:t>7 000 000</w:t>
            </w:r>
          </w:p>
        </w:tc>
        <w:tc>
          <w:tcPr>
            <w:tcW w:w="1680" w:type="dxa"/>
            <w:gridSpan w:val="2"/>
            <w:shd w:val="clear" w:color="auto" w:fill="D9D9D9"/>
          </w:tcPr>
          <w:p>
            <w:pPr>
              <w:widowControl w:val="0"/>
              <w:spacing w:before="15" w:after="15"/>
              <w:jc w:val="right"/>
              <w:rPr>
                <w:b/>
                <w:noProof/>
                <w:sz w:val="20"/>
                <w:szCs w:val="20"/>
              </w:rPr>
            </w:pPr>
            <w:r>
              <w:rPr>
                <w:b/>
                <w:noProof/>
                <w:sz w:val="20"/>
                <w:szCs w:val="20"/>
              </w:rPr>
              <w:t>7 000 000</w:t>
            </w:r>
          </w:p>
        </w:tc>
      </w:tr>
    </w:tbl>
    <w:p>
      <w:pPr>
        <w:pStyle w:val="ManualHeading1"/>
        <w:spacing w:before="240"/>
        <w:rPr>
          <w:noProof/>
        </w:rPr>
      </w:pPr>
      <w:bookmarkStart w:id="121" w:name="_Toc527106869"/>
      <w:bookmarkStart w:id="122" w:name="_Toc526753797"/>
      <w:r>
        <w:rPr>
          <w:noProof/>
        </w:rPr>
        <w:t>6.</w:t>
      </w:r>
      <w:r>
        <w:rPr>
          <w:noProof/>
        </w:rPr>
        <w:tab/>
        <w:t>Technical corrections</w:t>
      </w:r>
      <w:bookmarkEnd w:id="121"/>
      <w:bookmarkEnd w:id="122"/>
      <w:r>
        <w:rPr>
          <w:noProof/>
        </w:rPr>
        <w:t xml:space="preserve"> </w:t>
      </w:r>
    </w:p>
    <w:p>
      <w:pPr>
        <w:keepNext/>
        <w:tabs>
          <w:tab w:val="left" w:pos="850"/>
        </w:tabs>
        <w:spacing w:before="360" w:after="120"/>
        <w:ind w:left="357" w:hanging="357"/>
        <w:jc w:val="both"/>
        <w:outlineLvl w:val="1"/>
        <w:rPr>
          <w:rFonts w:eastAsia="Calibri"/>
          <w:b/>
          <w:noProof/>
          <w:lang w:eastAsia="en-US"/>
        </w:rPr>
      </w:pPr>
      <w:bookmarkStart w:id="123" w:name="_Toc527106870"/>
      <w:bookmarkStart w:id="124" w:name="_Toc526753798"/>
      <w:r>
        <w:rPr>
          <w:rFonts w:eastAsia="Calibri"/>
          <w:b/>
          <w:noProof/>
          <w:lang w:eastAsia="en-US"/>
        </w:rPr>
        <w:t xml:space="preserve">6.1 </w:t>
      </w:r>
      <w:r>
        <w:rPr>
          <w:rFonts w:eastAsia="Calibri"/>
          <w:b/>
          <w:noProof/>
          <w:lang w:eastAsia="en-US"/>
        </w:rPr>
        <w:tab/>
        <w:t>Modifying the establishment plan of the Europan Medicines Agency</w:t>
      </w:r>
      <w:bookmarkEnd w:id="123"/>
      <w:bookmarkEnd w:id="124"/>
    </w:p>
    <w:p>
      <w:pPr>
        <w:spacing w:before="120" w:after="120"/>
        <w:jc w:val="both"/>
        <w:rPr>
          <w:rFonts w:eastAsia="Calibri"/>
          <w:noProof/>
        </w:rPr>
      </w:pPr>
      <w:r>
        <w:rPr>
          <w:rFonts w:eastAsia="Calibri"/>
          <w:noProof/>
        </w:rPr>
        <w:t xml:space="preserve">In the draft budget 2019, the Commission proposed to keep the total number of establishment plan posts of the European Medicines Agency (EMA) stable at the level authorised for 2018 (591 posts). However, the breakdown of these posts between the function groups for Administrators (AD) and Assistants (AST) and across the grades in the establishment plan in the draft budget 2019 was erroneously modified. The Commission hereby proposes a technical correction, which has no impact on appropriations. </w:t>
      </w:r>
    </w:p>
    <w:p>
      <w:pPr>
        <w:spacing w:before="120" w:after="120"/>
        <w:jc w:val="both"/>
        <w:rPr>
          <w:rFonts w:eastAsia="Calibri"/>
          <w:noProof/>
        </w:rPr>
      </w:pPr>
      <w:r>
        <w:rPr>
          <w:rFonts w:eastAsia="Calibri"/>
          <w:noProof/>
        </w:rPr>
        <w:t>The corrected establishment plan is set out in the budgetary annex.</w:t>
      </w:r>
    </w:p>
    <w:p>
      <w:pPr>
        <w:spacing w:after="200" w:line="276" w:lineRule="auto"/>
        <w:rPr>
          <w:rFonts w:eastAsia="Calibri"/>
          <w:b/>
          <w:noProof/>
          <w:lang w:eastAsia="en-US"/>
        </w:rPr>
      </w:pPr>
      <w:r>
        <w:rPr>
          <w:rFonts w:eastAsia="Calibri"/>
          <w:b/>
          <w:noProof/>
          <w:lang w:eastAsia="en-US"/>
        </w:rPr>
        <w:br w:type="page"/>
      </w:r>
    </w:p>
    <w:p>
      <w:pPr>
        <w:keepNext/>
        <w:tabs>
          <w:tab w:val="left" w:pos="850"/>
        </w:tabs>
        <w:spacing w:before="360" w:after="120"/>
        <w:ind w:left="851" w:hanging="851"/>
        <w:jc w:val="both"/>
        <w:outlineLvl w:val="1"/>
        <w:rPr>
          <w:rFonts w:eastAsia="Calibri"/>
          <w:b/>
          <w:noProof/>
        </w:rPr>
      </w:pPr>
      <w:bookmarkStart w:id="125" w:name="_Toc527106871"/>
      <w:r>
        <w:rPr>
          <w:rFonts w:eastAsia="Calibri"/>
          <w:b/>
          <w:noProof/>
          <w:lang w:eastAsia="en-US"/>
        </w:rPr>
        <w:t xml:space="preserve">6.2 </w:t>
      </w:r>
      <w:r>
        <w:rPr>
          <w:rFonts w:eastAsia="Calibri"/>
          <w:b/>
          <w:noProof/>
          <w:lang w:eastAsia="en-US"/>
        </w:rPr>
        <w:tab/>
        <w:t xml:space="preserve">Modifying the budget remark of Interoperability Solutions and common frameworks for </w:t>
      </w:r>
      <w:r>
        <w:rPr>
          <w:rFonts w:eastAsia="Calibri"/>
          <w:b/>
          <w:noProof/>
          <w:lang w:eastAsia="en-US"/>
        </w:rPr>
        <w:tab/>
        <w:t>European public administrations, businesses and citizens (ISA²) support expenditure</w:t>
      </w:r>
      <w:bookmarkEnd w:id="125"/>
    </w:p>
    <w:p>
      <w:pPr>
        <w:spacing w:before="120" w:after="120"/>
        <w:jc w:val="both"/>
        <w:rPr>
          <w:rFonts w:eastAsia="Calibri"/>
          <w:noProof/>
        </w:rPr>
      </w:pPr>
      <w:r>
        <w:rPr>
          <w:rFonts w:eastAsia="Calibri"/>
          <w:noProof/>
        </w:rPr>
        <w:t>In the draft budget 2019, the budget remark of the support expenditure of ISA² programme 26 01 04 01 was erroneously modified to include measures not allowed on this item. The Commission proposes a technical correction to revert to the text of the voted budget 2018. This correction has no impact on appropriations.</w:t>
      </w:r>
    </w:p>
    <w:p>
      <w:pPr>
        <w:spacing w:before="120" w:after="120"/>
        <w:jc w:val="both"/>
        <w:rPr>
          <w:noProof/>
          <w:highlight w:val="yellow"/>
        </w:rPr>
      </w:pPr>
      <w:r>
        <w:rPr>
          <w:rFonts w:eastAsia="Calibri"/>
          <w:noProof/>
        </w:rPr>
        <w:t>The corrected budget remark is set out in the budgetary annex.</w:t>
      </w:r>
      <w:r>
        <w:rPr>
          <w:noProof/>
          <w:highlight w:val="yellow"/>
        </w:rPr>
        <w:br w:type="page"/>
      </w:r>
    </w:p>
    <w:p>
      <w:pPr>
        <w:pStyle w:val="ManualHeading1"/>
        <w:spacing w:before="240"/>
        <w:rPr>
          <w:noProof/>
        </w:rPr>
      </w:pPr>
      <w:bookmarkStart w:id="126" w:name="_Toc527106872"/>
      <w:bookmarkStart w:id="127" w:name="_Toc526753799"/>
      <w:r>
        <w:rPr>
          <w:noProof/>
        </w:rPr>
        <w:t>7.</w:t>
      </w:r>
      <w:r>
        <w:rPr>
          <w:noProof/>
        </w:rPr>
        <w:tab/>
        <w:t>Summary Table by MFF Heading</w:t>
      </w:r>
      <w:bookmarkEnd w:id="126"/>
      <w:bookmarkEnd w:id="127"/>
    </w:p>
    <w:tbl>
      <w:tblPr>
        <w:tblW w:w="10900" w:type="dxa"/>
        <w:jc w:val="center"/>
        <w:tblLook w:val="04A0" w:firstRow="1" w:lastRow="0" w:firstColumn="1" w:lastColumn="0" w:noHBand="0" w:noVBand="1"/>
      </w:tblPr>
      <w:tblGrid>
        <w:gridCol w:w="357"/>
        <w:gridCol w:w="2777"/>
        <w:gridCol w:w="1347"/>
        <w:gridCol w:w="1347"/>
        <w:gridCol w:w="1189"/>
        <w:gridCol w:w="1189"/>
        <w:gridCol w:w="1347"/>
        <w:gridCol w:w="1347"/>
      </w:tblGrid>
      <w:tr>
        <w:trPr>
          <w:trHeight w:val="210"/>
          <w:jc w:val="center"/>
        </w:trPr>
        <w:tc>
          <w:tcPr>
            <w:tcW w:w="306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Heading</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Draft Budget 2019</w:t>
            </w:r>
          </w:p>
        </w:tc>
        <w:tc>
          <w:tcPr>
            <w:tcW w:w="24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Amending Letter 1/2019</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Draft Budget 2019</w:t>
            </w:r>
          </w:p>
        </w:tc>
      </w:tr>
      <w:tr>
        <w:trPr>
          <w:trHeight w:val="210"/>
          <w:jc w:val="center"/>
        </w:trPr>
        <w:tc>
          <w:tcPr>
            <w:tcW w:w="306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 </w:t>
            </w:r>
          </w:p>
        </w:tc>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(incl. AL1/2019)</w:t>
            </w:r>
          </w:p>
        </w:tc>
      </w:tr>
      <w:tr>
        <w:trPr>
          <w:trHeight w:val="210"/>
          <w:jc w:val="center"/>
        </w:trPr>
        <w:tc>
          <w:tcPr>
            <w:tcW w:w="306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36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r>
      <w:tr>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1.</w:t>
            </w:r>
          </w:p>
        </w:tc>
        <w:tc>
          <w:tcPr>
            <w:tcW w:w="2800"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Smart and inclusive growth</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79 973 396 584</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67 517 943 173</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4 028 000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- 13 266 000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79 977 424 584</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67 504 677 173</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38 069 903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- 38 069 903</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233 333 333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233 333 333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 xml:space="preserve">Ceiling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79 924 000 000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79 924 000 000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222 006 652</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179 908 749</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1a</w:t>
            </w:r>
          </w:p>
        </w:tc>
        <w:tc>
          <w:tcPr>
            <w:tcW w:w="280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Competitiveness for growth and jobs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22 859 993 348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20 467 170 955</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44 028 000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3 934 000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22 904 021 348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20 471 104 955</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23 082 000 000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23 082 000 000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222 006 652</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177 978 652</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 xml:space="preserve">1b </w:t>
            </w:r>
          </w:p>
        </w:tc>
        <w:tc>
          <w:tcPr>
            <w:tcW w:w="280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Economic  social and territorial cohesion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57 113 403 236</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47 050 772 218</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- 40 000 000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- 17 200 000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57 073 403 236</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47 033 572 218</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38 069 903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- 38 069 903</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233 333 333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233 333 333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56 842 000 000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56 842 000 000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1 930 097</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2.</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Sustainable growth: natural resources</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59 999 077 986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57 790 407 331</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- 137 000 000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- 159 800 000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59 862 077 986</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57 630 607 331</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60 344 000 000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60 344 000 000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344 922 014</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481 922 014</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34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Of which: European Agricultural Guarantee Fund (EAGF) — Market related expenditure and direct payments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43 613 447 000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43 537 899 417</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- 184 000 000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- 184 000 000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43 429 447 000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43 353 899 417</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Sub-ceiling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43 881 000 000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43 881 000 000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Rounding difference excluded from margin calculation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659 000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659 000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EAGF 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266 894 000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450 894 000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3.</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Security and citizenship</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3 728 518 138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3 486 361 394</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82 321 000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82 321 000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3 810 839 138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3 568 682 394</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927 518 138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82 321 000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1 009 839 138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2 801 000 000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2 801 000 000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4.</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Global Europe</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11 384 188 562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9 508 356 038</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11 384 188 562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9 508 356 038</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1 116 188 562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1 116 188 562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10 268 000 000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10 268 000 000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5.</w:t>
            </w:r>
          </w:p>
        </w:tc>
        <w:tc>
          <w:tcPr>
            <w:tcW w:w="280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Administration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9 956 925 632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9 960 905 652</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5 699 500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5 699 500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9 962 625 132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9 966 605 152</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10 786 000 000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10 786 000 000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575 192 212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569 492 712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360"/>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Of which: Administrative expenditure of the institutions</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7 755 321 712</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7 759 301 732</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5 699 500</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xml:space="preserve"> 5 699 500</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7 761 021 212</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7 765 001 232</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Sub-ceiling</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8 700 000 000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8 700 000 000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- 253 882 156</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690 796 132</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685 096 632</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306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Total</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165 042 106 902</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148 263 973 588</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- 44 951 500</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- 85 045 500</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164 997 155 402</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148 178 928 088</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under Flexibility Instrument</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965 588 041</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899 719 628</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44 251 097</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22 299 869</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1 009 839 138</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922 019 497</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under global margin for commitments</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1 349 521 895</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1 349 521 895</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Ceiling</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164 123 000 000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166 709 000 000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164 123 000 000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166 709 000 000</w:t>
            </w:r>
          </w:p>
        </w:tc>
      </w:tr>
      <w:tr>
        <w:trPr>
          <w:trHeight w:val="225"/>
          <w:jc w:val="center"/>
        </w:trPr>
        <w:tc>
          <w:tcPr>
            <w:tcW w:w="306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offset against Contingency margin</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- 253 882 156</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- 253 882 156</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r>
      <w:tr>
        <w:trPr>
          <w:trHeight w:val="225"/>
          <w:jc w:val="center"/>
        </w:trPr>
        <w:tc>
          <w:tcPr>
            <w:tcW w:w="3060"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Margin</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1 142 120 878</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19 344 746 040</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1 231 323 475</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19 452 091 409</w:t>
            </w:r>
          </w:p>
        </w:tc>
      </w:tr>
      <w:tr>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bCs/>
                <w:noProof/>
                <w:color w:val="000000"/>
                <w:sz w:val="14"/>
                <w:szCs w:val="14"/>
              </w:rPr>
              <w:t>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Other special Instruments</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577 248 000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411 500 000</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577 248 000</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411 500 000</w:t>
            </w:r>
          </w:p>
        </w:tc>
      </w:tr>
      <w:tr>
        <w:trPr>
          <w:trHeight w:val="225"/>
          <w:jc w:val="center"/>
        </w:trPr>
        <w:tc>
          <w:tcPr>
            <w:tcW w:w="3060"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Grand Total</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165 619 354 902</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148 675 473 588</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- 44 951 500</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- 85 045 500</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165 574 403 402</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148 590 428 088</w:t>
            </w:r>
          </w:p>
        </w:tc>
      </w:tr>
    </w:tbl>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851" w:right="1021" w:bottom="851" w:left="1021" w:header="280" w:footer="8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KOJOD P+ Adv T T 5843c 571">
    <w:altName w:val="Adv TT 584 3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rPr>
    </w:pPr>
  </w:p>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9</w:t>
    </w:r>
    <w:r>
      <w:rPr>
        <w:noProof/>
      </w:rP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w:t>
    </w:r>
    <w:r>
      <w:rPr>
        <w:noProof/>
      </w:rPr>
      <w:fldChar w:fldCharType="end"/>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rPr>
        <w:noProof/>
      </w:rP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en-GB"/>
        </w:rPr>
      </w:pPr>
      <w:r>
        <w:rPr>
          <w:rStyle w:val="FootnoteReference"/>
        </w:rPr>
        <w:footnoteRef/>
      </w:r>
      <w:r>
        <w:rPr>
          <w:lang w:val="en-GB"/>
        </w:rPr>
        <w:t xml:space="preserve"> </w:t>
      </w:r>
      <w:r>
        <w:rPr>
          <w:lang w:val="en-GB"/>
        </w:rPr>
        <w:tab/>
      </w:r>
      <w:r>
        <w:rPr>
          <w:sz w:val="18"/>
          <w:szCs w:val="18"/>
          <w:lang w:val="en-GB"/>
        </w:rPr>
        <w:t>OJ L 193, 30.7.2018, p. 1.</w:t>
      </w:r>
    </w:p>
  </w:footnote>
  <w:footnote w:id="3">
    <w:p>
      <w:pPr>
        <w:pStyle w:val="FootnoteText"/>
        <w:rPr>
          <w:lang w:val="en-GB"/>
        </w:rPr>
      </w:pPr>
      <w:r>
        <w:rPr>
          <w:rStyle w:val="FootnoteReference"/>
        </w:rPr>
        <w:footnoteRef/>
      </w:r>
      <w:r>
        <w:rPr>
          <w:lang w:val="en-GB"/>
        </w:rPr>
        <w:tab/>
      </w:r>
      <w:r>
        <w:rPr>
          <w:sz w:val="18"/>
          <w:szCs w:val="18"/>
          <w:lang w:val="en-GB"/>
        </w:rPr>
        <w:t>COM(2018) 600, 21.6.2018.</w:t>
      </w:r>
    </w:p>
  </w:footnote>
  <w:footnote w:id="4">
    <w:p>
      <w:pPr>
        <w:pStyle w:val="FootnoteText"/>
        <w:rPr>
          <w:lang w:val="en-GB"/>
        </w:rPr>
      </w:pPr>
      <w:r>
        <w:rPr>
          <w:rStyle w:val="FootnoteReference"/>
        </w:rPr>
        <w:footnoteRef/>
      </w:r>
      <w:r>
        <w:rPr>
          <w:lang w:val="en-GB"/>
        </w:rPr>
        <w:t xml:space="preserve"> </w:t>
      </w:r>
      <w:r>
        <w:rPr>
          <w:lang w:val="en-GB"/>
        </w:rPr>
        <w:tab/>
      </w:r>
      <w:r>
        <w:rPr>
          <w:noProof/>
          <w:lang w:val="en-GB"/>
        </w:rPr>
        <w:t xml:space="preserve">This estimate is based on the declarations of actual expenditure received from Member States up to the month of August 2018, complemented by forecasts for the period 01.09.2018 to 15.10.2018. Full information on the actual expenditure for this remaining period will become available at the end of October/beginning of November 2018. </w:t>
      </w:r>
    </w:p>
  </w:footnote>
  <w:footnote w:id="5">
    <w:p>
      <w:pPr>
        <w:pStyle w:val="FootnoteText"/>
        <w:rPr>
          <w:lang w:val="en-GB"/>
        </w:rPr>
      </w:pPr>
      <w:r>
        <w:rPr>
          <w:rStyle w:val="FootnoteReference"/>
        </w:rPr>
        <w:footnoteRef/>
      </w:r>
      <w:r>
        <w:rPr>
          <w:lang w:val="en-GB"/>
        </w:rPr>
        <w:t xml:space="preserve"> </w:t>
      </w:r>
      <w:r>
        <w:rPr>
          <w:lang w:val="en-GB"/>
        </w:rPr>
        <w:tab/>
        <w:t>The adjustment rate for direct payments related to the financial discipline mechanism in respect of the calendar year 2018 is set in Commission Implementing Regulation (EU) 2018/866. The Commission will update this rate accordingly taking into account the modifications proposed in this AL 1/2019.</w:t>
      </w:r>
    </w:p>
  </w:footnote>
  <w:footnote w:id="6">
    <w:p>
      <w:pPr>
        <w:pStyle w:val="FootnoteText"/>
        <w:ind w:left="709" w:hanging="709"/>
        <w:rPr>
          <w:lang w:val="en-GB"/>
        </w:rPr>
      </w:pPr>
      <w:r>
        <w:rPr>
          <w:rStyle w:val="FootnoteReference"/>
        </w:rPr>
        <w:footnoteRef/>
      </w:r>
      <w:r>
        <w:rPr>
          <w:lang w:val="en-GB"/>
        </w:rPr>
        <w:t xml:space="preserve"> </w:t>
      </w:r>
      <w:r>
        <w:rPr>
          <w:lang w:val="en-GB"/>
        </w:rPr>
        <w:tab/>
        <w:t>Joint Statements by the European Parliament, the Council and the Commission, annexed to the legislative resolution adopted by the European Parliament on 3 July 2018 (TA/2018/0275).</w:t>
      </w:r>
    </w:p>
  </w:footnote>
  <w:footnote w:id="7">
    <w:p>
      <w:pPr>
        <w:pStyle w:val="FootnoteText"/>
        <w:rPr>
          <w:lang w:val="en-GB"/>
        </w:rPr>
      </w:pPr>
      <w:r>
        <w:rPr>
          <w:rStyle w:val="FootnoteReference"/>
        </w:rPr>
        <w:footnoteRef/>
      </w:r>
      <w:r>
        <w:rPr>
          <w:lang w:val="en-GB"/>
        </w:rPr>
        <w:t xml:space="preserve"> </w:t>
      </w:r>
      <w:r>
        <w:rPr>
          <w:lang w:val="en-GB"/>
        </w:rPr>
        <w:tab/>
        <w:t>COM(2017) 294, 7.6.2017.</w:t>
      </w:r>
    </w:p>
  </w:footnote>
  <w:footnote w:id="8">
    <w:p>
      <w:pPr>
        <w:pStyle w:val="FootnoteText"/>
        <w:ind w:left="709" w:hanging="709"/>
        <w:rPr>
          <w:lang w:val="en-GB"/>
        </w:rPr>
      </w:pPr>
      <w:r>
        <w:rPr>
          <w:rStyle w:val="FootnoteReference"/>
        </w:rPr>
        <w:footnoteRef/>
      </w:r>
      <w:r>
        <w:rPr>
          <w:lang w:val="en-GB"/>
        </w:rPr>
        <w:t xml:space="preserve"> </w:t>
      </w:r>
      <w:r>
        <w:rPr>
          <w:lang w:val="en-GB"/>
        </w:rPr>
        <w:tab/>
        <w:t>Joint Statements by the European Parliament, the Council and the Commission, annexed to the legislative resolution adopted by the European Parliament on 11 September 2018 (TA/2018/0328).</w:t>
      </w:r>
    </w:p>
  </w:footnote>
  <w:footnote w:id="9">
    <w:p>
      <w:pPr>
        <w:pStyle w:val="FootnoteText"/>
        <w:rPr>
          <w:lang w:val="en-GB"/>
        </w:rPr>
      </w:pPr>
      <w:r>
        <w:rPr>
          <w:rStyle w:val="FootnoteReference"/>
        </w:rPr>
        <w:footnoteRef/>
      </w:r>
      <w:r>
        <w:rPr>
          <w:lang w:val="en-GB"/>
        </w:rPr>
        <w:t xml:space="preserve"> </w:t>
      </w:r>
      <w:r>
        <w:rPr>
          <w:lang w:val="en-GB"/>
        </w:rPr>
        <w:tab/>
        <w:t>COM(2017) 262, 30.5.2017.</w:t>
      </w:r>
    </w:p>
  </w:footnote>
  <w:footnote w:id="10">
    <w:p>
      <w:pPr>
        <w:pStyle w:val="FootnoteText"/>
        <w:rPr>
          <w:lang w:val="en-GB"/>
        </w:rPr>
      </w:pPr>
      <w:r>
        <w:rPr>
          <w:rStyle w:val="FootnoteReference"/>
        </w:rPr>
        <w:footnoteRef/>
      </w:r>
      <w:r>
        <w:rPr>
          <w:lang w:val="en-GB"/>
        </w:rPr>
        <w:t xml:space="preserve"> </w:t>
      </w:r>
      <w:r>
        <w:rPr>
          <w:lang w:val="en-GB"/>
        </w:rPr>
        <w:tab/>
        <w:t xml:space="preserve">Joint Statements by the European Parliament, the Council and the Commission, annexed to the legislative resolution adopted by the European Parliament on 11 September 2018 (TA/2018/0329). </w:t>
      </w:r>
    </w:p>
  </w:footnote>
  <w:footnote w:id="11">
    <w:p>
      <w:pPr>
        <w:pStyle w:val="FootnoteText"/>
        <w:rPr>
          <w:lang w:val="pt-PT"/>
        </w:rPr>
      </w:pPr>
      <w:r>
        <w:rPr>
          <w:rStyle w:val="FootnoteReference"/>
        </w:rPr>
        <w:footnoteRef/>
      </w:r>
      <w:r>
        <w:rPr>
          <w:lang w:val="pt-PT"/>
        </w:rPr>
        <w:t xml:space="preserve"> </w:t>
      </w:r>
      <w:r>
        <w:rPr>
          <w:lang w:val="pt-PT"/>
        </w:rPr>
        <w:tab/>
        <w:t>COM(2017) 825, 6.12.2017.</w:t>
      </w:r>
    </w:p>
  </w:footnote>
  <w:footnote w:id="12">
    <w:p>
      <w:pPr>
        <w:rPr>
          <w:i/>
          <w:sz w:val="16"/>
          <w:szCs w:val="20"/>
          <w:lang w:val="pt-PT"/>
        </w:rPr>
      </w:pPr>
      <w:r>
        <w:rPr>
          <w:rStyle w:val="FootnoteReference"/>
          <w:sz w:val="20"/>
        </w:rPr>
        <w:footnoteRef/>
      </w:r>
      <w:r>
        <w:rPr>
          <w:lang w:val="pt-PT"/>
        </w:rPr>
        <w:t xml:space="preserve"> </w:t>
      </w:r>
      <w:r>
        <w:rPr>
          <w:lang w:val="pt-PT"/>
        </w:rPr>
        <w:tab/>
      </w:r>
      <w:r>
        <w:rPr>
          <w:iCs/>
          <w:sz w:val="20"/>
          <w:lang w:val="pt-PT" w:eastAsia="de-DE"/>
        </w:rPr>
        <w:t>OJ L 347, 20.12.2013, p. 884–891, Article 11.</w:t>
      </w:r>
    </w:p>
  </w:footnote>
  <w:footnote w:id="13">
    <w:p>
      <w:pPr>
        <w:pStyle w:val="FootnoteText"/>
        <w:rPr>
          <w:lang w:val="pt-PT"/>
        </w:rPr>
      </w:pPr>
      <w:r>
        <w:rPr>
          <w:rStyle w:val="FootnoteReference"/>
        </w:rPr>
        <w:footnoteRef/>
      </w:r>
      <w:r>
        <w:rPr>
          <w:lang w:val="pt-PT"/>
        </w:rPr>
        <w:t xml:space="preserve"> </w:t>
      </w:r>
      <w:r>
        <w:rPr>
          <w:lang w:val="pt-PT"/>
        </w:rPr>
        <w:tab/>
        <w:t>COM(2018) 280, 23.5.2018.</w:t>
      </w:r>
    </w:p>
  </w:footnote>
  <w:footnote w:id="14">
    <w:p>
      <w:pPr>
        <w:pStyle w:val="FootnoteText"/>
        <w:rPr>
          <w:lang w:val="pt-PT"/>
        </w:rPr>
      </w:pPr>
      <w:r>
        <w:rPr>
          <w:rStyle w:val="FootnoteReference"/>
        </w:rPr>
        <w:footnoteRef/>
      </w:r>
      <w:r>
        <w:rPr>
          <w:lang w:val="pt-PT"/>
        </w:rPr>
        <w:t xml:space="preserve"> </w:t>
      </w:r>
      <w:r>
        <w:rPr>
          <w:lang w:val="pt-PT"/>
        </w:rPr>
        <w:tab/>
        <w:t>COM(2018) 631, 12.9.2018.</w:t>
      </w:r>
    </w:p>
  </w:footnote>
  <w:footnote w:id="15">
    <w:p>
      <w:pPr>
        <w:pStyle w:val="FootnoteText"/>
        <w:rPr>
          <w:lang w:val="pt-PT"/>
        </w:rPr>
      </w:pPr>
      <w:r>
        <w:rPr>
          <w:rStyle w:val="FootnoteReference"/>
        </w:rPr>
        <w:footnoteRef/>
      </w:r>
      <w:r>
        <w:rPr>
          <w:lang w:val="pt-PT"/>
        </w:rPr>
        <w:t xml:space="preserve"> </w:t>
      </w:r>
      <w:r>
        <w:rPr>
          <w:lang w:val="pt-PT"/>
        </w:rPr>
        <w:tab/>
        <w:t>COM(2018) 633, 12.9.2018.</w:t>
      </w:r>
    </w:p>
  </w:footnote>
  <w:footnote w:id="16">
    <w:p>
      <w:pPr>
        <w:rPr>
          <w:lang w:val="pt-PT"/>
        </w:rPr>
      </w:pPr>
      <w:r>
        <w:rPr>
          <w:rStyle w:val="FootnoteReference"/>
        </w:rPr>
        <w:footnoteRef/>
      </w:r>
      <w:r>
        <w:rPr>
          <w:rFonts w:eastAsia="Calibri"/>
          <w:sz w:val="20"/>
          <w:szCs w:val="20"/>
          <w:lang w:val="pt-PT"/>
        </w:rPr>
        <w:tab/>
        <w:t>OJ L 317, 4.11.2014, p. 1.</w:t>
      </w:r>
    </w:p>
  </w:footnote>
  <w:footnote w:id="17">
    <w:p>
      <w:pPr>
        <w:pStyle w:val="FootnoteText"/>
        <w:rPr>
          <w:lang w:val="en-GB"/>
        </w:rPr>
      </w:pPr>
      <w:r>
        <w:rPr>
          <w:rStyle w:val="FootnoteReference"/>
        </w:rPr>
        <w:footnoteRef/>
      </w:r>
      <w:r>
        <w:rPr>
          <w:lang w:val="en-GB"/>
        </w:rPr>
        <w:t xml:space="preserve"> </w:t>
      </w:r>
      <w:r>
        <w:rPr>
          <w:lang w:val="en-GB"/>
        </w:rPr>
        <w:tab/>
        <w:t>COM(2018) 636, 12.9.2018.</w:t>
      </w:r>
    </w:p>
  </w:footnote>
  <w:footnote w:id="18">
    <w:p>
      <w:pPr>
        <w:pStyle w:val="FootnoteText"/>
        <w:rPr>
          <w:lang w:val="en-GB"/>
        </w:rPr>
      </w:pPr>
      <w:r>
        <w:rPr>
          <w:rStyle w:val="FootnoteReference"/>
        </w:rPr>
        <w:footnoteRef/>
      </w:r>
      <w:r>
        <w:rPr>
          <w:lang w:val="en-GB"/>
        </w:rPr>
        <w:t xml:space="preserve"> </w:t>
      </w:r>
      <w:r>
        <w:rPr>
          <w:lang w:val="en-GB"/>
        </w:rPr>
        <w:tab/>
        <w:t xml:space="preserve">4 temporary posts- </w:t>
      </w:r>
      <w:r>
        <w:rPr>
          <w:rFonts w:eastAsia="Calibri"/>
          <w:noProof/>
          <w:lang w:val="en-GB"/>
        </w:rPr>
        <w:t>1 AD9, 1 AD5, 2 AST3 and 5 permanent posts- 2 AD5, 1 AST3 and 2 AST-SC1.</w:t>
      </w:r>
    </w:p>
  </w:footnote>
  <w:footnote w:id="19">
    <w:p>
      <w:pPr>
        <w:pStyle w:val="FootnoteText"/>
        <w:rPr>
          <w:lang w:val="en-GB"/>
        </w:rPr>
      </w:pPr>
      <w:r>
        <w:rPr>
          <w:rStyle w:val="FootnoteReference"/>
        </w:rPr>
        <w:footnoteRef/>
      </w:r>
      <w:r>
        <w:rPr>
          <w:lang w:val="en-GB"/>
        </w:rPr>
        <w:t xml:space="preserve"> </w:t>
      </w:r>
      <w:r>
        <w:rPr>
          <w:lang w:val="en-GB"/>
        </w:rPr>
        <w:tab/>
        <w:t>1 AD12.</w:t>
      </w:r>
    </w:p>
  </w:footnote>
  <w:footnote w:id="20">
    <w:p>
      <w:pPr>
        <w:pStyle w:val="FootnoteText"/>
        <w:rPr>
          <w:lang w:val="en-GB"/>
        </w:rPr>
      </w:pPr>
      <w:r>
        <w:rPr>
          <w:rStyle w:val="FootnoteReference"/>
        </w:rPr>
        <w:footnoteRef/>
      </w:r>
      <w:r>
        <w:rPr>
          <w:lang w:val="en-GB"/>
        </w:rPr>
        <w:t xml:space="preserve"> </w:t>
      </w:r>
      <w:r>
        <w:rPr>
          <w:lang w:val="en-GB"/>
        </w:rPr>
        <w:tab/>
        <w:t>Council Regulation (EU) 2017/1939 of 17 October 2017.</w:t>
      </w:r>
    </w:p>
  </w:footnote>
  <w:footnote w:id="21">
    <w:p>
      <w:pPr>
        <w:pStyle w:val="FootnoteText"/>
        <w:rPr>
          <w:lang w:val="en-GB"/>
        </w:rPr>
      </w:pPr>
      <w:r>
        <w:rPr>
          <w:rStyle w:val="FootnoteReference"/>
        </w:rPr>
        <w:footnoteRef/>
      </w:r>
      <w:r>
        <w:rPr>
          <w:lang w:val="en-GB"/>
        </w:rPr>
        <w:t xml:space="preserve"> </w:t>
      </w:r>
      <w:r>
        <w:rPr>
          <w:lang w:val="en-GB"/>
        </w:rPr>
        <w:tab/>
        <w:t>COM(2017) 352, 29.6.2017.</w:t>
      </w:r>
    </w:p>
  </w:footnote>
  <w:footnote w:id="22">
    <w:p>
      <w:pPr>
        <w:pStyle w:val="FootnoteText"/>
        <w:rPr>
          <w:lang w:val="en-GB"/>
        </w:rPr>
      </w:pPr>
      <w:r>
        <w:rPr>
          <w:rStyle w:val="FootnoteReference"/>
        </w:rPr>
        <w:footnoteRef/>
      </w:r>
      <w:r>
        <w:rPr>
          <w:lang w:val="en-GB"/>
        </w:rPr>
        <w:t xml:space="preserve"> </w:t>
      </w:r>
      <w:r>
        <w:rPr>
          <w:lang w:val="en-GB"/>
        </w:rPr>
        <w:tab/>
        <w:t>The EUMC is the highest military body set up within the Council. It notably gives military advice to the Political and Security Committee (PSC) and makes recommendations on military matters.</w:t>
      </w:r>
    </w:p>
  </w:footnote>
  <w:footnote w:id="23">
    <w:p>
      <w:pPr>
        <w:pStyle w:val="FootnoteText"/>
        <w:rPr>
          <w:lang w:val="en-GB"/>
        </w:rPr>
      </w:pPr>
      <w:r>
        <w:rPr>
          <w:rStyle w:val="FootnoteReference"/>
        </w:rPr>
        <w:footnoteRef/>
      </w:r>
      <w:r>
        <w:rPr>
          <w:lang w:val="en-GB"/>
        </w:rPr>
        <w:t xml:space="preserve"> </w:t>
      </w:r>
      <w:r>
        <w:rPr>
          <w:lang w:val="en-GB"/>
        </w:rPr>
        <w:tab/>
        <w:t>OJ C 373, 20.12.2013, p. 1.</w:t>
      </w:r>
    </w:p>
  </w:footnote>
  <w:footnote w:id="24">
    <w:p>
      <w:pPr>
        <w:pStyle w:val="FootnoteText"/>
        <w:rPr>
          <w:lang w:val="en-GB"/>
        </w:rPr>
      </w:pPr>
      <w:r>
        <w:rPr>
          <w:rStyle w:val="FootnoteReference"/>
        </w:rPr>
        <w:footnoteRef/>
      </w:r>
      <w:r>
        <w:rPr>
          <w:lang w:val="en-GB"/>
        </w:rPr>
        <w:t xml:space="preserve"> </w:t>
      </w:r>
      <w:r>
        <w:rPr>
          <w:lang w:val="en-GB"/>
        </w:rPr>
        <w:tab/>
        <w:t xml:space="preserve">The negotiations are finished and the Commission will adopt as soon as possible the related proposals for Council Decisions on the signing and conclusion of the Sustainable Fisheries Partnership Agreement between the EU and the Kingdom of Morocco accompanied by a Protocol and an exchange of letters between both parties. </w:t>
      </w:r>
    </w:p>
  </w:footnote>
  <w:footnote w:id="25">
    <w:p>
      <w:pPr>
        <w:pStyle w:val="FootnoteText"/>
        <w:rPr>
          <w:lang w:val="en-GB"/>
        </w:rPr>
      </w:pPr>
      <w:r>
        <w:rPr>
          <w:rStyle w:val="FootnoteReference"/>
        </w:rPr>
        <w:footnoteRef/>
      </w:r>
      <w:r>
        <w:rPr>
          <w:lang w:val="en-GB"/>
        </w:rPr>
        <w:t xml:space="preserve"> </w:t>
      </w:r>
      <w:r>
        <w:rPr>
          <w:lang w:val="en-GB"/>
        </w:rPr>
        <w:tab/>
        <w:t>Council Decision (EU) 2018/1069 of 26 July 2018 (OJ L 194, 31.07.2018,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F2A9A2"/>
    <w:lvl w:ilvl="0">
      <w:start w:val="1"/>
      <w:numFmt w:val="bullet"/>
      <w:pStyle w:val="ListBullet3"/>
      <w:lvlText w:val=""/>
      <w:lvlJc w:val="left"/>
      <w:pPr>
        <w:tabs>
          <w:tab w:val="num" w:pos="643"/>
        </w:tabs>
        <w:ind w:left="643" w:hanging="360"/>
      </w:pPr>
      <w:rPr>
        <w:rFonts w:ascii="Symbol" w:hAnsi="Symbol" w:hint="default"/>
      </w:rPr>
    </w:lvl>
  </w:abstractNum>
  <w:abstractNum w:abstractNumId="1">
    <w:nsid w:val="FFFFFF89"/>
    <w:multiLevelType w:val="singleLevel"/>
    <w:tmpl w:val="1D769E46"/>
    <w:lvl w:ilvl="0">
      <w:start w:val="1"/>
      <w:numFmt w:val="bullet"/>
      <w:pStyle w:val="ListNumber5"/>
      <w:lvlText w:val=""/>
      <w:lvlJc w:val="left"/>
      <w:pPr>
        <w:tabs>
          <w:tab w:val="num" w:pos="360"/>
        </w:tabs>
        <w:ind w:left="360" w:hanging="360"/>
      </w:pPr>
      <w:rPr>
        <w:rFonts w:ascii="Symbol" w:hAnsi="Symbol" w:hint="default"/>
      </w:rPr>
    </w:lvl>
  </w:abstractNum>
  <w:abstractNum w:abstractNumId="2">
    <w:nsid w:val="01CA57DC"/>
    <w:multiLevelType w:val="hybridMultilevel"/>
    <w:tmpl w:val="B042469C"/>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FA63AA"/>
    <w:multiLevelType w:val="multilevel"/>
    <w:tmpl w:val="D1402846"/>
    <w:lvl w:ilvl="0">
      <w:start w:val="2"/>
      <w:numFmt w:val="decimal"/>
      <w:lvlText w:val="%1"/>
      <w:lvlJc w:val="left"/>
      <w:pPr>
        <w:ind w:left="432" w:hanging="432"/>
      </w:pPr>
      <w:rPr>
        <w:rFonts w:cs="Times New Roman" w:hint="default"/>
      </w:rPr>
    </w:lvl>
    <w:lvl w:ilvl="1">
      <w:start w:val="3"/>
      <w:numFmt w:val="decimal"/>
      <w:pStyle w:val="Style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
    <w:nsid w:val="1BC50770"/>
    <w:multiLevelType w:val="hybridMultilevel"/>
    <w:tmpl w:val="1A92C2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4965A5"/>
    <w:multiLevelType w:val="hybridMultilevel"/>
    <w:tmpl w:val="2B909A32"/>
    <w:lvl w:ilvl="0" w:tplc="02EC6D92">
      <w:start w:val="1"/>
      <w:numFmt w:val="decimal"/>
      <w:pStyle w:val="Style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2F911729"/>
    <w:multiLevelType w:val="multilevel"/>
    <w:tmpl w:val="EA30B10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FC13EA4"/>
    <w:multiLevelType w:val="hybridMultilevel"/>
    <w:tmpl w:val="9E047E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1">
    <w:nsid w:val="3A7730C4"/>
    <w:multiLevelType w:val="singleLevel"/>
    <w:tmpl w:val="0809000F"/>
    <w:lvl w:ilvl="0">
      <w:start w:val="1"/>
      <w:numFmt w:val="decimal"/>
      <w:pStyle w:val="ManualHeading2"/>
      <w:lvlText w:val="%1."/>
      <w:lvlJc w:val="left"/>
      <w:pPr>
        <w:ind w:left="720" w:hanging="360"/>
      </w:pPr>
    </w:lvl>
  </w:abstractNum>
  <w:abstractNum w:abstractNumId="12">
    <w:nsid w:val="4B843E64"/>
    <w:multiLevelType w:val="hybridMultilevel"/>
    <w:tmpl w:val="B2063506"/>
    <w:lvl w:ilvl="0" w:tplc="0809000F">
      <w:start w:val="1"/>
      <w:numFmt w:val="decimal"/>
      <w:lvlText w:val="%1."/>
      <w:lvlJc w:val="left"/>
      <w:pPr>
        <w:ind w:left="360" w:hanging="360"/>
      </w:pPr>
      <w:rPr>
        <w:rFonts w:cs="Times New Roman"/>
      </w:rPr>
    </w:lvl>
    <w:lvl w:ilvl="1" w:tplc="08090001">
      <w:start w:val="1"/>
      <w:numFmt w:val="bullet"/>
      <w:lvlText w:val=""/>
      <w:lvlJc w:val="left"/>
      <w:pPr>
        <w:ind w:left="1080" w:hanging="360"/>
      </w:pPr>
      <w:rPr>
        <w:rFonts w:ascii="Symbol" w:hAnsi="Symbol" w:hint="default"/>
      </w:rPr>
    </w:lvl>
    <w:lvl w:ilvl="2" w:tplc="EC16C19A">
      <w:numFmt w:val="bullet"/>
      <w:lvlText w:val="•"/>
      <w:lvlJc w:val="left"/>
      <w:pPr>
        <w:ind w:left="2340" w:hanging="720"/>
      </w:pPr>
      <w:rPr>
        <w:rFonts w:ascii="Times New Roman" w:eastAsia="Times New Roman" w:hAnsi="Times New Roman" w:cs="Times New Roman" w:hint="default"/>
      </w:rPr>
    </w:lvl>
    <w:lvl w:ilvl="3" w:tplc="AC466752">
      <w:start w:val="19"/>
      <w:numFmt w:val="bullet"/>
      <w:lvlText w:val="-"/>
      <w:lvlJc w:val="left"/>
      <w:pPr>
        <w:ind w:left="2520" w:hanging="360"/>
      </w:pPr>
      <w:rPr>
        <w:rFonts w:ascii="Times New Roman" w:eastAsia="Times New Roman" w:hAnsi="Times New Roman" w:cs="Times New Roman"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nsid w:val="541C7C56"/>
    <w:multiLevelType w:val="hybridMultilevel"/>
    <w:tmpl w:val="64B869A6"/>
    <w:lvl w:ilvl="0" w:tplc="8A36BA8C">
      <w:numFmt w:val="bullet"/>
      <w:lvlText w:val=""/>
      <w:lvlJc w:val="left"/>
      <w:pPr>
        <w:ind w:left="360" w:hanging="360"/>
      </w:pPr>
      <w:rPr>
        <w:rFonts w:ascii="Symbol" w:eastAsia="Times New Roman" w:hAnsi="Symbol" w:hint="default"/>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nsid w:val="59282356"/>
    <w:multiLevelType w:val="hybridMultilevel"/>
    <w:tmpl w:val="9F4E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65A07CBB"/>
    <w:multiLevelType w:val="hybridMultilevel"/>
    <w:tmpl w:val="D0281760"/>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4872AB78">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9">
    <w:nsid w:val="7A694F3E"/>
    <w:multiLevelType w:val="hybridMultilevel"/>
    <w:tmpl w:val="66C627DA"/>
    <w:lvl w:ilvl="0" w:tplc="4872AB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8"/>
  </w:num>
  <w:num w:numId="5">
    <w:abstractNumId w:val="11"/>
  </w:num>
  <w:num w:numId="6">
    <w:abstractNumId w:val="7"/>
  </w:num>
  <w:num w:numId="7">
    <w:abstractNumId w:val="15"/>
  </w:num>
  <w:num w:numId="8">
    <w:abstractNumId w:val="4"/>
  </w:num>
  <w:num w:numId="9">
    <w:abstractNumId w:val="17"/>
  </w:num>
  <w:num w:numId="10">
    <w:abstractNumId w:val="13"/>
  </w:num>
  <w:num w:numId="11">
    <w:abstractNumId w:val="12"/>
  </w:num>
  <w:num w:numId="12">
    <w:abstractNumId w:val="6"/>
  </w:num>
  <w:num w:numId="13">
    <w:abstractNumId w:val="3"/>
  </w:num>
  <w:num w:numId="14">
    <w:abstractNumId w:val="2"/>
  </w:num>
  <w:num w:numId="15">
    <w:abstractNumId w:val="16"/>
  </w:num>
  <w:num w:numId="16">
    <w:abstractNumId w:val="19"/>
  </w:num>
  <w:num w:numId="17">
    <w:abstractNumId w:val="8"/>
  </w:num>
  <w:num w:numId="18">
    <w:abstractNumId w:val="9"/>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2958D1F-C757-4B68-A895-71DC26CD2EF3"/>
    <w:docVar w:name="LW_COVERPAGE_TYPE" w:val="1"/>
    <w:docVar w:name="LW_CROSSREFERENCE" w:val="&lt;UNUSED&gt;"/>
    <w:docVar w:name="LW_DocType" w:val="NORMAL"/>
    <w:docVar w:name="LW_EMISSION" w:val="16.10.2018"/>
    <w:docVar w:name="LW_EMISSION_ISODATE" w:val="2018-10-16"/>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7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pdated estimated needs for agricultural expenditure_x000d__x000d__x000d__x000b_Impact of agreements on Commission proposals and of new initiatives_x000d__x000d__x000d__x000b_Adjustments based on recent developments_x000d__x000d__x000d__x000b_Technical corrections_x000d__x000d__x000d__x000b__x000d__x000d__x000d__x000b_"/>
    <w:docVar w:name="LW_TYPE.DOC.CP" w:val="AMENDING LETTER No 1 TO THE DRAFT GENERAL BUDGET 2019"/>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9"/>
    <w:qFormat/>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uiPriority w:val="99"/>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9"/>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9"/>
    <w:rPr>
      <w:rFonts w:ascii="Arial" w:eastAsia="Times New Roman" w:hAnsi="Arial" w:cs="Arial"/>
      <w:b/>
      <w:bCs/>
      <w:i/>
      <w:sz w:val="26"/>
      <w:szCs w:val="26"/>
      <w:lang w:eastAsia="en-GB"/>
    </w:rPr>
  </w:style>
  <w:style w:type="character" w:customStyle="1" w:styleId="Heading4Char">
    <w:name w:val="Heading 4 Char"/>
    <w:basedOn w:val="DefaultParagraphFont"/>
    <w:link w:val="Heading4"/>
    <w:uiPriority w:val="99"/>
    <w:rPr>
      <w:rFonts w:ascii="Times New Roman" w:eastAsia="Times New Roman" w:hAnsi="Times New Roman" w:cs="Times New Roman"/>
      <w:b/>
      <w:bCs/>
      <w:sz w:val="24"/>
      <w:szCs w:val="28"/>
      <w:lang w:eastAsia="de-DE"/>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pPr>
      <w:ind w:left="720" w:hanging="720"/>
      <w:jc w:val="both"/>
    </w:pPr>
    <w:rPr>
      <w:sz w:val="20"/>
      <w:szCs w:val="20"/>
      <w:lang w:val="de-DE"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de-DE"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basedOn w:val="DefaultParagraphFont"/>
    <w:uiPriority w:val="99"/>
    <w:rPr>
      <w:rFonts w:cs="Times New Roman"/>
      <w:vertAlign w:val="superscript"/>
    </w:rPr>
  </w:style>
  <w:style w:type="paragraph" w:customStyle="1" w:styleId="Text1">
    <w:name w:val="Text 1"/>
    <w:basedOn w:val="Normal"/>
    <w:uiPriority w:val="99"/>
    <w:pPr>
      <w:spacing w:before="120" w:after="120"/>
      <w:ind w:left="850"/>
      <w:jc w:val="both"/>
    </w:pPr>
    <w:rPr>
      <w:lang w:eastAsia="de-DE"/>
    </w:rPr>
  </w:style>
  <w:style w:type="paragraph" w:customStyle="1" w:styleId="Tiret0">
    <w:name w:val="Tiret 0"/>
    <w:basedOn w:val="Normal"/>
    <w:uiPriority w:val="99"/>
    <w:pPr>
      <w:numPr>
        <w:numId w:val="3"/>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numPr>
        <w:numId w:val="5"/>
      </w:numPr>
      <w:spacing w:before="360" w:after="120"/>
      <w:jc w:val="both"/>
      <w:outlineLvl w:val="1"/>
    </w:pPr>
    <w:rPr>
      <w:b/>
      <w:noProof/>
      <w:lang w:eastAsia="en-US"/>
    </w:rPr>
  </w:style>
  <w:style w:type="paragraph" w:customStyle="1" w:styleId="ListDash">
    <w:name w:val="List Dash"/>
    <w:basedOn w:val="Normal"/>
    <w:link w:val="ListDashChar"/>
    <w:uiPriority w:val="99"/>
    <w:pPr>
      <w:spacing w:before="120" w:after="120"/>
      <w:jc w:val="both"/>
    </w:pPr>
    <w:rPr>
      <w:szCs w:val="20"/>
      <w:lang w:val="de-DE" w:eastAsia="de-DE"/>
    </w:rPr>
  </w:style>
  <w:style w:type="paragraph" w:styleId="TOCHeading">
    <w:name w:val="TOC Heading"/>
    <w:basedOn w:val="Normal"/>
    <w:next w:val="Normal"/>
    <w:uiPriority w:val="99"/>
    <w:qFormat/>
    <w:pPr>
      <w:spacing w:before="120" w:after="240"/>
      <w:jc w:val="center"/>
    </w:pPr>
    <w:rPr>
      <w:b/>
      <w:sz w:val="28"/>
      <w:lang w:eastAsia="de-DE"/>
    </w:rPr>
  </w:style>
  <w:style w:type="paragraph" w:customStyle="1" w:styleId="Prliminairetitre">
    <w:name w:val="Préliminaire titre"/>
    <w:basedOn w:val="Normal"/>
    <w:next w:val="Normal"/>
    <w:uiPriority w:val="99"/>
    <w:pPr>
      <w:spacing w:before="360" w:after="360"/>
      <w:jc w:val="center"/>
    </w:pPr>
    <w:rPr>
      <w:b/>
      <w:lang w:eastAsia="de-DE"/>
    </w:rPr>
  </w:style>
  <w:style w:type="paragraph" w:customStyle="1" w:styleId="Prliminairetype">
    <w:name w:val="Préliminaire type"/>
    <w:basedOn w:val="Normal"/>
    <w:next w:val="Normal"/>
    <w:uiPriority w:val="99"/>
    <w:pPr>
      <w:spacing w:before="360"/>
      <w:jc w:val="center"/>
    </w:pPr>
    <w:rPr>
      <w:b/>
      <w:lang w:eastAsia="de-DE"/>
    </w:rPr>
  </w:style>
  <w:style w:type="character" w:styleId="Hyperlink">
    <w:name w:val="Hyperlink"/>
    <w:basedOn w:val="DefaultParagraphFont"/>
    <w:uiPriority w:val="99"/>
    <w:rPr>
      <w:rFonts w:cs="Times New Roman"/>
      <w:color w:val="0000FF"/>
      <w:u w:val="single"/>
    </w:rPr>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uiPriority w:val="99"/>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uiPriority w:val="99"/>
    <w:pPr>
      <w:tabs>
        <w:tab w:val="center" w:pos="4535"/>
        <w:tab w:val="right" w:pos="9071"/>
        <w:tab w:val="right" w:pos="9921"/>
      </w:tabs>
      <w:spacing w:before="360"/>
      <w:ind w:left="-850" w:right="-850"/>
    </w:pPr>
  </w:style>
  <w:style w:type="paragraph" w:customStyle="1" w:styleId="HeaderCoverPage">
    <w:name w:val="Header Cover Page"/>
    <w:basedOn w:val="Normal"/>
    <w:uiPriority w:val="99"/>
    <w:pPr>
      <w:tabs>
        <w:tab w:val="center" w:pos="4535"/>
        <w:tab w:val="right" w:pos="9071"/>
      </w:tabs>
      <w:spacing w:after="120"/>
      <w:jc w:val="both"/>
    </w:pPr>
  </w:style>
  <w:style w:type="paragraph" w:styleId="TOC2">
    <w:name w:val="toc 2"/>
    <w:basedOn w:val="Normal"/>
    <w:next w:val="Normal"/>
    <w:autoRedefine/>
    <w:uiPriority w:val="39"/>
    <w:pPr>
      <w:tabs>
        <w:tab w:val="left" w:pos="720"/>
        <w:tab w:val="right" w:leader="dot" w:pos="9061"/>
      </w:tabs>
      <w:ind w:left="709" w:hanging="469"/>
    </w:pPr>
    <w:rPr>
      <w:smallCaps/>
      <w:sz w:val="20"/>
      <w:szCs w:val="20"/>
    </w:rPr>
  </w:style>
  <w:style w:type="paragraph" w:styleId="TOC3">
    <w:name w:val="toc 3"/>
    <w:basedOn w:val="Normal"/>
    <w:next w:val="Normal"/>
    <w:autoRedefine/>
    <w:uiPriority w:val="39"/>
    <w:pPr>
      <w:tabs>
        <w:tab w:val="left" w:pos="1200"/>
        <w:tab w:val="right" w:leader="dot" w:pos="9061"/>
      </w:tabs>
      <w:ind w:left="1276" w:hanging="796"/>
    </w:pPr>
    <w:rPr>
      <w:i/>
      <w:iCs/>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ListBullet">
    <w:name w:val="List Bullet"/>
    <w:basedOn w:val="Normal"/>
    <w:uiPriority w:val="99"/>
    <w:pPr>
      <w:numPr>
        <w:numId w:val="4"/>
      </w:numPr>
      <w:spacing w:before="120" w:after="120"/>
      <w:jc w:val="both"/>
    </w:pPr>
    <w:rPr>
      <w:lang w:eastAsia="de-DE"/>
    </w:rPr>
  </w:style>
  <w:style w:type="paragraph" w:customStyle="1" w:styleId="ListDash2">
    <w:name w:val="List Dash 2"/>
    <w:basedOn w:val="Normal"/>
    <w:uiPriority w:val="99"/>
    <w:pPr>
      <w:tabs>
        <w:tab w:val="num" w:pos="1134"/>
      </w:tabs>
      <w:spacing w:before="120" w:after="120"/>
      <w:ind w:left="1134" w:hanging="283"/>
      <w:jc w:val="both"/>
    </w:pPr>
    <w:rPr>
      <w:lang w:eastAsia="de-DE"/>
    </w:rPr>
  </w:style>
  <w:style w:type="paragraph" w:customStyle="1" w:styleId="ListBullet1">
    <w:name w:val="List Bullet 1"/>
    <w:basedOn w:val="Text1"/>
    <w:uiPriority w:val="99"/>
    <w:pPr>
      <w:tabs>
        <w:tab w:val="num" w:pos="765"/>
      </w:tabs>
      <w:spacing w:before="0" w:after="240"/>
      <w:ind w:left="765" w:hanging="283"/>
    </w:pPr>
    <w:rPr>
      <w:szCs w:val="20"/>
      <w:lang w:eastAsia="en-US"/>
    </w:rPr>
  </w:style>
  <w:style w:type="paragraph" w:styleId="ListBullet2">
    <w:name w:val="List Bullet 2"/>
    <w:basedOn w:val="Normal"/>
    <w:uiPriority w:val="99"/>
    <w:pPr>
      <w:numPr>
        <w:numId w:val="6"/>
      </w:numPr>
      <w:spacing w:after="240"/>
      <w:jc w:val="both"/>
    </w:pPr>
    <w:rPr>
      <w:szCs w:val="20"/>
      <w:lang w:eastAsia="en-US"/>
    </w:rPr>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Pr>
      <w:rFonts w:cs="Times New Roman"/>
      <w:color w:val="800080"/>
      <w:u w:val="single"/>
    </w:rPr>
  </w:style>
  <w:style w:type="paragraph" w:customStyle="1" w:styleId="Typedudocument">
    <w:name w:val="Type du document"/>
    <w:basedOn w:val="Normal"/>
    <w:next w:val="Titreobjet"/>
    <w:uiPriority w:val="99"/>
    <w:pPr>
      <w:spacing w:before="360"/>
      <w:jc w:val="center"/>
    </w:pPr>
    <w:rPr>
      <w:b/>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styleId="Emphasis">
    <w:name w:val="Emphasis"/>
    <w:basedOn w:val="DefaultParagraphFont"/>
    <w:uiPriority w:val="20"/>
    <w:qFormat/>
    <w:rPr>
      <w:rFonts w:cs="Times New Roman"/>
      <w:i/>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uiPriority w:val="99"/>
    <w:pPr>
      <w:spacing w:before="120" w:after="120"/>
      <w:ind w:left="850"/>
      <w:jc w:val="both"/>
    </w:pPr>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uiPriority w:val="99"/>
    <w:pPr>
      <w:numPr>
        <w:numId w:val="7"/>
      </w:numPr>
      <w:spacing w:before="120" w:after="120"/>
      <w:jc w:val="both"/>
    </w:pPr>
    <w:rPr>
      <w:lang w:eastAsia="de-DE"/>
    </w:rPr>
  </w:style>
  <w:style w:type="paragraph" w:customStyle="1" w:styleId="ListNumberLevel2">
    <w:name w:val="List Number (Level 2)"/>
    <w:basedOn w:val="Normal"/>
    <w:uiPriority w:val="99"/>
    <w:pPr>
      <w:numPr>
        <w:ilvl w:val="1"/>
        <w:numId w:val="7"/>
      </w:numPr>
      <w:spacing w:before="120" w:after="120"/>
      <w:jc w:val="both"/>
    </w:pPr>
    <w:rPr>
      <w:lang w:eastAsia="de-DE"/>
    </w:rPr>
  </w:style>
  <w:style w:type="paragraph" w:customStyle="1" w:styleId="ListNumberLevel3">
    <w:name w:val="List Number (Level 3)"/>
    <w:basedOn w:val="Normal"/>
    <w:uiPriority w:val="99"/>
    <w:pPr>
      <w:numPr>
        <w:ilvl w:val="2"/>
        <w:numId w:val="7"/>
      </w:numPr>
      <w:spacing w:before="120" w:after="120"/>
      <w:jc w:val="both"/>
    </w:pPr>
    <w:rPr>
      <w:lang w:eastAsia="de-DE"/>
    </w:rPr>
  </w:style>
  <w:style w:type="paragraph" w:customStyle="1" w:styleId="ListNumberLevel4">
    <w:name w:val="List Number (Level 4)"/>
    <w:basedOn w:val="Normal"/>
    <w:uiPriority w:val="99"/>
    <w:pPr>
      <w:numPr>
        <w:ilvl w:val="3"/>
        <w:numId w:val="7"/>
      </w:numPr>
      <w:spacing w:before="120" w:after="120"/>
      <w:jc w:val="both"/>
    </w:pPr>
    <w:rPr>
      <w:lang w:eastAsia="de-DE"/>
    </w:rPr>
  </w:style>
  <w:style w:type="character" w:customStyle="1" w:styleId="ListDashChar">
    <w:name w:val="List Dash Char"/>
    <w:link w:val="ListDash"/>
    <w:uiPriority w:val="99"/>
    <w:locked/>
    <w:rPr>
      <w:rFonts w:ascii="Times New Roman" w:eastAsia="Times New Roman" w:hAnsi="Times New Roman" w:cs="Times New Roman"/>
      <w:sz w:val="24"/>
      <w:szCs w:val="20"/>
      <w:lang w:val="de-DE" w:eastAsia="de-DE"/>
    </w:rPr>
  </w:style>
  <w:style w:type="paragraph" w:customStyle="1" w:styleId="StyleManualHeading2Italic">
    <w:name w:val="Style Manual Heading 2 + Italic"/>
    <w:basedOn w:val="ManualHeading2"/>
    <w:autoRedefine/>
    <w:uiPriority w:val="99"/>
    <w:pPr>
      <w:numPr>
        <w:numId w:val="0"/>
      </w:numPr>
      <w:spacing w:before="160" w:after="160"/>
    </w:pPr>
    <w:rPr>
      <w:bCs/>
      <w:i/>
      <w:iCs/>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Statut">
    <w:name w:val="Statut"/>
    <w:basedOn w:val="Normal"/>
    <w:next w:val="Typedudocument"/>
    <w:uiPriority w:val="99"/>
    <w:pPr>
      <w:spacing w:before="360"/>
      <w:jc w:val="center"/>
    </w:pPr>
    <w:rPr>
      <w:szCs w:val="22"/>
      <w:lang w:eastAsia="en-US"/>
    </w:rPr>
  </w:style>
  <w:style w:type="paragraph" w:customStyle="1" w:styleId="Footnoter">
    <w:name w:val="Footnote r"/>
    <w:basedOn w:val="Normal"/>
    <w:uiPriority w:val="99"/>
    <w:pPr>
      <w:shd w:val="clear" w:color="auto" w:fill="F2F8FB"/>
      <w:spacing w:before="100" w:beforeAutospacing="1" w:after="100" w:afterAutospacing="1"/>
    </w:pPr>
    <w:rPr>
      <w:szCs w:val="22"/>
    </w:rPr>
  </w:style>
  <w:style w:type="character" w:customStyle="1" w:styleId="hps">
    <w:name w:val="hps"/>
    <w:uiPriority w:val="99"/>
  </w:style>
  <w:style w:type="paragraph" w:customStyle="1" w:styleId="Point0number">
    <w:name w:val="Point 0 (number)"/>
    <w:basedOn w:val="Normal"/>
    <w:uiPriority w:val="99"/>
    <w:pPr>
      <w:numPr>
        <w:numId w:val="8"/>
      </w:numPr>
      <w:spacing w:before="120" w:after="120"/>
      <w:jc w:val="both"/>
    </w:pPr>
    <w:rPr>
      <w:szCs w:val="22"/>
    </w:rPr>
  </w:style>
  <w:style w:type="paragraph" w:customStyle="1" w:styleId="Point1number">
    <w:name w:val="Point 1 (number)"/>
    <w:basedOn w:val="Normal"/>
    <w:uiPriority w:val="99"/>
    <w:pPr>
      <w:numPr>
        <w:ilvl w:val="2"/>
        <w:numId w:val="8"/>
      </w:numPr>
      <w:spacing w:before="120" w:after="120"/>
      <w:jc w:val="both"/>
    </w:pPr>
    <w:rPr>
      <w:szCs w:val="22"/>
    </w:rPr>
  </w:style>
  <w:style w:type="paragraph" w:customStyle="1" w:styleId="Point2number">
    <w:name w:val="Point 2 (number)"/>
    <w:basedOn w:val="Normal"/>
    <w:uiPriority w:val="99"/>
    <w:pPr>
      <w:numPr>
        <w:ilvl w:val="4"/>
        <w:numId w:val="8"/>
      </w:numPr>
      <w:spacing w:before="120" w:after="120"/>
      <w:jc w:val="both"/>
    </w:pPr>
    <w:rPr>
      <w:szCs w:val="22"/>
    </w:rPr>
  </w:style>
  <w:style w:type="paragraph" w:customStyle="1" w:styleId="Point3number">
    <w:name w:val="Point 3 (number)"/>
    <w:basedOn w:val="Normal"/>
    <w:uiPriority w:val="99"/>
    <w:pPr>
      <w:numPr>
        <w:ilvl w:val="6"/>
        <w:numId w:val="8"/>
      </w:numPr>
      <w:spacing w:before="120" w:after="120"/>
      <w:jc w:val="both"/>
    </w:pPr>
    <w:rPr>
      <w:szCs w:val="22"/>
    </w:rPr>
  </w:style>
  <w:style w:type="paragraph" w:customStyle="1" w:styleId="Point0letter">
    <w:name w:val="Point 0 (letter)"/>
    <w:basedOn w:val="Normal"/>
    <w:uiPriority w:val="99"/>
    <w:pPr>
      <w:numPr>
        <w:ilvl w:val="1"/>
        <w:numId w:val="8"/>
      </w:numPr>
      <w:spacing w:before="120" w:after="120"/>
      <w:jc w:val="both"/>
    </w:pPr>
    <w:rPr>
      <w:szCs w:val="22"/>
    </w:rPr>
  </w:style>
  <w:style w:type="paragraph" w:customStyle="1" w:styleId="Point1letter">
    <w:name w:val="Point 1 (letter)"/>
    <w:basedOn w:val="Normal"/>
    <w:uiPriority w:val="99"/>
    <w:pPr>
      <w:numPr>
        <w:ilvl w:val="3"/>
        <w:numId w:val="8"/>
      </w:numPr>
      <w:spacing w:before="120" w:after="120"/>
      <w:jc w:val="both"/>
    </w:pPr>
    <w:rPr>
      <w:szCs w:val="22"/>
    </w:rPr>
  </w:style>
  <w:style w:type="paragraph" w:customStyle="1" w:styleId="Point2letter">
    <w:name w:val="Point 2 (letter)"/>
    <w:basedOn w:val="Normal"/>
    <w:uiPriority w:val="99"/>
    <w:pPr>
      <w:numPr>
        <w:ilvl w:val="5"/>
        <w:numId w:val="8"/>
      </w:numPr>
      <w:spacing w:before="120" w:after="120"/>
      <w:jc w:val="both"/>
    </w:pPr>
    <w:rPr>
      <w:szCs w:val="22"/>
    </w:rPr>
  </w:style>
  <w:style w:type="paragraph" w:customStyle="1" w:styleId="Point3letter">
    <w:name w:val="Point 3 (letter)"/>
    <w:basedOn w:val="Normal"/>
    <w:uiPriority w:val="99"/>
    <w:pPr>
      <w:numPr>
        <w:ilvl w:val="7"/>
        <w:numId w:val="8"/>
      </w:numPr>
      <w:spacing w:before="120" w:after="120"/>
      <w:jc w:val="both"/>
    </w:pPr>
    <w:rPr>
      <w:szCs w:val="22"/>
    </w:rPr>
  </w:style>
  <w:style w:type="paragraph" w:customStyle="1" w:styleId="Point4letter">
    <w:name w:val="Point 4 (letter)"/>
    <w:basedOn w:val="Normal"/>
    <w:uiPriority w:val="99"/>
    <w:pPr>
      <w:numPr>
        <w:ilvl w:val="8"/>
        <w:numId w:val="8"/>
      </w:numPr>
      <w:spacing w:before="120" w:after="120"/>
      <w:jc w:val="both"/>
    </w:pPr>
    <w:rPr>
      <w:szCs w:val="22"/>
    </w:rPr>
  </w:style>
  <w:style w:type="paragraph" w:customStyle="1" w:styleId="Tiret2">
    <w:name w:val="Tiret 2"/>
    <w:basedOn w:val="Normal"/>
    <w:uiPriority w:val="99"/>
    <w:pPr>
      <w:numPr>
        <w:numId w:val="9"/>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
    <w:basedOn w:val="Normal"/>
    <w:link w:val="ListParagraphChar"/>
    <w:uiPriority w:val="34"/>
    <w:qFormat/>
    <w:pPr>
      <w:spacing w:after="200" w:line="276" w:lineRule="auto"/>
      <w:ind w:left="720"/>
      <w:contextualSpacing/>
    </w:pPr>
    <w:rPr>
      <w:rFonts w:ascii="Calibri" w:eastAsia="MS Mincho" w:hAnsi="Calibri"/>
      <w:sz w:val="22"/>
      <w:szCs w:val="20"/>
      <w:lang w:val="de-DE" w:eastAsia="de-D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99"/>
    <w:locked/>
    <w:rPr>
      <w:rFonts w:ascii="Calibri" w:eastAsia="MS Mincho" w:hAnsi="Calibri" w:cs="Times New Roman"/>
      <w:szCs w:val="20"/>
      <w:lang w:val="de-DE" w:eastAsia="de-DE"/>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lang w:val="de-DE" w:eastAsia="de-DE"/>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de-DE" w:eastAsia="de-DE"/>
    </w:rPr>
  </w:style>
  <w:style w:type="paragraph" w:styleId="ListNumber5">
    <w:name w:val="List Number 5"/>
    <w:basedOn w:val="Normal"/>
    <w:uiPriority w:val="99"/>
    <w:pPr>
      <w:numPr>
        <w:numId w:val="1"/>
      </w:numPr>
      <w:tabs>
        <w:tab w:val="clear" w:pos="360"/>
        <w:tab w:val="num" w:pos="1492"/>
      </w:tabs>
      <w:ind w:left="1492"/>
      <w:contextualSpacing/>
    </w:pPr>
  </w:style>
  <w:style w:type="character" w:styleId="Strong">
    <w:name w:val="Strong"/>
    <w:basedOn w:val="DefaultParagraphFont"/>
    <w:uiPriority w:val="99"/>
    <w:qFormat/>
    <w:rPr>
      <w:rFonts w:cs="Times New Roman"/>
      <w:b/>
      <w:bCs/>
    </w:rPr>
  </w:style>
  <w:style w:type="paragraph" w:styleId="ListBullet3">
    <w:name w:val="List Bullet 3"/>
    <w:basedOn w:val="Normal"/>
    <w:uiPriority w:val="99"/>
    <w:pPr>
      <w:numPr>
        <w:numId w:val="2"/>
      </w:numPr>
      <w:tabs>
        <w:tab w:val="clear" w:pos="643"/>
        <w:tab w:val="num" w:pos="926"/>
      </w:tabs>
      <w:spacing w:before="120" w:after="120"/>
      <w:ind w:left="926"/>
      <w:contextualSpacing/>
      <w:jc w:val="both"/>
    </w:pPr>
    <w:rPr>
      <w:szCs w:val="22"/>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ManualHeading3">
    <w:name w:val="Manual Heading 3"/>
    <w:basedOn w:val="Normal"/>
    <w:next w:val="Normal"/>
    <w:uiPriority w:val="99"/>
    <w:pPr>
      <w:keepNext/>
      <w:tabs>
        <w:tab w:val="left" w:pos="850"/>
      </w:tabs>
      <w:spacing w:before="120" w:after="120"/>
      <w:ind w:left="850" w:hanging="850"/>
      <w:jc w:val="both"/>
      <w:outlineLvl w:val="2"/>
    </w:pPr>
    <w:rPr>
      <w:i/>
      <w:lang w:eastAsia="en-US"/>
    </w:rPr>
  </w:style>
  <w:style w:type="paragraph" w:customStyle="1" w:styleId="Style1">
    <w:name w:val="Style1"/>
    <w:basedOn w:val="ManualHeading1"/>
    <w:autoRedefine/>
    <w:qFormat/>
    <w:pPr>
      <w:ind w:left="720" w:hanging="360"/>
    </w:pPr>
    <w:rPr>
      <w:noProof/>
    </w:rPr>
  </w:style>
  <w:style w:type="paragraph" w:customStyle="1" w:styleId="Style2">
    <w:name w:val="Style2"/>
    <w:basedOn w:val="ManualHeading2"/>
    <w:autoRedefine/>
    <w:qFormat/>
    <w:pPr>
      <w:numPr>
        <w:ilvl w:val="1"/>
        <w:numId w:val="13"/>
      </w:numPr>
    </w:pPr>
  </w:style>
  <w:style w:type="paragraph" w:customStyle="1" w:styleId="Style3">
    <w:name w:val="Style3"/>
    <w:basedOn w:val="ManualHeading1"/>
    <w:autoRedefine/>
    <w:qFormat/>
    <w:pPr>
      <w:numPr>
        <w:numId w:val="12"/>
      </w:numPr>
    </w:pPr>
    <w:rPr>
      <w:noProof/>
    </w:rPr>
  </w:style>
  <w:style w:type="paragraph" w:customStyle="1" w:styleId="CM1">
    <w:name w:val="CM1"/>
    <w:basedOn w:val="Default"/>
    <w:next w:val="Default"/>
    <w:uiPriority w:val="99"/>
    <w:rPr>
      <w:rFonts w:ascii="KOJOD P+ Adv T T 5843c 571" w:hAnsi="KOJOD P+ Adv T T 5843c 571"/>
      <w:color w:val="auto"/>
      <w:lang w:eastAsia="de-DE"/>
    </w:rPr>
  </w:style>
  <w:style w:type="paragraph" w:customStyle="1" w:styleId="CM3">
    <w:name w:val="CM3"/>
    <w:basedOn w:val="Default"/>
    <w:next w:val="Default"/>
    <w:uiPriority w:val="99"/>
    <w:rPr>
      <w:rFonts w:ascii="KOJOD P+ Adv T T 5843c 571" w:hAnsi="KOJOD P+ Adv T T 5843c 571"/>
      <w:color w:val="auto"/>
      <w:lang w:eastAsia="de-DE"/>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st">
    <w:name w:val="s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9"/>
    <w:qFormat/>
    <w:pPr>
      <w:keepNext/>
      <w:spacing w:before="240" w:after="12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uiPriority w:val="99"/>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9"/>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9"/>
    <w:rPr>
      <w:rFonts w:ascii="Arial" w:eastAsia="Times New Roman" w:hAnsi="Arial" w:cs="Arial"/>
      <w:b/>
      <w:bCs/>
      <w:i/>
      <w:sz w:val="26"/>
      <w:szCs w:val="26"/>
      <w:lang w:eastAsia="en-GB"/>
    </w:rPr>
  </w:style>
  <w:style w:type="character" w:customStyle="1" w:styleId="Heading4Char">
    <w:name w:val="Heading 4 Char"/>
    <w:basedOn w:val="DefaultParagraphFont"/>
    <w:link w:val="Heading4"/>
    <w:uiPriority w:val="99"/>
    <w:rPr>
      <w:rFonts w:ascii="Times New Roman" w:eastAsia="Times New Roman" w:hAnsi="Times New Roman" w:cs="Times New Roman"/>
      <w:b/>
      <w:bCs/>
      <w:sz w:val="24"/>
      <w:szCs w:val="28"/>
      <w:lang w:eastAsia="de-DE"/>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pPr>
      <w:ind w:left="720" w:hanging="720"/>
      <w:jc w:val="both"/>
    </w:pPr>
    <w:rPr>
      <w:sz w:val="20"/>
      <w:szCs w:val="20"/>
      <w:lang w:val="de-DE"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de-DE"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basedOn w:val="DefaultParagraphFont"/>
    <w:uiPriority w:val="99"/>
    <w:rPr>
      <w:rFonts w:cs="Times New Roman"/>
      <w:vertAlign w:val="superscript"/>
    </w:rPr>
  </w:style>
  <w:style w:type="paragraph" w:customStyle="1" w:styleId="Text1">
    <w:name w:val="Text 1"/>
    <w:basedOn w:val="Normal"/>
    <w:uiPriority w:val="99"/>
    <w:pPr>
      <w:spacing w:before="120" w:after="120"/>
      <w:ind w:left="850"/>
      <w:jc w:val="both"/>
    </w:pPr>
    <w:rPr>
      <w:lang w:eastAsia="de-DE"/>
    </w:rPr>
  </w:style>
  <w:style w:type="paragraph" w:customStyle="1" w:styleId="Tiret0">
    <w:name w:val="Tiret 0"/>
    <w:basedOn w:val="Normal"/>
    <w:uiPriority w:val="99"/>
    <w:pPr>
      <w:numPr>
        <w:numId w:val="3"/>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numPr>
        <w:numId w:val="5"/>
      </w:numPr>
      <w:spacing w:before="360" w:after="120"/>
      <w:jc w:val="both"/>
      <w:outlineLvl w:val="1"/>
    </w:pPr>
    <w:rPr>
      <w:b/>
      <w:noProof/>
      <w:lang w:eastAsia="en-US"/>
    </w:rPr>
  </w:style>
  <w:style w:type="paragraph" w:customStyle="1" w:styleId="ListDash">
    <w:name w:val="List Dash"/>
    <w:basedOn w:val="Normal"/>
    <w:link w:val="ListDashChar"/>
    <w:uiPriority w:val="99"/>
    <w:pPr>
      <w:spacing w:before="120" w:after="120"/>
      <w:jc w:val="both"/>
    </w:pPr>
    <w:rPr>
      <w:szCs w:val="20"/>
      <w:lang w:val="de-DE" w:eastAsia="de-DE"/>
    </w:rPr>
  </w:style>
  <w:style w:type="paragraph" w:styleId="TOCHeading">
    <w:name w:val="TOC Heading"/>
    <w:basedOn w:val="Normal"/>
    <w:next w:val="Normal"/>
    <w:uiPriority w:val="99"/>
    <w:qFormat/>
    <w:pPr>
      <w:spacing w:before="120" w:after="240"/>
      <w:jc w:val="center"/>
    </w:pPr>
    <w:rPr>
      <w:b/>
      <w:sz w:val="28"/>
      <w:lang w:eastAsia="de-DE"/>
    </w:rPr>
  </w:style>
  <w:style w:type="paragraph" w:customStyle="1" w:styleId="Prliminairetitre">
    <w:name w:val="Préliminaire titre"/>
    <w:basedOn w:val="Normal"/>
    <w:next w:val="Normal"/>
    <w:uiPriority w:val="99"/>
    <w:pPr>
      <w:spacing w:before="360" w:after="360"/>
      <w:jc w:val="center"/>
    </w:pPr>
    <w:rPr>
      <w:b/>
      <w:lang w:eastAsia="de-DE"/>
    </w:rPr>
  </w:style>
  <w:style w:type="paragraph" w:customStyle="1" w:styleId="Prliminairetype">
    <w:name w:val="Préliminaire type"/>
    <w:basedOn w:val="Normal"/>
    <w:next w:val="Normal"/>
    <w:uiPriority w:val="99"/>
    <w:pPr>
      <w:spacing w:before="360"/>
      <w:jc w:val="center"/>
    </w:pPr>
    <w:rPr>
      <w:b/>
      <w:lang w:eastAsia="de-DE"/>
    </w:rPr>
  </w:style>
  <w:style w:type="character" w:styleId="Hyperlink">
    <w:name w:val="Hyperlink"/>
    <w:basedOn w:val="DefaultParagraphFont"/>
    <w:uiPriority w:val="99"/>
    <w:rPr>
      <w:rFonts w:cs="Times New Roman"/>
      <w:color w:val="0000FF"/>
      <w:u w:val="single"/>
    </w:rPr>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uiPriority w:val="99"/>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uiPriority w:val="99"/>
    <w:pPr>
      <w:tabs>
        <w:tab w:val="center" w:pos="4535"/>
        <w:tab w:val="right" w:pos="9071"/>
        <w:tab w:val="right" w:pos="9921"/>
      </w:tabs>
      <w:spacing w:before="360"/>
      <w:ind w:left="-850" w:right="-850"/>
    </w:pPr>
  </w:style>
  <w:style w:type="paragraph" w:customStyle="1" w:styleId="HeaderCoverPage">
    <w:name w:val="Header Cover Page"/>
    <w:basedOn w:val="Normal"/>
    <w:uiPriority w:val="99"/>
    <w:pPr>
      <w:tabs>
        <w:tab w:val="center" w:pos="4535"/>
        <w:tab w:val="right" w:pos="9071"/>
      </w:tabs>
      <w:spacing w:after="120"/>
      <w:jc w:val="both"/>
    </w:pPr>
  </w:style>
  <w:style w:type="paragraph" w:styleId="TOC2">
    <w:name w:val="toc 2"/>
    <w:basedOn w:val="Normal"/>
    <w:next w:val="Normal"/>
    <w:autoRedefine/>
    <w:uiPriority w:val="39"/>
    <w:pPr>
      <w:tabs>
        <w:tab w:val="left" w:pos="720"/>
        <w:tab w:val="right" w:leader="dot" w:pos="9061"/>
      </w:tabs>
      <w:ind w:left="709" w:hanging="469"/>
    </w:pPr>
    <w:rPr>
      <w:smallCaps/>
      <w:sz w:val="20"/>
      <w:szCs w:val="20"/>
    </w:rPr>
  </w:style>
  <w:style w:type="paragraph" w:styleId="TOC3">
    <w:name w:val="toc 3"/>
    <w:basedOn w:val="Normal"/>
    <w:next w:val="Normal"/>
    <w:autoRedefine/>
    <w:uiPriority w:val="39"/>
    <w:pPr>
      <w:tabs>
        <w:tab w:val="left" w:pos="1200"/>
        <w:tab w:val="right" w:leader="dot" w:pos="9061"/>
      </w:tabs>
      <w:ind w:left="1276" w:hanging="796"/>
    </w:pPr>
    <w:rPr>
      <w:i/>
      <w:iCs/>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ListBullet">
    <w:name w:val="List Bullet"/>
    <w:basedOn w:val="Normal"/>
    <w:uiPriority w:val="99"/>
    <w:pPr>
      <w:numPr>
        <w:numId w:val="4"/>
      </w:numPr>
      <w:spacing w:before="120" w:after="120"/>
      <w:jc w:val="both"/>
    </w:pPr>
    <w:rPr>
      <w:lang w:eastAsia="de-DE"/>
    </w:rPr>
  </w:style>
  <w:style w:type="paragraph" w:customStyle="1" w:styleId="ListDash2">
    <w:name w:val="List Dash 2"/>
    <w:basedOn w:val="Normal"/>
    <w:uiPriority w:val="99"/>
    <w:pPr>
      <w:tabs>
        <w:tab w:val="num" w:pos="1134"/>
      </w:tabs>
      <w:spacing w:before="120" w:after="120"/>
      <w:ind w:left="1134" w:hanging="283"/>
      <w:jc w:val="both"/>
    </w:pPr>
    <w:rPr>
      <w:lang w:eastAsia="de-DE"/>
    </w:rPr>
  </w:style>
  <w:style w:type="paragraph" w:customStyle="1" w:styleId="ListBullet1">
    <w:name w:val="List Bullet 1"/>
    <w:basedOn w:val="Text1"/>
    <w:uiPriority w:val="99"/>
    <w:pPr>
      <w:tabs>
        <w:tab w:val="num" w:pos="765"/>
      </w:tabs>
      <w:spacing w:before="0" w:after="240"/>
      <w:ind w:left="765" w:hanging="283"/>
    </w:pPr>
    <w:rPr>
      <w:szCs w:val="20"/>
      <w:lang w:eastAsia="en-US"/>
    </w:rPr>
  </w:style>
  <w:style w:type="paragraph" w:styleId="ListBullet2">
    <w:name w:val="List Bullet 2"/>
    <w:basedOn w:val="Normal"/>
    <w:uiPriority w:val="99"/>
    <w:pPr>
      <w:numPr>
        <w:numId w:val="6"/>
      </w:numPr>
      <w:spacing w:after="240"/>
      <w:jc w:val="both"/>
    </w:pPr>
    <w:rPr>
      <w:szCs w:val="20"/>
      <w:lang w:eastAsia="en-US"/>
    </w:rPr>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Pr>
      <w:rFonts w:cs="Times New Roman"/>
      <w:color w:val="800080"/>
      <w:u w:val="single"/>
    </w:rPr>
  </w:style>
  <w:style w:type="paragraph" w:customStyle="1" w:styleId="Typedudocument">
    <w:name w:val="Type du document"/>
    <w:basedOn w:val="Normal"/>
    <w:next w:val="Titreobjet"/>
    <w:uiPriority w:val="99"/>
    <w:pPr>
      <w:spacing w:before="360"/>
      <w:jc w:val="center"/>
    </w:pPr>
    <w:rPr>
      <w:b/>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styleId="Emphasis">
    <w:name w:val="Emphasis"/>
    <w:basedOn w:val="DefaultParagraphFont"/>
    <w:uiPriority w:val="20"/>
    <w:qFormat/>
    <w:rPr>
      <w:rFonts w:cs="Times New Roman"/>
      <w:i/>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uiPriority w:val="99"/>
    <w:pPr>
      <w:spacing w:before="120" w:after="120"/>
      <w:ind w:left="850"/>
      <w:jc w:val="both"/>
    </w:pPr>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uiPriority w:val="99"/>
    <w:pPr>
      <w:numPr>
        <w:numId w:val="7"/>
      </w:numPr>
      <w:spacing w:before="120" w:after="120"/>
      <w:jc w:val="both"/>
    </w:pPr>
    <w:rPr>
      <w:lang w:eastAsia="de-DE"/>
    </w:rPr>
  </w:style>
  <w:style w:type="paragraph" w:customStyle="1" w:styleId="ListNumberLevel2">
    <w:name w:val="List Number (Level 2)"/>
    <w:basedOn w:val="Normal"/>
    <w:uiPriority w:val="99"/>
    <w:pPr>
      <w:numPr>
        <w:ilvl w:val="1"/>
        <w:numId w:val="7"/>
      </w:numPr>
      <w:spacing w:before="120" w:after="120"/>
      <w:jc w:val="both"/>
    </w:pPr>
    <w:rPr>
      <w:lang w:eastAsia="de-DE"/>
    </w:rPr>
  </w:style>
  <w:style w:type="paragraph" w:customStyle="1" w:styleId="ListNumberLevel3">
    <w:name w:val="List Number (Level 3)"/>
    <w:basedOn w:val="Normal"/>
    <w:uiPriority w:val="99"/>
    <w:pPr>
      <w:numPr>
        <w:ilvl w:val="2"/>
        <w:numId w:val="7"/>
      </w:numPr>
      <w:spacing w:before="120" w:after="120"/>
      <w:jc w:val="both"/>
    </w:pPr>
    <w:rPr>
      <w:lang w:eastAsia="de-DE"/>
    </w:rPr>
  </w:style>
  <w:style w:type="paragraph" w:customStyle="1" w:styleId="ListNumberLevel4">
    <w:name w:val="List Number (Level 4)"/>
    <w:basedOn w:val="Normal"/>
    <w:uiPriority w:val="99"/>
    <w:pPr>
      <w:numPr>
        <w:ilvl w:val="3"/>
        <w:numId w:val="7"/>
      </w:numPr>
      <w:spacing w:before="120" w:after="120"/>
      <w:jc w:val="both"/>
    </w:pPr>
    <w:rPr>
      <w:lang w:eastAsia="de-DE"/>
    </w:rPr>
  </w:style>
  <w:style w:type="character" w:customStyle="1" w:styleId="ListDashChar">
    <w:name w:val="List Dash Char"/>
    <w:link w:val="ListDash"/>
    <w:uiPriority w:val="99"/>
    <w:locked/>
    <w:rPr>
      <w:rFonts w:ascii="Times New Roman" w:eastAsia="Times New Roman" w:hAnsi="Times New Roman" w:cs="Times New Roman"/>
      <w:sz w:val="24"/>
      <w:szCs w:val="20"/>
      <w:lang w:val="de-DE" w:eastAsia="de-DE"/>
    </w:rPr>
  </w:style>
  <w:style w:type="paragraph" w:customStyle="1" w:styleId="StyleManualHeading2Italic">
    <w:name w:val="Style Manual Heading 2 + Italic"/>
    <w:basedOn w:val="ManualHeading2"/>
    <w:autoRedefine/>
    <w:uiPriority w:val="99"/>
    <w:pPr>
      <w:numPr>
        <w:numId w:val="0"/>
      </w:numPr>
      <w:spacing w:before="160" w:after="160"/>
    </w:pPr>
    <w:rPr>
      <w:bCs/>
      <w:i/>
      <w:iCs/>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Statut">
    <w:name w:val="Statut"/>
    <w:basedOn w:val="Normal"/>
    <w:next w:val="Typedudocument"/>
    <w:uiPriority w:val="99"/>
    <w:pPr>
      <w:spacing w:before="360"/>
      <w:jc w:val="center"/>
    </w:pPr>
    <w:rPr>
      <w:szCs w:val="22"/>
      <w:lang w:eastAsia="en-US"/>
    </w:rPr>
  </w:style>
  <w:style w:type="paragraph" w:customStyle="1" w:styleId="Footnoter">
    <w:name w:val="Footnote r"/>
    <w:basedOn w:val="Normal"/>
    <w:uiPriority w:val="99"/>
    <w:pPr>
      <w:shd w:val="clear" w:color="auto" w:fill="F2F8FB"/>
      <w:spacing w:before="100" w:beforeAutospacing="1" w:after="100" w:afterAutospacing="1"/>
    </w:pPr>
    <w:rPr>
      <w:szCs w:val="22"/>
    </w:rPr>
  </w:style>
  <w:style w:type="character" w:customStyle="1" w:styleId="hps">
    <w:name w:val="hps"/>
    <w:uiPriority w:val="99"/>
  </w:style>
  <w:style w:type="paragraph" w:customStyle="1" w:styleId="Point0number">
    <w:name w:val="Point 0 (number)"/>
    <w:basedOn w:val="Normal"/>
    <w:uiPriority w:val="99"/>
    <w:pPr>
      <w:numPr>
        <w:numId w:val="8"/>
      </w:numPr>
      <w:spacing w:before="120" w:after="120"/>
      <w:jc w:val="both"/>
    </w:pPr>
    <w:rPr>
      <w:szCs w:val="22"/>
    </w:rPr>
  </w:style>
  <w:style w:type="paragraph" w:customStyle="1" w:styleId="Point1number">
    <w:name w:val="Point 1 (number)"/>
    <w:basedOn w:val="Normal"/>
    <w:uiPriority w:val="99"/>
    <w:pPr>
      <w:numPr>
        <w:ilvl w:val="2"/>
        <w:numId w:val="8"/>
      </w:numPr>
      <w:spacing w:before="120" w:after="120"/>
      <w:jc w:val="both"/>
    </w:pPr>
    <w:rPr>
      <w:szCs w:val="22"/>
    </w:rPr>
  </w:style>
  <w:style w:type="paragraph" w:customStyle="1" w:styleId="Point2number">
    <w:name w:val="Point 2 (number)"/>
    <w:basedOn w:val="Normal"/>
    <w:uiPriority w:val="99"/>
    <w:pPr>
      <w:numPr>
        <w:ilvl w:val="4"/>
        <w:numId w:val="8"/>
      </w:numPr>
      <w:spacing w:before="120" w:after="120"/>
      <w:jc w:val="both"/>
    </w:pPr>
    <w:rPr>
      <w:szCs w:val="22"/>
    </w:rPr>
  </w:style>
  <w:style w:type="paragraph" w:customStyle="1" w:styleId="Point3number">
    <w:name w:val="Point 3 (number)"/>
    <w:basedOn w:val="Normal"/>
    <w:uiPriority w:val="99"/>
    <w:pPr>
      <w:numPr>
        <w:ilvl w:val="6"/>
        <w:numId w:val="8"/>
      </w:numPr>
      <w:spacing w:before="120" w:after="120"/>
      <w:jc w:val="both"/>
    </w:pPr>
    <w:rPr>
      <w:szCs w:val="22"/>
    </w:rPr>
  </w:style>
  <w:style w:type="paragraph" w:customStyle="1" w:styleId="Point0letter">
    <w:name w:val="Point 0 (letter)"/>
    <w:basedOn w:val="Normal"/>
    <w:uiPriority w:val="99"/>
    <w:pPr>
      <w:numPr>
        <w:ilvl w:val="1"/>
        <w:numId w:val="8"/>
      </w:numPr>
      <w:spacing w:before="120" w:after="120"/>
      <w:jc w:val="both"/>
    </w:pPr>
    <w:rPr>
      <w:szCs w:val="22"/>
    </w:rPr>
  </w:style>
  <w:style w:type="paragraph" w:customStyle="1" w:styleId="Point1letter">
    <w:name w:val="Point 1 (letter)"/>
    <w:basedOn w:val="Normal"/>
    <w:uiPriority w:val="99"/>
    <w:pPr>
      <w:numPr>
        <w:ilvl w:val="3"/>
        <w:numId w:val="8"/>
      </w:numPr>
      <w:spacing w:before="120" w:after="120"/>
      <w:jc w:val="both"/>
    </w:pPr>
    <w:rPr>
      <w:szCs w:val="22"/>
    </w:rPr>
  </w:style>
  <w:style w:type="paragraph" w:customStyle="1" w:styleId="Point2letter">
    <w:name w:val="Point 2 (letter)"/>
    <w:basedOn w:val="Normal"/>
    <w:uiPriority w:val="99"/>
    <w:pPr>
      <w:numPr>
        <w:ilvl w:val="5"/>
        <w:numId w:val="8"/>
      </w:numPr>
      <w:spacing w:before="120" w:after="120"/>
      <w:jc w:val="both"/>
    </w:pPr>
    <w:rPr>
      <w:szCs w:val="22"/>
    </w:rPr>
  </w:style>
  <w:style w:type="paragraph" w:customStyle="1" w:styleId="Point3letter">
    <w:name w:val="Point 3 (letter)"/>
    <w:basedOn w:val="Normal"/>
    <w:uiPriority w:val="99"/>
    <w:pPr>
      <w:numPr>
        <w:ilvl w:val="7"/>
        <w:numId w:val="8"/>
      </w:numPr>
      <w:spacing w:before="120" w:after="120"/>
      <w:jc w:val="both"/>
    </w:pPr>
    <w:rPr>
      <w:szCs w:val="22"/>
    </w:rPr>
  </w:style>
  <w:style w:type="paragraph" w:customStyle="1" w:styleId="Point4letter">
    <w:name w:val="Point 4 (letter)"/>
    <w:basedOn w:val="Normal"/>
    <w:uiPriority w:val="99"/>
    <w:pPr>
      <w:numPr>
        <w:ilvl w:val="8"/>
        <w:numId w:val="8"/>
      </w:numPr>
      <w:spacing w:before="120" w:after="120"/>
      <w:jc w:val="both"/>
    </w:pPr>
    <w:rPr>
      <w:szCs w:val="22"/>
    </w:rPr>
  </w:style>
  <w:style w:type="paragraph" w:customStyle="1" w:styleId="Tiret2">
    <w:name w:val="Tiret 2"/>
    <w:basedOn w:val="Normal"/>
    <w:uiPriority w:val="99"/>
    <w:pPr>
      <w:numPr>
        <w:numId w:val="9"/>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
    <w:basedOn w:val="Normal"/>
    <w:link w:val="ListParagraphChar"/>
    <w:uiPriority w:val="34"/>
    <w:qFormat/>
    <w:pPr>
      <w:spacing w:after="200" w:line="276" w:lineRule="auto"/>
      <w:ind w:left="720"/>
      <w:contextualSpacing/>
    </w:pPr>
    <w:rPr>
      <w:rFonts w:ascii="Calibri" w:eastAsia="MS Mincho" w:hAnsi="Calibri"/>
      <w:sz w:val="22"/>
      <w:szCs w:val="20"/>
      <w:lang w:val="de-DE" w:eastAsia="de-D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99"/>
    <w:locked/>
    <w:rPr>
      <w:rFonts w:ascii="Calibri" w:eastAsia="MS Mincho" w:hAnsi="Calibri" w:cs="Times New Roman"/>
      <w:szCs w:val="20"/>
      <w:lang w:val="de-DE" w:eastAsia="de-DE"/>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lang w:val="de-DE" w:eastAsia="de-DE"/>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de-DE" w:eastAsia="de-DE"/>
    </w:rPr>
  </w:style>
  <w:style w:type="paragraph" w:styleId="ListNumber5">
    <w:name w:val="List Number 5"/>
    <w:basedOn w:val="Normal"/>
    <w:uiPriority w:val="99"/>
    <w:pPr>
      <w:numPr>
        <w:numId w:val="1"/>
      </w:numPr>
      <w:tabs>
        <w:tab w:val="clear" w:pos="360"/>
        <w:tab w:val="num" w:pos="1492"/>
      </w:tabs>
      <w:ind w:left="1492"/>
      <w:contextualSpacing/>
    </w:pPr>
  </w:style>
  <w:style w:type="character" w:styleId="Strong">
    <w:name w:val="Strong"/>
    <w:basedOn w:val="DefaultParagraphFont"/>
    <w:uiPriority w:val="99"/>
    <w:qFormat/>
    <w:rPr>
      <w:rFonts w:cs="Times New Roman"/>
      <w:b/>
      <w:bCs/>
    </w:rPr>
  </w:style>
  <w:style w:type="paragraph" w:styleId="ListBullet3">
    <w:name w:val="List Bullet 3"/>
    <w:basedOn w:val="Normal"/>
    <w:uiPriority w:val="99"/>
    <w:pPr>
      <w:numPr>
        <w:numId w:val="2"/>
      </w:numPr>
      <w:tabs>
        <w:tab w:val="clear" w:pos="643"/>
        <w:tab w:val="num" w:pos="926"/>
      </w:tabs>
      <w:spacing w:before="120" w:after="120"/>
      <w:ind w:left="926"/>
      <w:contextualSpacing/>
      <w:jc w:val="both"/>
    </w:pPr>
    <w:rPr>
      <w:szCs w:val="22"/>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ManualHeading3">
    <w:name w:val="Manual Heading 3"/>
    <w:basedOn w:val="Normal"/>
    <w:next w:val="Normal"/>
    <w:uiPriority w:val="99"/>
    <w:pPr>
      <w:keepNext/>
      <w:tabs>
        <w:tab w:val="left" w:pos="850"/>
      </w:tabs>
      <w:spacing w:before="120" w:after="120"/>
      <w:ind w:left="850" w:hanging="850"/>
      <w:jc w:val="both"/>
      <w:outlineLvl w:val="2"/>
    </w:pPr>
    <w:rPr>
      <w:i/>
      <w:lang w:eastAsia="en-US"/>
    </w:rPr>
  </w:style>
  <w:style w:type="paragraph" w:customStyle="1" w:styleId="Style1">
    <w:name w:val="Style1"/>
    <w:basedOn w:val="ManualHeading1"/>
    <w:autoRedefine/>
    <w:qFormat/>
    <w:pPr>
      <w:ind w:left="720" w:hanging="360"/>
    </w:pPr>
    <w:rPr>
      <w:noProof/>
    </w:rPr>
  </w:style>
  <w:style w:type="paragraph" w:customStyle="1" w:styleId="Style2">
    <w:name w:val="Style2"/>
    <w:basedOn w:val="ManualHeading2"/>
    <w:autoRedefine/>
    <w:qFormat/>
    <w:pPr>
      <w:numPr>
        <w:ilvl w:val="1"/>
        <w:numId w:val="13"/>
      </w:numPr>
    </w:pPr>
  </w:style>
  <w:style w:type="paragraph" w:customStyle="1" w:styleId="Style3">
    <w:name w:val="Style3"/>
    <w:basedOn w:val="ManualHeading1"/>
    <w:autoRedefine/>
    <w:qFormat/>
    <w:pPr>
      <w:numPr>
        <w:numId w:val="12"/>
      </w:numPr>
    </w:pPr>
    <w:rPr>
      <w:noProof/>
    </w:rPr>
  </w:style>
  <w:style w:type="paragraph" w:customStyle="1" w:styleId="CM1">
    <w:name w:val="CM1"/>
    <w:basedOn w:val="Default"/>
    <w:next w:val="Default"/>
    <w:uiPriority w:val="99"/>
    <w:rPr>
      <w:rFonts w:ascii="KOJOD P+ Adv T T 5843c 571" w:hAnsi="KOJOD P+ Adv T T 5843c 571"/>
      <w:color w:val="auto"/>
      <w:lang w:eastAsia="de-DE"/>
    </w:rPr>
  </w:style>
  <w:style w:type="paragraph" w:customStyle="1" w:styleId="CM3">
    <w:name w:val="CM3"/>
    <w:basedOn w:val="Default"/>
    <w:next w:val="Default"/>
    <w:uiPriority w:val="99"/>
    <w:rPr>
      <w:rFonts w:ascii="KOJOD P+ Adv T T 5843c 571" w:hAnsi="KOJOD P+ Adv T T 5843c 571"/>
      <w:color w:val="auto"/>
      <w:lang w:eastAsia="de-DE"/>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9442">
      <w:bodyDiv w:val="1"/>
      <w:marLeft w:val="0"/>
      <w:marRight w:val="0"/>
      <w:marTop w:val="0"/>
      <w:marBottom w:val="0"/>
      <w:divBdr>
        <w:top w:val="none" w:sz="0" w:space="0" w:color="auto"/>
        <w:left w:val="none" w:sz="0" w:space="0" w:color="auto"/>
        <w:bottom w:val="none" w:sz="0" w:space="0" w:color="auto"/>
        <w:right w:val="none" w:sz="0" w:space="0" w:color="auto"/>
      </w:divBdr>
    </w:div>
    <w:div w:id="172570039">
      <w:bodyDiv w:val="1"/>
      <w:marLeft w:val="0"/>
      <w:marRight w:val="0"/>
      <w:marTop w:val="0"/>
      <w:marBottom w:val="0"/>
      <w:divBdr>
        <w:top w:val="none" w:sz="0" w:space="0" w:color="auto"/>
        <w:left w:val="none" w:sz="0" w:space="0" w:color="auto"/>
        <w:bottom w:val="none" w:sz="0" w:space="0" w:color="auto"/>
        <w:right w:val="none" w:sz="0" w:space="0" w:color="auto"/>
      </w:divBdr>
    </w:div>
    <w:div w:id="883835045">
      <w:bodyDiv w:val="1"/>
      <w:marLeft w:val="0"/>
      <w:marRight w:val="0"/>
      <w:marTop w:val="0"/>
      <w:marBottom w:val="0"/>
      <w:divBdr>
        <w:top w:val="none" w:sz="0" w:space="0" w:color="auto"/>
        <w:left w:val="none" w:sz="0" w:space="0" w:color="auto"/>
        <w:bottom w:val="none" w:sz="0" w:space="0" w:color="auto"/>
        <w:right w:val="none" w:sz="0" w:space="0" w:color="auto"/>
      </w:divBdr>
    </w:div>
    <w:div w:id="1191987678">
      <w:bodyDiv w:val="1"/>
      <w:marLeft w:val="0"/>
      <w:marRight w:val="0"/>
      <w:marTop w:val="0"/>
      <w:marBottom w:val="0"/>
      <w:divBdr>
        <w:top w:val="none" w:sz="0" w:space="0" w:color="auto"/>
        <w:left w:val="none" w:sz="0" w:space="0" w:color="auto"/>
        <w:bottom w:val="none" w:sz="0" w:space="0" w:color="auto"/>
        <w:right w:val="none" w:sz="0" w:space="0" w:color="auto"/>
      </w:divBdr>
    </w:div>
    <w:div w:id="1485122562">
      <w:bodyDiv w:val="1"/>
      <w:marLeft w:val="0"/>
      <w:marRight w:val="0"/>
      <w:marTop w:val="0"/>
      <w:marBottom w:val="0"/>
      <w:divBdr>
        <w:top w:val="none" w:sz="0" w:space="0" w:color="auto"/>
        <w:left w:val="none" w:sz="0" w:space="0" w:color="auto"/>
        <w:bottom w:val="none" w:sz="0" w:space="0" w:color="auto"/>
        <w:right w:val="none" w:sz="0" w:space="0" w:color="auto"/>
      </w:divBdr>
    </w:div>
    <w:div w:id="1498888538">
      <w:bodyDiv w:val="1"/>
      <w:marLeft w:val="0"/>
      <w:marRight w:val="0"/>
      <w:marTop w:val="0"/>
      <w:marBottom w:val="0"/>
      <w:divBdr>
        <w:top w:val="none" w:sz="0" w:space="0" w:color="auto"/>
        <w:left w:val="none" w:sz="0" w:space="0" w:color="auto"/>
        <w:bottom w:val="none" w:sz="0" w:space="0" w:color="auto"/>
        <w:right w:val="none" w:sz="0" w:space="0" w:color="auto"/>
      </w:divBdr>
    </w:div>
    <w:div w:id="1687826205">
      <w:bodyDiv w:val="1"/>
      <w:marLeft w:val="0"/>
      <w:marRight w:val="0"/>
      <w:marTop w:val="0"/>
      <w:marBottom w:val="0"/>
      <w:divBdr>
        <w:top w:val="none" w:sz="0" w:space="0" w:color="auto"/>
        <w:left w:val="none" w:sz="0" w:space="0" w:color="auto"/>
        <w:bottom w:val="none" w:sz="0" w:space="0" w:color="auto"/>
        <w:right w:val="none" w:sz="0" w:space="0" w:color="auto"/>
      </w:divBdr>
    </w:div>
    <w:div w:id="181641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en.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F0515-BA04-408C-AFE4-9819351C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7547</Words>
  <Characters>38418</Characters>
  <Application>Microsoft Office Word</Application>
  <DocSecurity>0</DocSecurity>
  <Lines>1280</Lines>
  <Paragraphs>919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2018-10-15T09:37:00Z</dcterms:created>
  <dcterms:modified xsi:type="dcterms:W3CDTF">2018-10-15T11:59:00Z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