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253B980B-365D-4FAE-9470-052519B2B88F" style="width:450.8pt;height:32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Vu:</w:t>
      </w:r>
    </w:p>
    <w:p>
      <w:pPr>
        <w:pStyle w:val="Tiret0"/>
        <w:tabs>
          <w:tab w:val="clear" w:pos="850"/>
          <w:tab w:val="num" w:pos="1004"/>
        </w:tabs>
        <w:rPr>
          <w:noProof/>
        </w:rPr>
      </w:pPr>
      <w:r>
        <w:rPr>
          <w:noProof/>
        </w:rPr>
        <w:t>le traité sur le fonctionnement de l'Union européenne, et notamment son article 314, lu en combinaison avec le traité instituant la Communauté européenne de l'énergie atomique, et notamment son article 106 </w:t>
      </w:r>
      <w:r>
        <w:rPr>
          <w:i/>
          <w:noProof/>
        </w:rPr>
        <w:t>bis</w:t>
      </w:r>
      <w:r>
        <w:rPr>
          <w:noProof/>
        </w:rPr>
        <w:t>,</w:t>
      </w:r>
    </w:p>
    <w:p>
      <w:pPr>
        <w:pStyle w:val="Tiret0"/>
        <w:tabs>
          <w:tab w:val="clear" w:pos="850"/>
          <w:tab w:val="num" w:pos="927"/>
        </w:tabs>
        <w:rPr>
          <w:rFonts w:cs="Arial"/>
          <w:noProof/>
          <w:szCs w:val="18"/>
        </w:rPr>
      </w:pPr>
      <w:r>
        <w:rPr>
          <w:noProof/>
        </w:rPr>
        <w:t>le règlement (UE, Euratom) 2018/1046 du Parlement européen et du Conseil du 18 juillet 2018 relatif aux règles financières applicables au budget général de l'Union [...]</w:t>
      </w:r>
      <w:r>
        <w:rPr>
          <w:rStyle w:val="FootnoteReference"/>
          <w:noProof/>
        </w:rPr>
        <w:footnoteReference w:id="2"/>
      </w:r>
      <w:r>
        <w:rPr>
          <w:noProof/>
        </w:rPr>
        <w:t>, et notamment son article 44,</w:t>
      </w:r>
    </w:p>
    <w:p>
      <w:pPr>
        <w:pStyle w:val="Tiret0"/>
        <w:tabs>
          <w:tab w:val="clear" w:pos="850"/>
          <w:tab w:val="num" w:pos="927"/>
        </w:tabs>
        <w:rPr>
          <w:noProof/>
        </w:rPr>
      </w:pPr>
      <w:r>
        <w:rPr>
          <w:noProof/>
        </w:rPr>
        <w:t>le budget général de l'Union européenne pour l'exercice 2018, adopté le 30 novembre 2017</w:t>
      </w:r>
      <w:r>
        <w:rPr>
          <w:rStyle w:val="FootnoteReference"/>
          <w:noProof/>
        </w:rPr>
        <w:footnoteReference w:id="3"/>
      </w:r>
      <w:r>
        <w:rPr>
          <w:noProof/>
        </w:rPr>
        <w:t>,</w:t>
      </w:r>
    </w:p>
    <w:p>
      <w:pPr>
        <w:pStyle w:val="Tiret0"/>
        <w:tabs>
          <w:tab w:val="clear" w:pos="850"/>
          <w:tab w:val="num" w:pos="927"/>
        </w:tabs>
        <w:rPr>
          <w:noProof/>
        </w:rPr>
      </w:pPr>
      <w:r>
        <w:rPr>
          <w:noProof/>
        </w:rPr>
        <w:t>le budget rectificatif nº 1/2018</w:t>
      </w:r>
      <w:r>
        <w:rPr>
          <w:rStyle w:val="FootnoteReference"/>
          <w:noProof/>
        </w:rPr>
        <w:footnoteReference w:id="4"/>
      </w:r>
      <w:r>
        <w:rPr>
          <w:noProof/>
        </w:rPr>
        <w:t>, adopté le 30 mai 2018,</w:t>
      </w:r>
    </w:p>
    <w:p>
      <w:pPr>
        <w:pStyle w:val="Tiret0"/>
        <w:tabs>
          <w:tab w:val="clear" w:pos="850"/>
          <w:tab w:val="num" w:pos="927"/>
        </w:tabs>
        <w:rPr>
          <w:noProof/>
        </w:rPr>
      </w:pPr>
      <w:r>
        <w:rPr>
          <w:noProof/>
        </w:rPr>
        <w:t>le budget rectificatif nº 2/2018</w:t>
      </w:r>
      <w:r>
        <w:rPr>
          <w:rStyle w:val="FootnoteReference"/>
          <w:noProof/>
        </w:rPr>
        <w:footnoteReference w:id="5"/>
      </w:r>
      <w:r>
        <w:rPr>
          <w:noProof/>
        </w:rPr>
        <w:t>, adopté le 4 juillet 2018,</w:t>
      </w:r>
    </w:p>
    <w:p>
      <w:pPr>
        <w:pStyle w:val="Tiret0"/>
        <w:tabs>
          <w:tab w:val="clear" w:pos="850"/>
          <w:tab w:val="num" w:pos="927"/>
        </w:tabs>
        <w:rPr>
          <w:noProof/>
        </w:rPr>
      </w:pPr>
      <w:r>
        <w:rPr>
          <w:noProof/>
        </w:rPr>
        <w:t>le budget rectificatif nº 3/2018</w:t>
      </w:r>
      <w:r>
        <w:rPr>
          <w:rStyle w:val="FootnoteReference"/>
          <w:noProof/>
        </w:rPr>
        <w:footnoteReference w:id="6"/>
      </w:r>
      <w:r>
        <w:rPr>
          <w:noProof/>
        </w:rPr>
        <w:t>, adopté le 4 juillet 2018,</w:t>
      </w:r>
    </w:p>
    <w:p>
      <w:pPr>
        <w:pStyle w:val="Tiret0"/>
        <w:tabs>
          <w:tab w:val="clear" w:pos="850"/>
          <w:tab w:val="num" w:pos="927"/>
        </w:tabs>
        <w:rPr>
          <w:noProof/>
        </w:rPr>
      </w:pPr>
      <w:r>
        <w:rPr>
          <w:noProof/>
        </w:rPr>
        <w:t>le budget rectificatif nº 4/2018</w:t>
      </w:r>
      <w:r>
        <w:rPr>
          <w:rStyle w:val="FootnoteReference"/>
          <w:noProof/>
        </w:rPr>
        <w:footnoteReference w:id="7"/>
      </w:r>
      <w:r>
        <w:rPr>
          <w:noProof/>
        </w:rPr>
        <w:t>, adopté le 11 septembre 2018,</w:t>
      </w:r>
    </w:p>
    <w:p>
      <w:pPr>
        <w:pStyle w:val="Tiret0"/>
        <w:tabs>
          <w:tab w:val="clear" w:pos="850"/>
          <w:tab w:val="num" w:pos="927"/>
        </w:tabs>
        <w:rPr>
          <w:noProof/>
        </w:rPr>
      </w:pPr>
      <w:r>
        <w:rPr>
          <w:noProof/>
        </w:rPr>
        <w:t>le budget rectificatif nº 5/2018</w:t>
      </w:r>
      <w:r>
        <w:rPr>
          <w:rStyle w:val="FootnoteReference"/>
          <w:noProof/>
        </w:rPr>
        <w:footnoteReference w:id="8"/>
      </w:r>
      <w:r>
        <w:rPr>
          <w:noProof/>
        </w:rPr>
        <w:t>, adopté le [3 octobre 2018],</w:t>
      </w:r>
    </w:p>
    <w:p>
      <w:pPr>
        <w:pStyle w:val="Tiret0"/>
        <w:numPr>
          <w:ilvl w:val="0"/>
          <w:numId w:val="0"/>
        </w:numPr>
        <w:spacing w:after="600"/>
        <w:rPr>
          <w:noProof/>
        </w:rPr>
      </w:pPr>
      <w:r>
        <w:rPr>
          <w:noProof/>
        </w:rPr>
        <w:t>la Commission européenne présente ci-après au Parlement européen et au Conseil le projet de budget rectificatif nº 6 au budget général 2018.</w:t>
      </w:r>
    </w:p>
    <w:p>
      <w:pPr>
        <w:spacing w:after="240"/>
        <w:jc w:val="both"/>
        <w:rPr>
          <w:b/>
          <w:noProof/>
          <w:u w:val="single"/>
        </w:rPr>
      </w:pPr>
      <w:r>
        <w:rPr>
          <w:b/>
          <w:noProof/>
          <w:u w:val="single"/>
        </w:rPr>
        <w:t>MODIFICATIONS DE L’ÉTAT DES RECETTES ET DES DÉPENSES PAR SECTION</w:t>
      </w:r>
    </w:p>
    <w:p>
      <w:pPr>
        <w:jc w:val="both"/>
        <w:rPr>
          <w:noProof/>
        </w:rPr>
      </w:pPr>
      <w:r>
        <w:rPr>
          <w:noProof/>
        </w:rPr>
        <w:t>Les modifications apportées à l'état des recettes et des dépenses par section sont disponibles sur EUR-Lex (</w:t>
      </w:r>
      <w:hyperlink r:id="rId16">
        <w:r>
          <w:rPr>
            <w:rStyle w:val="Hyperlink"/>
            <w:noProof/>
            <w:color w:val="auto"/>
          </w:rPr>
          <w:t>http://eur-lex.europa.eu/budget/www/index-fr.htm</w:t>
        </w:r>
      </w:hyperlink>
      <w:r>
        <w:rPr>
          <w:noProof/>
        </w:rPr>
        <w:t>). Une version en anglais de ces modifications est jointe à titre indicatif comme annexe budgétaire.</w:t>
      </w:r>
    </w:p>
    <w:p>
      <w:pPr>
        <w:rPr>
          <w:noProof/>
        </w:rPr>
        <w:sectPr>
          <w:headerReference w:type="even" r:id="rId17"/>
          <w:headerReference w:type="default" r:id="rId18"/>
          <w:footerReference w:type="even" r:id="rId19"/>
          <w:footerReference w:type="default" r:id="rId20"/>
          <w:headerReference w:type="first" r:id="rId21"/>
          <w:footerReference w:type="first" r:id="rId22"/>
          <w:pgSz w:w="11907" w:h="16839"/>
          <w:pgMar w:top="1418" w:right="1418" w:bottom="1418" w:left="1418" w:header="709" w:footer="709" w:gutter="0"/>
          <w:pgNumType w:start="1"/>
          <w:cols w:space="720"/>
          <w:docGrid w:linePitch="360"/>
        </w:sectPr>
      </w:pPr>
    </w:p>
    <w:p>
      <w:pPr>
        <w:pStyle w:val="TOCHeading"/>
        <w:rPr>
          <w:noProof/>
        </w:rPr>
      </w:pPr>
      <w:bookmarkStart w:id="2" w:name="_Toc294675429"/>
      <w:bookmarkStart w:id="3" w:name="_Toc272133653"/>
      <w:bookmarkStart w:id="4" w:name="_Toc294673202"/>
      <w:bookmarkStart w:id="5" w:name="_Toc318365572"/>
      <w:bookmarkStart w:id="6" w:name="_Toc361649893"/>
      <w:bookmarkStart w:id="7" w:name="_Toc387301589"/>
      <w:r>
        <w:rPr>
          <w:noProof/>
        </w:rPr>
        <w:t>TABLE DES MATIÈRES</w:t>
      </w:r>
    </w:p>
    <w:sdt>
      <w:sdtPr>
        <w:rPr>
          <w:b w:val="0"/>
          <w:noProof/>
          <w:sz w:val="24"/>
        </w:rPr>
        <w:id w:val="2029912794"/>
        <w:docPartObj>
          <w:docPartGallery w:val="Table of Contents"/>
          <w:docPartUnique/>
        </w:docPartObj>
      </w:sdtPr>
      <w:sdtEndPr>
        <w:rPr>
          <w:bCs/>
        </w:rPr>
      </w:sdtEndPr>
      <w:sdtContent>
        <w:p>
          <w:pPr>
            <w:pStyle w:val="TOCHeading"/>
            <w:spacing w:before="0" w:after="0"/>
            <w:jc w:val="left"/>
            <w:rPr>
              <w:noProof/>
            </w:rPr>
          </w:pPr>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27368017" w:history="1">
            <w:r>
              <w:rPr>
                <w:rStyle w:val="Hyperlink"/>
                <w:noProof/>
              </w:rPr>
              <w:t>1.</w:t>
            </w:r>
            <w:r>
              <w:rPr>
                <w:rFonts w:asciiTheme="minorHAnsi" w:eastAsiaTheme="minorEastAsia" w:hAnsiTheme="minorHAnsi" w:cstheme="minorBidi"/>
                <w:b w:val="0"/>
                <w:bCs w:val="0"/>
                <w:caps w:val="0"/>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_Toc527368017 \h </w:instrText>
            </w:r>
            <w:r>
              <w:rPr>
                <w:noProof/>
                <w:webHidden/>
              </w:rPr>
            </w:r>
            <w:r>
              <w:rPr>
                <w:noProof/>
                <w:webHidden/>
              </w:rPr>
              <w:fldChar w:fldCharType="separate"/>
            </w:r>
            <w:r>
              <w:rPr>
                <w:noProof/>
                <w:webHidden/>
              </w:rPr>
              <w:t>3</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27368018" w:history="1">
            <w:r>
              <w:rPr>
                <w:rStyle w:val="Hyperlink"/>
                <w:smallCaps/>
                <w:noProof/>
              </w:rPr>
              <w:t>2.</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Diminution des crédits de paiement et des crédits d’engagement</w:t>
            </w:r>
            <w:r>
              <w:rPr>
                <w:noProof/>
                <w:webHidden/>
              </w:rPr>
              <w:tab/>
            </w:r>
            <w:r>
              <w:rPr>
                <w:noProof/>
                <w:webHidden/>
              </w:rPr>
              <w:fldChar w:fldCharType="begin"/>
            </w:r>
            <w:r>
              <w:rPr>
                <w:noProof/>
                <w:webHidden/>
              </w:rPr>
              <w:instrText xml:space="preserve"> PAGEREF _Toc527368018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527368019" w:history="1">
            <w:r>
              <w:rPr>
                <w:rStyle w:val="Hyperlink"/>
                <w:b/>
                <w:noProof/>
              </w:rPr>
              <w:t>2.1</w:t>
            </w:r>
            <w:r>
              <w:rPr>
                <w:rFonts w:asciiTheme="minorHAnsi" w:eastAsiaTheme="minorEastAsia" w:hAnsiTheme="minorHAnsi" w:cstheme="minorBidi"/>
                <w:smallCaps w:val="0"/>
                <w:noProof/>
                <w:sz w:val="22"/>
                <w:szCs w:val="22"/>
                <w:lang w:val="en-GB" w:eastAsia="en-GB" w:bidi="ar-SA"/>
              </w:rPr>
              <w:tab/>
            </w:r>
            <w:r>
              <w:rPr>
                <w:rStyle w:val="Hyperlink"/>
                <w:b/>
                <w:noProof/>
              </w:rPr>
              <w:t>Accords de pêche durable</w:t>
            </w:r>
            <w:r>
              <w:rPr>
                <w:noProof/>
                <w:webHidden/>
              </w:rPr>
              <w:tab/>
            </w:r>
            <w:r>
              <w:rPr>
                <w:noProof/>
                <w:webHidden/>
              </w:rPr>
              <w:fldChar w:fldCharType="begin"/>
            </w:r>
            <w:r>
              <w:rPr>
                <w:noProof/>
                <w:webHidden/>
              </w:rPr>
              <w:instrText xml:space="preserve"> PAGEREF _Toc527368019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527368020" w:history="1">
            <w:r>
              <w:rPr>
                <w:rStyle w:val="Hyperlink"/>
                <w:b/>
                <w:noProof/>
              </w:rPr>
              <w:t>2.2</w:t>
            </w:r>
            <w:r>
              <w:rPr>
                <w:rFonts w:asciiTheme="minorHAnsi" w:eastAsiaTheme="minorEastAsia" w:hAnsiTheme="minorHAnsi" w:cstheme="minorBidi"/>
                <w:smallCaps w:val="0"/>
                <w:noProof/>
                <w:sz w:val="22"/>
                <w:szCs w:val="22"/>
                <w:lang w:val="en-GB" w:eastAsia="en-GB" w:bidi="ar-SA"/>
              </w:rPr>
              <w:tab/>
            </w:r>
            <w:r>
              <w:rPr>
                <w:rStyle w:val="Hyperlink"/>
                <w:b/>
                <w:noProof/>
              </w:rPr>
              <w:t>Organisme décentralisé – Agence européenne des produits chimiques (ECHA)</w:t>
            </w:r>
            <w:r>
              <w:rPr>
                <w:noProof/>
                <w:webHidden/>
              </w:rPr>
              <w:tab/>
            </w:r>
            <w:r>
              <w:rPr>
                <w:noProof/>
                <w:webHidden/>
              </w:rPr>
              <w:fldChar w:fldCharType="begin"/>
            </w:r>
            <w:r>
              <w:rPr>
                <w:noProof/>
                <w:webHidden/>
              </w:rPr>
              <w:instrText xml:space="preserve"> PAGEREF _Toc527368020 \h </w:instrText>
            </w:r>
            <w:r>
              <w:rPr>
                <w:noProof/>
                <w:webHidden/>
              </w:rPr>
            </w:r>
            <w:r>
              <w:rPr>
                <w:noProof/>
                <w:webHidden/>
              </w:rPr>
              <w:fldChar w:fldCharType="separate"/>
            </w:r>
            <w:r>
              <w:rPr>
                <w:noProof/>
                <w:webHidden/>
              </w:rPr>
              <w:t>3</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527368021" w:history="1">
            <w:r>
              <w:rPr>
                <w:rStyle w:val="Hyperlink"/>
                <w:b/>
                <w:noProof/>
              </w:rPr>
              <w:t>2.3</w:t>
            </w:r>
            <w:r>
              <w:rPr>
                <w:rFonts w:asciiTheme="minorHAnsi" w:eastAsiaTheme="minorEastAsia" w:hAnsiTheme="minorHAnsi" w:cstheme="minorBidi"/>
                <w:smallCaps w:val="0"/>
                <w:noProof/>
                <w:sz w:val="22"/>
                <w:szCs w:val="22"/>
                <w:lang w:val="en-GB" w:eastAsia="en-GB" w:bidi="ar-SA"/>
              </w:rPr>
              <w:tab/>
            </w:r>
            <w:r>
              <w:rPr>
                <w:rStyle w:val="Hyperlink"/>
                <w:b/>
                <w:noProof/>
              </w:rPr>
              <w:t>Fonds européen agricole de garantie (FEAGA)</w:t>
            </w:r>
            <w:r>
              <w:rPr>
                <w:noProof/>
                <w:webHidden/>
              </w:rPr>
              <w:tab/>
            </w:r>
            <w:r>
              <w:rPr>
                <w:noProof/>
                <w:webHidden/>
              </w:rPr>
              <w:fldChar w:fldCharType="begin"/>
            </w:r>
            <w:r>
              <w:rPr>
                <w:noProof/>
                <w:webHidden/>
              </w:rPr>
              <w:instrText xml:space="preserve"> PAGEREF _Toc527368021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527368022" w:history="1">
            <w:r>
              <w:rPr>
                <w:rStyle w:val="Hyperlink"/>
                <w:b/>
                <w:noProof/>
              </w:rPr>
              <w:t>2.4</w:t>
            </w:r>
            <w:r>
              <w:rPr>
                <w:rFonts w:asciiTheme="minorHAnsi" w:eastAsiaTheme="minorEastAsia" w:hAnsiTheme="minorHAnsi" w:cstheme="minorBidi"/>
                <w:smallCaps w:val="0"/>
                <w:noProof/>
                <w:sz w:val="22"/>
                <w:szCs w:val="22"/>
                <w:lang w:val="en-GB" w:eastAsia="en-GB" w:bidi="ar-SA"/>
              </w:rPr>
              <w:tab/>
            </w:r>
            <w:r>
              <w:rPr>
                <w:rStyle w:val="Hyperlink"/>
                <w:b/>
                <w:noProof/>
              </w:rPr>
              <w:t>Fonds européen agricole pour le développement rural (Feader)</w:t>
            </w:r>
            <w:r>
              <w:rPr>
                <w:noProof/>
                <w:webHidden/>
              </w:rPr>
              <w:tab/>
            </w:r>
            <w:r>
              <w:rPr>
                <w:noProof/>
                <w:webHidden/>
              </w:rPr>
              <w:fldChar w:fldCharType="begin"/>
            </w:r>
            <w:r>
              <w:rPr>
                <w:noProof/>
                <w:webHidden/>
              </w:rPr>
              <w:instrText xml:space="preserve"> PAGEREF _Toc527368022 \h </w:instrText>
            </w:r>
            <w:r>
              <w:rPr>
                <w:noProof/>
                <w:webHidden/>
              </w:rPr>
            </w:r>
            <w:r>
              <w:rPr>
                <w:noProof/>
                <w:webHidden/>
              </w:rPr>
              <w:fldChar w:fldCharType="separate"/>
            </w:r>
            <w:r>
              <w:rPr>
                <w:noProof/>
                <w:webHidden/>
              </w:rPr>
              <w:t>4</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27368023" w:history="1">
            <w:r>
              <w:rPr>
                <w:rStyle w:val="Hyperlink"/>
                <w:smallCaps/>
                <w:noProof/>
              </w:rPr>
              <w:t>3.</w:t>
            </w:r>
            <w:r>
              <w:rPr>
                <w:rFonts w:asciiTheme="minorHAnsi" w:eastAsiaTheme="minorEastAsia" w:hAnsiTheme="minorHAnsi" w:cstheme="minorBidi"/>
                <w:b w:val="0"/>
                <w:bCs w:val="0"/>
                <w:caps w:val="0"/>
                <w:noProof/>
                <w:sz w:val="22"/>
                <w:szCs w:val="22"/>
                <w:lang w:val="en-GB" w:eastAsia="en-GB" w:bidi="ar-SA"/>
              </w:rPr>
              <w:tab/>
            </w:r>
            <w:r>
              <w:rPr>
                <w:rStyle w:val="Hyperlink"/>
                <w:smallCaps/>
                <w:noProof/>
              </w:rPr>
              <w:t>Actualisation des recettes</w:t>
            </w:r>
            <w:r>
              <w:rPr>
                <w:noProof/>
                <w:webHidden/>
              </w:rPr>
              <w:tab/>
            </w:r>
            <w:r>
              <w:rPr>
                <w:noProof/>
                <w:webHidden/>
              </w:rPr>
              <w:fldChar w:fldCharType="begin"/>
            </w:r>
            <w:r>
              <w:rPr>
                <w:noProof/>
                <w:webHidden/>
              </w:rPr>
              <w:instrText xml:space="preserve"> PAGEREF _Toc527368023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527368024" w:history="1">
            <w:r>
              <w:rPr>
                <w:rStyle w:val="Hyperlink"/>
                <w:b/>
                <w:noProof/>
              </w:rPr>
              <w:t>3.1</w:t>
            </w:r>
            <w:r>
              <w:rPr>
                <w:rFonts w:asciiTheme="minorHAnsi" w:eastAsiaTheme="minorEastAsia" w:hAnsiTheme="minorHAnsi" w:cstheme="minorBidi"/>
                <w:smallCaps w:val="0"/>
                <w:noProof/>
                <w:sz w:val="22"/>
                <w:szCs w:val="22"/>
                <w:lang w:val="en-GB" w:eastAsia="en-GB" w:bidi="ar-SA"/>
              </w:rPr>
              <w:tab/>
            </w:r>
            <w:r>
              <w:rPr>
                <w:rStyle w:val="Hyperlink"/>
                <w:b/>
                <w:noProof/>
              </w:rPr>
              <w:t>Incidence globale du PBR n° 6/2018 sur la répartition, entre États membres, de l’ensemble des versements de ressources propres</w:t>
            </w:r>
            <w:r>
              <w:rPr>
                <w:noProof/>
                <w:webHidden/>
              </w:rPr>
              <w:tab/>
            </w:r>
            <w:r>
              <w:rPr>
                <w:noProof/>
                <w:webHidden/>
              </w:rPr>
              <w:fldChar w:fldCharType="begin"/>
            </w:r>
            <w:r>
              <w:rPr>
                <w:noProof/>
                <w:webHidden/>
              </w:rPr>
              <w:instrText xml:space="preserve"> PAGEREF _Toc527368024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527368025" w:history="1">
            <w:r>
              <w:rPr>
                <w:rStyle w:val="Hyperlink"/>
                <w:b/>
                <w:noProof/>
              </w:rPr>
              <w:t>3.2</w:t>
            </w:r>
            <w:r>
              <w:rPr>
                <w:rFonts w:asciiTheme="minorHAnsi" w:eastAsiaTheme="minorEastAsia" w:hAnsiTheme="minorHAnsi" w:cstheme="minorBidi"/>
                <w:smallCaps w:val="0"/>
                <w:noProof/>
                <w:sz w:val="22"/>
                <w:szCs w:val="22"/>
                <w:lang w:val="en-GB" w:eastAsia="en-GB" w:bidi="ar-SA"/>
              </w:rPr>
              <w:tab/>
            </w:r>
            <w:r>
              <w:rPr>
                <w:rStyle w:val="Hyperlink"/>
                <w:b/>
                <w:noProof/>
              </w:rPr>
              <w:t>Révision des prévisions relatives aux RPT et aux assiettes TVA et RNB</w:t>
            </w:r>
            <w:r>
              <w:rPr>
                <w:noProof/>
                <w:webHidden/>
              </w:rPr>
              <w:tab/>
            </w:r>
            <w:r>
              <w:rPr>
                <w:noProof/>
                <w:webHidden/>
              </w:rPr>
              <w:fldChar w:fldCharType="begin"/>
            </w:r>
            <w:r>
              <w:rPr>
                <w:noProof/>
                <w:webHidden/>
              </w:rPr>
              <w:instrText xml:space="preserve"> PAGEREF _Toc527368025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smallCaps w:val="0"/>
              <w:noProof/>
              <w:sz w:val="22"/>
              <w:szCs w:val="22"/>
              <w:lang w:val="en-GB" w:eastAsia="en-GB" w:bidi="ar-SA"/>
            </w:rPr>
          </w:pPr>
          <w:hyperlink w:anchor="_Toc527368026" w:history="1">
            <w:r>
              <w:rPr>
                <w:rStyle w:val="Hyperlink"/>
                <w:b/>
                <w:noProof/>
              </w:rPr>
              <w:t>3.3</w:t>
            </w:r>
            <w:r>
              <w:rPr>
                <w:rFonts w:asciiTheme="minorHAnsi" w:eastAsiaTheme="minorEastAsia" w:hAnsiTheme="minorHAnsi" w:cstheme="minorBidi"/>
                <w:smallCaps w:val="0"/>
                <w:noProof/>
                <w:sz w:val="22"/>
                <w:szCs w:val="22"/>
                <w:lang w:val="en-GB" w:eastAsia="en-GB" w:bidi="ar-SA"/>
              </w:rPr>
              <w:tab/>
            </w:r>
            <w:r>
              <w:rPr>
                <w:rStyle w:val="Hyperlink"/>
                <w:b/>
                <w:noProof/>
              </w:rPr>
              <w:t>Correction britannique pour 2017 et 2014</w:t>
            </w:r>
            <w:r>
              <w:rPr>
                <w:noProof/>
                <w:webHidden/>
              </w:rPr>
              <w:tab/>
            </w:r>
            <w:r>
              <w:rPr>
                <w:noProof/>
                <w:webHidden/>
              </w:rPr>
              <w:fldChar w:fldCharType="begin"/>
            </w:r>
            <w:r>
              <w:rPr>
                <w:noProof/>
                <w:webHidden/>
              </w:rPr>
              <w:instrText xml:space="preserve"> PAGEREF _Toc527368026 \h </w:instrText>
            </w:r>
            <w:r>
              <w:rPr>
                <w:noProof/>
                <w:webHidden/>
              </w:rPr>
            </w:r>
            <w:r>
              <w:rPr>
                <w:noProof/>
                <w:webHidden/>
              </w:rPr>
              <w:fldChar w:fldCharType="separate"/>
            </w:r>
            <w:r>
              <w:rPr>
                <w:noProof/>
                <w:webHidden/>
              </w:rPr>
              <w:t>8</w:t>
            </w:r>
            <w:r>
              <w:rPr>
                <w:noProof/>
                <w:webHidden/>
              </w:rPr>
              <w:fldChar w:fldCharType="end"/>
            </w:r>
          </w:hyperlink>
        </w:p>
        <w:p>
          <w:pPr>
            <w:pStyle w:val="TOC1"/>
            <w:tabs>
              <w:tab w:val="left" w:pos="709"/>
              <w:tab w:val="right" w:leader="dot" w:pos="9061"/>
            </w:tabs>
            <w:rPr>
              <w:rFonts w:asciiTheme="minorHAnsi" w:eastAsiaTheme="minorEastAsia" w:hAnsiTheme="minorHAnsi" w:cstheme="minorBidi"/>
              <w:b w:val="0"/>
              <w:bCs w:val="0"/>
              <w:caps w:val="0"/>
              <w:noProof/>
              <w:sz w:val="22"/>
              <w:szCs w:val="22"/>
              <w:lang w:val="en-GB" w:eastAsia="en-GB" w:bidi="ar-SA"/>
            </w:rPr>
          </w:pPr>
          <w:hyperlink w:anchor="_Toc527368027" w:history="1">
            <w:r>
              <w:rPr>
                <w:rStyle w:val="Hyperlink"/>
                <w:noProof/>
              </w:rPr>
              <w:t>4.</w:t>
            </w:r>
            <w:r>
              <w:rPr>
                <w:rFonts w:asciiTheme="minorHAnsi" w:eastAsiaTheme="minorEastAsia" w:hAnsiTheme="minorHAnsi" w:cstheme="minorBidi"/>
                <w:b w:val="0"/>
                <w:bCs w:val="0"/>
                <w:caps w:val="0"/>
                <w:noProof/>
                <w:sz w:val="22"/>
                <w:szCs w:val="22"/>
                <w:lang w:val="en-GB" w:eastAsia="en-GB" w:bidi="ar-SA"/>
              </w:rPr>
              <w:tab/>
            </w:r>
            <w:r>
              <w:rPr>
                <w:rStyle w:val="Hyperlink"/>
                <w:noProof/>
              </w:rPr>
              <w:t>Tableau récapitulatif par rubrique du CFP</w:t>
            </w:r>
            <w:r>
              <w:rPr>
                <w:noProof/>
                <w:webHidden/>
              </w:rPr>
              <w:tab/>
            </w:r>
            <w:r>
              <w:rPr>
                <w:noProof/>
                <w:webHidden/>
              </w:rPr>
              <w:fldChar w:fldCharType="begin"/>
            </w:r>
            <w:r>
              <w:rPr>
                <w:noProof/>
                <w:webHidden/>
              </w:rPr>
              <w:instrText xml:space="preserve"> PAGEREF _Toc527368027 \h </w:instrText>
            </w:r>
            <w:r>
              <w:rPr>
                <w:noProof/>
                <w:webHidden/>
              </w:rPr>
            </w:r>
            <w:r>
              <w:rPr>
                <w:noProof/>
                <w:webHidden/>
              </w:rPr>
              <w:fldChar w:fldCharType="separate"/>
            </w:r>
            <w:r>
              <w:rPr>
                <w:noProof/>
                <w:webHidden/>
              </w:rPr>
              <w:t>13</w:t>
            </w:r>
            <w:r>
              <w:rPr>
                <w:noProof/>
                <w:webHidden/>
              </w:rPr>
              <w:fldChar w:fldCharType="end"/>
            </w:r>
          </w:hyperlink>
        </w:p>
        <w:p>
          <w:pPr>
            <w:ind w:left="709" w:hanging="709"/>
            <w:rPr>
              <w:rFonts w:asciiTheme="minorHAnsi" w:eastAsiaTheme="minorEastAsia" w:hAnsiTheme="minorHAnsi" w:cstheme="minorBidi"/>
              <w:noProof/>
              <w:sz w:val="22"/>
              <w:szCs w:val="22"/>
            </w:rPr>
            <w:sectPr>
              <w:headerReference w:type="even" r:id="rId23"/>
              <w:headerReference w:type="default" r:id="rId24"/>
              <w:footerReference w:type="even" r:id="rId25"/>
              <w:footerReference w:type="default" r:id="rId26"/>
              <w:headerReference w:type="first" r:id="rId27"/>
              <w:footerReference w:type="first" r:id="rId28"/>
              <w:pgSz w:w="11907" w:h="16839"/>
              <w:pgMar w:top="1418" w:right="1418" w:bottom="1418" w:left="1418" w:header="709" w:footer="709" w:gutter="0"/>
              <w:cols w:space="720"/>
            </w:sectPr>
          </w:pPr>
          <w:r>
            <w:rPr>
              <w:b/>
              <w:bCs/>
              <w:noProof/>
            </w:rPr>
            <w:fldChar w:fldCharType="end"/>
          </w:r>
        </w:p>
      </w:sdtContent>
    </w:sdt>
    <w:p>
      <w:pPr>
        <w:pStyle w:val="ManualHeading1"/>
      </w:pPr>
      <w:bookmarkStart w:id="8" w:name="_Toc385506031"/>
      <w:bookmarkStart w:id="9" w:name="_Toc430865946"/>
      <w:bookmarkStart w:id="10" w:name="_Toc430867524"/>
      <w:bookmarkStart w:id="11" w:name="_Toc525202225"/>
      <w:bookmarkStart w:id="12" w:name="_Toc527368017"/>
      <w:bookmarkStart w:id="13" w:name="_Toc351469332"/>
      <w:bookmarkStart w:id="14" w:name="_Toc361649879"/>
      <w:r>
        <w:t>1.</w:t>
      </w:r>
      <w:r>
        <w:tab/>
        <w:t>Introduction</w:t>
      </w:r>
      <w:bookmarkEnd w:id="8"/>
      <w:bookmarkEnd w:id="9"/>
      <w:bookmarkEnd w:id="10"/>
      <w:bookmarkEnd w:id="11"/>
      <w:bookmarkEnd w:id="12"/>
    </w:p>
    <w:p>
      <w:pPr>
        <w:pStyle w:val="ListDash"/>
        <w:rPr>
          <w:noProof/>
        </w:rPr>
      </w:pPr>
      <w:bookmarkStart w:id="15" w:name="_Toc462410050"/>
      <w:bookmarkStart w:id="16" w:name="_Toc430865947"/>
      <w:bookmarkStart w:id="17" w:name="_Toc430867525"/>
      <w:r>
        <w:rPr>
          <w:noProof/>
        </w:rPr>
        <w:t>Le projet de budget rectificatif (PBR) nº 6 pour l’exercice 2018 a pour objet de mettre à jour tant le volet des dépenses que le volet des recettes du budget afin de tenir compte de l’évolution récente de la situation:</w:t>
      </w:r>
    </w:p>
    <w:p>
      <w:pPr>
        <w:pStyle w:val="Tiret0"/>
        <w:rPr>
          <w:noProof/>
        </w:rPr>
      </w:pPr>
      <w:r>
        <w:rPr>
          <w:noProof/>
        </w:rPr>
        <w:t>s’agissant du volet des dépenses, il convient de libérer des crédits d’engagement et de paiement de lignes budgétaires relevant des rubriques 1a «Compétitivité pour la croissance et l’emploi» et 2 «Croissance durable – ressources naturelles»;</w:t>
      </w:r>
    </w:p>
    <w:p>
      <w:pPr>
        <w:pStyle w:val="Tiret0"/>
        <w:rPr>
          <w:noProof/>
        </w:rPr>
      </w:pPr>
      <w:r>
        <w:rPr>
          <w:noProof/>
        </w:rPr>
        <w:t>s’agissant du volet des recettes, il convient de réviser les prévisions relatives aux ressources propres traditionnelles (droits de douane et cotisations dans le secteur du sucre) et aux assiettes de la taxe sur la valeur ajoutée (TVA) et du revenu national brut (RNB), et d’inscrire au budget les corrections britanniques correspondantes ainsi que leur financement, éléments qui ont tous une incidence sur la répartition des contributions au titre des ressources propres versées par les États membres au budget de l’UE.</w:t>
      </w:r>
    </w:p>
    <w:p>
      <w:pPr>
        <w:keepNext/>
        <w:tabs>
          <w:tab w:val="left" w:pos="850"/>
        </w:tabs>
        <w:spacing w:before="240" w:after="120"/>
        <w:ind w:left="851" w:hanging="851"/>
        <w:jc w:val="both"/>
        <w:outlineLvl w:val="0"/>
        <w:rPr>
          <w:b/>
          <w:smallCaps/>
          <w:noProof/>
          <w:highlight w:val="yellow"/>
        </w:rPr>
      </w:pPr>
      <w:bookmarkStart w:id="18" w:name="_Toc525202226"/>
      <w:bookmarkStart w:id="19" w:name="_Toc527368018"/>
      <w:r>
        <w:rPr>
          <w:b/>
          <w:smallCaps/>
          <w:noProof/>
        </w:rPr>
        <w:t>2.</w:t>
      </w:r>
      <w:r>
        <w:rPr>
          <w:noProof/>
        </w:rPr>
        <w:tab/>
      </w:r>
      <w:r>
        <w:rPr>
          <w:b/>
          <w:smallCaps/>
          <w:noProof/>
        </w:rPr>
        <w:t>Diminution des crédits de paiement et des crédits d’engagement</w:t>
      </w:r>
      <w:bookmarkEnd w:id="18"/>
      <w:bookmarkEnd w:id="19"/>
    </w:p>
    <w:p>
      <w:pPr>
        <w:spacing w:before="120" w:after="120"/>
        <w:jc w:val="both"/>
        <w:rPr>
          <w:noProof/>
        </w:rPr>
      </w:pPr>
      <w:bookmarkStart w:id="20" w:name="_Toc460335328"/>
      <w:bookmarkStart w:id="21" w:name="_Toc430865948"/>
      <w:bookmarkStart w:id="22" w:name="_Toc430867526"/>
      <w:bookmarkEnd w:id="15"/>
      <w:r>
        <w:rPr>
          <w:noProof/>
        </w:rPr>
        <w:t xml:space="preserve">La Commission propose d'ajuster le niveau des crédits de paiement pour certaines lignes budgétaires afin de les aligner plus étroitement sur les dernières estimations des besoins, en partant de l'hypothèse que le rééquilibrage des crédits de paiement entre les lignes budgétaires, demandé séparément par la Commission dans le virement dit «global» (DEC 22/2018), sera accepté par le Parlement européen et le Conseil. </w:t>
      </w:r>
    </w:p>
    <w:p>
      <w:pPr>
        <w:spacing w:before="120" w:after="120"/>
        <w:jc w:val="both"/>
        <w:rPr>
          <w:noProof/>
        </w:rPr>
      </w:pPr>
      <w:r>
        <w:rPr>
          <w:noProof/>
        </w:rPr>
        <w:t>La réduction du niveau des crédits d’engagement et de paiement demandée dans le présent PBR (48,7 millions d’EUR et 44,7 millions d’EUR, respectivement) ne concerne que les rubriques 1a et 2.</w:t>
      </w:r>
    </w:p>
    <w:p>
      <w:pPr>
        <w:spacing w:before="120" w:after="120"/>
        <w:jc w:val="both"/>
        <w:rPr>
          <w:noProof/>
        </w:rPr>
      </w:pPr>
      <w:r>
        <w:rPr>
          <w:noProof/>
        </w:rPr>
        <w:t>Dans le budget 2018, aucune marge n’est plus disponible sous la rubrique 1a, et la marge globale pour les engagements (MGE) est utilisée à hauteur de 762,5 millions d’EUR. À la suite de la réduction des crédits d’engagement proposée dans le présent PBR pour cette rubrique (voir le point 2.2 ci-dessous), le montant de la MGE utilisé est réduit en conséquence à 760,6 millions d’EUR.</w:t>
      </w:r>
    </w:p>
    <w:p>
      <w:pPr>
        <w:keepNext/>
        <w:tabs>
          <w:tab w:val="left" w:pos="850"/>
        </w:tabs>
        <w:spacing w:before="360" w:after="120"/>
        <w:ind w:left="850" w:hanging="850"/>
        <w:jc w:val="both"/>
        <w:outlineLvl w:val="1"/>
        <w:rPr>
          <w:rFonts w:eastAsia="Calibri"/>
          <w:b/>
          <w:noProof/>
        </w:rPr>
      </w:pPr>
      <w:bookmarkStart w:id="23" w:name="_Toc525202227"/>
      <w:bookmarkStart w:id="24" w:name="_Toc527368019"/>
      <w:bookmarkStart w:id="25" w:name="_Toc494994373"/>
      <w:r>
        <w:rPr>
          <w:b/>
          <w:noProof/>
        </w:rPr>
        <w:t>2.1</w:t>
      </w:r>
      <w:r>
        <w:rPr>
          <w:noProof/>
        </w:rPr>
        <w:tab/>
      </w:r>
      <w:r>
        <w:rPr>
          <w:b/>
          <w:noProof/>
        </w:rPr>
        <w:t>Accords de pêche durable</w:t>
      </w:r>
      <w:bookmarkEnd w:id="23"/>
      <w:bookmarkEnd w:id="24"/>
    </w:p>
    <w:p>
      <w:pPr>
        <w:spacing w:before="120" w:after="120"/>
        <w:jc w:val="both"/>
        <w:rPr>
          <w:noProof/>
        </w:rPr>
      </w:pPr>
      <w:r>
        <w:rPr>
          <w:noProof/>
        </w:rPr>
        <w:t>Sur la base d’une analyse actualisée de la situation des négociations en vue d’accords de partenariat dans le domaine de la pêche durable, des montants de 46,6 millions d’EUR en crédits d’engagement et de 43,3 millions d’EUR en crédits de paiement peuvent être libérés de la ligne de réserve (article 40 02 41).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(en EUR)</w:t>
            </w:r>
          </w:p>
        </w:tc>
      </w:tr>
      <w:t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Ligne budgétaire</w:t>
            </w:r>
          </w:p>
        </w:tc>
        <w:tc>
          <w:tcPr>
            <w:tcW w:w="496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Intitulé</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tcPr>
          <w:p>
            <w:pPr>
              <w:widowControl w:val="0"/>
              <w:spacing w:before="15" w:after="15"/>
              <w:ind w:right="-113"/>
              <w:jc w:val="both"/>
              <w:rPr>
                <w:noProof/>
                <w:sz w:val="20"/>
                <w:szCs w:val="20"/>
              </w:rPr>
            </w:pPr>
            <w:r>
              <w:rPr>
                <w:noProof/>
                <w:sz w:val="20"/>
              </w:rPr>
              <w:t>40 02 41</w:t>
            </w:r>
          </w:p>
        </w:tc>
        <w:tc>
          <w:tcPr>
            <w:tcW w:w="4961" w:type="dxa"/>
          </w:tcPr>
          <w:p>
            <w:pPr>
              <w:widowControl w:val="0"/>
              <w:tabs>
                <w:tab w:val="left" w:pos="1350"/>
              </w:tabs>
              <w:spacing w:before="15" w:after="15"/>
              <w:jc w:val="both"/>
              <w:rPr>
                <w:noProof/>
                <w:sz w:val="16"/>
                <w:szCs w:val="16"/>
              </w:rPr>
            </w:pPr>
            <w:r>
              <w:rPr>
                <w:noProof/>
                <w:sz w:val="16"/>
              </w:rPr>
              <w:t>Crédits dissociés (</w:t>
            </w:r>
            <w:r>
              <w:rPr>
                <w:i/>
                <w:noProof/>
                <w:sz w:val="16"/>
              </w:rPr>
              <w:t>Réserve pour l’article 11 03 01 – Établir un cadre de gouvernance pour les activités de pêche menées par les navires de pêche de l’Union dans les eaux des pays tiers</w:t>
            </w:r>
            <w:r>
              <w:rPr>
                <w:noProof/>
                <w:sz w:val="16"/>
              </w:rPr>
              <w:t>)</w:t>
            </w:r>
          </w:p>
        </w:tc>
        <w:tc>
          <w:tcPr>
            <w:tcW w:w="1701" w:type="dxa"/>
          </w:tcPr>
          <w:p>
            <w:pPr>
              <w:widowControl w:val="0"/>
              <w:spacing w:before="15" w:after="15"/>
              <w:jc w:val="right"/>
              <w:rPr>
                <w:noProof/>
                <w:sz w:val="20"/>
                <w:szCs w:val="20"/>
              </w:rPr>
            </w:pPr>
            <w:r>
              <w:rPr>
                <w:noProof/>
                <w:sz w:val="20"/>
              </w:rPr>
              <w:t>-46 565 000</w:t>
            </w:r>
          </w:p>
        </w:tc>
        <w:tc>
          <w:tcPr>
            <w:tcW w:w="1701" w:type="dxa"/>
          </w:tcPr>
          <w:p>
            <w:pPr>
              <w:widowControl w:val="0"/>
              <w:spacing w:before="15" w:after="15"/>
              <w:jc w:val="right"/>
              <w:rPr>
                <w:noProof/>
                <w:sz w:val="20"/>
                <w:szCs w:val="20"/>
              </w:rPr>
            </w:pPr>
            <w:r>
              <w:rPr>
                <w:noProof/>
                <w:sz w:val="20"/>
              </w:rPr>
              <w:t>-43 302 703</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-46 565 000</w:t>
            </w:r>
          </w:p>
        </w:tc>
        <w:tc>
          <w:tcPr>
            <w:tcW w:w="1701" w:type="dxa"/>
            <w:shd w:val="clear" w:color="auto" w:fill="D9D9D9"/>
          </w:tcPr>
          <w:p>
            <w:pPr>
              <w:widowControl w:val="0"/>
              <w:spacing w:before="15" w:after="15"/>
              <w:jc w:val="right"/>
              <w:rPr>
                <w:b/>
                <w:noProof/>
                <w:sz w:val="20"/>
                <w:szCs w:val="20"/>
              </w:rPr>
            </w:pPr>
            <w:r>
              <w:rPr>
                <w:b/>
                <w:noProof/>
                <w:sz w:val="20"/>
              </w:rPr>
              <w:t>-43 302 703</w:t>
            </w:r>
          </w:p>
        </w:tc>
      </w:tr>
    </w:tbl>
    <w:p>
      <w:pPr>
        <w:keepNext/>
        <w:tabs>
          <w:tab w:val="left" w:pos="850"/>
        </w:tabs>
        <w:spacing w:before="360" w:after="120"/>
        <w:ind w:left="850" w:hanging="850"/>
        <w:jc w:val="both"/>
        <w:outlineLvl w:val="1"/>
        <w:rPr>
          <w:rFonts w:eastAsia="Calibri"/>
          <w:b/>
          <w:noProof/>
        </w:rPr>
      </w:pPr>
      <w:bookmarkStart w:id="26" w:name="_Toc525202228"/>
      <w:bookmarkStart w:id="27" w:name="_Toc527368020"/>
      <w:r>
        <w:rPr>
          <w:b/>
          <w:noProof/>
        </w:rPr>
        <w:t>2.2</w:t>
      </w:r>
      <w:r>
        <w:rPr>
          <w:noProof/>
        </w:rPr>
        <w:tab/>
      </w:r>
      <w:bookmarkEnd w:id="25"/>
      <w:r>
        <w:rPr>
          <w:b/>
          <w:noProof/>
        </w:rPr>
        <w:t>Organisme décentralisé – Agence européenne des produits chimiques (ECHA)</w:t>
      </w:r>
      <w:bookmarkEnd w:id="26"/>
      <w:bookmarkEnd w:id="27"/>
    </w:p>
    <w:p>
      <w:pPr>
        <w:spacing w:before="120" w:after="240"/>
        <w:jc w:val="both"/>
        <w:rPr>
          <w:noProof/>
        </w:rPr>
      </w:pPr>
      <w:r>
        <w:rPr>
          <w:noProof/>
        </w:rPr>
        <w:t>L’Agence européenne des produits chimiques (ECHA) à Helsinki exerce deux types d’activités financées par des redevances, se rapportant à la législation sur les produits chimiques au titre de la rubrique 1a et à la législation relative aux biocides au titre de la rubrique 2. Les recettes provenant des redevances réellement perçues pour ces deux activités au cours de l’année 2018 ont évolué dans des directions opposées: tandis que les recettes tirées des redevances sont supérieures aux prévisions dans la rubrique 1a, à la suite des montants élevés de redevances perçus pour l’échéance de mai 2018 fixée pour les enregistrements, le nombre des demandes d’autorisation de l’Union pour les biocides est en forte diminution. Le déficit en recettes de redevances qui en résulte dans la rubrique 2 est partiellement couvert par les économies liées aux activités biocides. Toutefois, un renforcement de la contribution d’équilibrage de l’UE sous la rubrique 2 est nécessaire pour un montant de 1,9 million d’EUR en crédits d’engagement et de paiement, et il est proposé de compenser ce renforcement par une réduction correspondante de la contribution d’équilibrage de l’UE en faveur de cette agence sous la rubrique 1a.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(en EUR)</w:t>
            </w:r>
          </w:p>
        </w:tc>
      </w:tr>
      <w:tr>
        <w:tc>
          <w:tcPr>
            <w:tcW w:w="1276" w:type="dxa"/>
            <w:shd w:val="clear" w:color="auto" w:fill="D9D9D9"/>
            <w:vAlign w:val="center"/>
          </w:tcPr>
          <w:p>
            <w:pPr>
              <w:widowControl w:val="0"/>
              <w:spacing w:before="15" w:after="15"/>
              <w:jc w:val="center"/>
              <w:rPr>
                <w:b/>
                <w:noProof/>
                <w:sz w:val="20"/>
                <w:szCs w:val="20"/>
              </w:rPr>
            </w:pPr>
            <w:r>
              <w:rPr>
                <w:b/>
                <w:noProof/>
                <w:sz w:val="20"/>
              </w:rPr>
              <w:t>Ligne budgétaire</w:t>
            </w:r>
          </w:p>
        </w:tc>
        <w:tc>
          <w:tcPr>
            <w:tcW w:w="4961" w:type="dxa"/>
            <w:shd w:val="clear" w:color="auto" w:fill="D9D9D9"/>
            <w:vAlign w:val="center"/>
          </w:tcPr>
          <w:p>
            <w:pPr>
              <w:widowControl w:val="0"/>
              <w:spacing w:before="15" w:after="15"/>
              <w:jc w:val="center"/>
              <w:rPr>
                <w:b/>
                <w:noProof/>
                <w:sz w:val="20"/>
                <w:szCs w:val="20"/>
              </w:rPr>
            </w:pPr>
            <w:r>
              <w:rPr>
                <w:b/>
                <w:noProof/>
                <w:sz w:val="20"/>
              </w:rPr>
              <w:t>Intitulé</w:t>
            </w:r>
          </w:p>
        </w:tc>
        <w:tc>
          <w:tcPr>
            <w:tcW w:w="1701" w:type="dxa"/>
            <w:shd w:val="clear" w:color="auto" w:fill="D9D9D9"/>
            <w:vAlign w:val="center"/>
          </w:tcPr>
          <w:p>
            <w:pPr>
              <w:widowControl w:val="0"/>
              <w:spacing w:before="15" w:after="15"/>
              <w:jc w:val="center"/>
              <w:rPr>
                <w:b/>
                <w:noProof/>
                <w:sz w:val="20"/>
                <w:szCs w:val="20"/>
              </w:rPr>
            </w:pPr>
            <w:r>
              <w:rPr>
                <w:b/>
                <w:noProof/>
                <w:sz w:val="20"/>
              </w:rPr>
              <w:t>Crédits d'engagement</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tcPr>
          <w:p>
            <w:pPr>
              <w:widowControl w:val="0"/>
              <w:spacing w:before="15" w:after="15"/>
              <w:ind w:right="-113"/>
              <w:jc w:val="both"/>
              <w:rPr>
                <w:noProof/>
                <w:sz w:val="20"/>
                <w:szCs w:val="20"/>
              </w:rPr>
            </w:pPr>
            <w:r>
              <w:rPr>
                <w:noProof/>
                <w:sz w:val="20"/>
              </w:rPr>
              <w:t>02 03 03</w:t>
            </w:r>
          </w:p>
        </w:tc>
        <w:tc>
          <w:tcPr>
            <w:tcW w:w="4961" w:type="dxa"/>
          </w:tcPr>
          <w:p>
            <w:pPr>
              <w:widowControl w:val="0"/>
              <w:tabs>
                <w:tab w:val="left" w:pos="1350"/>
              </w:tabs>
              <w:spacing w:before="15" w:after="15"/>
              <w:jc w:val="both"/>
              <w:rPr>
                <w:noProof/>
                <w:sz w:val="16"/>
                <w:szCs w:val="16"/>
              </w:rPr>
            </w:pPr>
            <w:r>
              <w:rPr>
                <w:noProof/>
                <w:sz w:val="16"/>
              </w:rPr>
              <w:t>Agence européenne des produits chimiques — Législation sur les produits chimiques</w:t>
            </w:r>
          </w:p>
        </w:tc>
        <w:tc>
          <w:tcPr>
            <w:tcW w:w="1701" w:type="dxa"/>
          </w:tcPr>
          <w:p>
            <w:pPr>
              <w:widowControl w:val="0"/>
              <w:spacing w:before="15" w:after="15"/>
              <w:jc w:val="right"/>
              <w:rPr>
                <w:noProof/>
                <w:sz w:val="20"/>
                <w:szCs w:val="20"/>
                <w:highlight w:val="yellow"/>
              </w:rPr>
            </w:pPr>
            <w:r>
              <w:rPr>
                <w:noProof/>
                <w:sz w:val="20"/>
              </w:rPr>
              <w:t>-1 900 000</w:t>
            </w:r>
          </w:p>
        </w:tc>
        <w:tc>
          <w:tcPr>
            <w:tcW w:w="1701" w:type="dxa"/>
          </w:tcPr>
          <w:p>
            <w:pPr>
              <w:widowControl w:val="0"/>
              <w:spacing w:before="15" w:after="15"/>
              <w:jc w:val="right"/>
              <w:rPr>
                <w:noProof/>
                <w:sz w:val="20"/>
                <w:szCs w:val="20"/>
                <w:highlight w:val="yellow"/>
              </w:rPr>
            </w:pPr>
            <w:r>
              <w:rPr>
                <w:noProof/>
                <w:sz w:val="20"/>
              </w:rPr>
              <w:t>-1 900 000</w:t>
            </w:r>
          </w:p>
        </w:tc>
      </w:tr>
      <w:tr>
        <w:tc>
          <w:tcPr>
            <w:tcW w:w="1276" w:type="dxa"/>
          </w:tcPr>
          <w:p>
            <w:pPr>
              <w:widowControl w:val="0"/>
              <w:spacing w:before="15" w:after="15"/>
              <w:ind w:right="-113"/>
              <w:jc w:val="both"/>
              <w:rPr>
                <w:noProof/>
                <w:sz w:val="20"/>
                <w:szCs w:val="20"/>
              </w:rPr>
            </w:pPr>
            <w:r>
              <w:rPr>
                <w:noProof/>
                <w:sz w:val="20"/>
              </w:rPr>
              <w:t>17 04 07</w:t>
            </w:r>
          </w:p>
        </w:tc>
        <w:tc>
          <w:tcPr>
            <w:tcW w:w="4961" w:type="dxa"/>
          </w:tcPr>
          <w:p>
            <w:pPr>
              <w:widowControl w:val="0"/>
              <w:tabs>
                <w:tab w:val="left" w:pos="1350"/>
              </w:tabs>
              <w:spacing w:before="15" w:after="15"/>
              <w:jc w:val="both"/>
              <w:rPr>
                <w:noProof/>
                <w:sz w:val="16"/>
                <w:szCs w:val="16"/>
              </w:rPr>
            </w:pPr>
            <w:r>
              <w:rPr>
                <w:noProof/>
                <w:sz w:val="16"/>
              </w:rPr>
              <w:t>Agence européenne des produits chimiques — Activités dans le domaine de la législation relative aux biocides</w:t>
            </w:r>
          </w:p>
        </w:tc>
        <w:tc>
          <w:tcPr>
            <w:tcW w:w="1701" w:type="dxa"/>
          </w:tcPr>
          <w:p>
            <w:pPr>
              <w:widowControl w:val="0"/>
              <w:spacing w:before="15" w:after="15"/>
              <w:jc w:val="right"/>
              <w:rPr>
                <w:noProof/>
                <w:sz w:val="20"/>
                <w:szCs w:val="20"/>
                <w:highlight w:val="yellow"/>
              </w:rPr>
            </w:pPr>
            <w:r>
              <w:rPr>
                <w:noProof/>
                <w:sz w:val="20"/>
              </w:rPr>
              <w:t>1 900 000</w:t>
            </w:r>
          </w:p>
        </w:tc>
        <w:tc>
          <w:tcPr>
            <w:tcW w:w="1701" w:type="dxa"/>
          </w:tcPr>
          <w:p>
            <w:pPr>
              <w:widowControl w:val="0"/>
              <w:spacing w:before="15" w:after="15"/>
              <w:jc w:val="right"/>
              <w:rPr>
                <w:noProof/>
                <w:sz w:val="20"/>
                <w:szCs w:val="20"/>
                <w:highlight w:val="yellow"/>
              </w:rPr>
            </w:pPr>
            <w:r>
              <w:rPr>
                <w:noProof/>
                <w:sz w:val="20"/>
              </w:rPr>
              <w:t>1 900 000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w:t>
            </w:r>
          </w:p>
        </w:tc>
        <w:tc>
          <w:tcPr>
            <w:tcW w:w="1701" w:type="dxa"/>
            <w:shd w:val="clear" w:color="auto" w:fill="D9D9D9"/>
          </w:tcPr>
          <w:p>
            <w:pPr>
              <w:widowControl w:val="0"/>
              <w:spacing w:before="15" w:after="15"/>
              <w:jc w:val="right"/>
              <w:rPr>
                <w:b/>
                <w:noProof/>
                <w:sz w:val="20"/>
                <w:szCs w:val="20"/>
              </w:rPr>
            </w:pPr>
            <w:r>
              <w:rPr>
                <w:b/>
                <w:noProof/>
                <w:sz w:val="20"/>
              </w:rPr>
              <w:t>-</w:t>
            </w:r>
          </w:p>
        </w:tc>
      </w:tr>
    </w:tbl>
    <w:p>
      <w:pPr>
        <w:keepNext/>
        <w:tabs>
          <w:tab w:val="left" w:pos="850"/>
        </w:tabs>
        <w:spacing w:before="360" w:after="120"/>
        <w:ind w:left="850" w:hanging="850"/>
        <w:jc w:val="both"/>
        <w:outlineLvl w:val="1"/>
        <w:rPr>
          <w:rFonts w:eastAsia="Calibri"/>
          <w:b/>
          <w:noProof/>
        </w:rPr>
      </w:pPr>
      <w:bookmarkStart w:id="28" w:name="_Toc461100993"/>
      <w:bookmarkStart w:id="29" w:name="_Toc525202229"/>
      <w:bookmarkStart w:id="30" w:name="_Toc527368021"/>
      <w:bookmarkEnd w:id="28"/>
      <w:r>
        <w:rPr>
          <w:b/>
          <w:noProof/>
        </w:rPr>
        <w:t>2.3</w:t>
      </w:r>
      <w:r>
        <w:rPr>
          <w:noProof/>
        </w:rPr>
        <w:tab/>
      </w:r>
      <w:r>
        <w:rPr>
          <w:b/>
          <w:noProof/>
        </w:rPr>
        <w:t>Fonds européen agricole de garantie (FEAGA)</w:t>
      </w:r>
      <w:bookmarkEnd w:id="29"/>
      <w:bookmarkEnd w:id="30"/>
    </w:p>
    <w:p>
      <w:pPr>
        <w:autoSpaceDE w:val="0"/>
        <w:autoSpaceDN w:val="0"/>
        <w:adjustRightInd w:val="0"/>
        <w:spacing w:before="120" w:after="240"/>
        <w:jc w:val="both"/>
        <w:rPr>
          <w:noProof/>
        </w:rPr>
      </w:pPr>
      <w:r>
        <w:rPr>
          <w:noProof/>
        </w:rPr>
        <w:t>En raison de certains retards dans le recrutement de prestataires de services informatiques et à la suite de l’annulation de certains audits, il est proposé de réduire le niveau des crédits d’engagement et de paiement du poste 05 01 04 01 et de l’article 05 08 09.</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(en EUR)</w:t>
            </w:r>
          </w:p>
        </w:tc>
      </w:tr>
      <w:tr>
        <w:tc>
          <w:tcPr>
            <w:tcW w:w="1276" w:type="dxa"/>
            <w:shd w:val="clear" w:color="auto" w:fill="D9D9D9"/>
            <w:vAlign w:val="center"/>
          </w:tcPr>
          <w:p>
            <w:pPr>
              <w:widowControl w:val="0"/>
              <w:spacing w:before="15" w:after="15"/>
              <w:jc w:val="center"/>
              <w:rPr>
                <w:b/>
                <w:noProof/>
                <w:sz w:val="20"/>
                <w:szCs w:val="20"/>
              </w:rPr>
            </w:pPr>
            <w:r>
              <w:rPr>
                <w:b/>
                <w:noProof/>
                <w:sz w:val="20"/>
              </w:rPr>
              <w:t>Ligne budgétaire</w:t>
            </w:r>
          </w:p>
        </w:tc>
        <w:tc>
          <w:tcPr>
            <w:tcW w:w="4961" w:type="dxa"/>
            <w:shd w:val="clear" w:color="auto" w:fill="D9D9D9"/>
            <w:vAlign w:val="center"/>
          </w:tcPr>
          <w:p>
            <w:pPr>
              <w:widowControl w:val="0"/>
              <w:spacing w:before="15" w:after="15"/>
              <w:jc w:val="center"/>
              <w:rPr>
                <w:b/>
                <w:noProof/>
                <w:sz w:val="20"/>
                <w:szCs w:val="20"/>
              </w:rPr>
            </w:pPr>
            <w:r>
              <w:rPr>
                <w:b/>
                <w:noProof/>
                <w:sz w:val="20"/>
              </w:rPr>
              <w:t>Intitulé</w:t>
            </w:r>
          </w:p>
        </w:tc>
        <w:tc>
          <w:tcPr>
            <w:tcW w:w="1701" w:type="dxa"/>
            <w:shd w:val="clear" w:color="auto" w:fill="D9D9D9"/>
            <w:vAlign w:val="center"/>
          </w:tcPr>
          <w:p>
            <w:pPr>
              <w:widowControl w:val="0"/>
              <w:spacing w:before="15" w:after="15"/>
              <w:jc w:val="center"/>
              <w:rPr>
                <w:b/>
                <w:noProof/>
                <w:sz w:val="20"/>
                <w:szCs w:val="20"/>
              </w:rPr>
            </w:pPr>
            <w:r>
              <w:rPr>
                <w:b/>
                <w:noProof/>
                <w:sz w:val="20"/>
              </w:rPr>
              <w:t>Crédits d'engagement</w:t>
            </w:r>
          </w:p>
        </w:tc>
        <w:tc>
          <w:tcPr>
            <w:tcW w:w="1701" w:type="dxa"/>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tcPr>
          <w:p>
            <w:pPr>
              <w:widowControl w:val="0"/>
              <w:spacing w:before="15" w:after="15"/>
              <w:ind w:right="-113"/>
              <w:jc w:val="both"/>
              <w:rPr>
                <w:noProof/>
                <w:sz w:val="20"/>
                <w:szCs w:val="20"/>
              </w:rPr>
            </w:pPr>
            <w:r>
              <w:rPr>
                <w:noProof/>
                <w:sz w:val="20"/>
              </w:rPr>
              <w:t>05 01 04 01</w:t>
            </w:r>
          </w:p>
        </w:tc>
        <w:tc>
          <w:tcPr>
            <w:tcW w:w="4961" w:type="dxa"/>
            <w:vAlign w:val="center"/>
          </w:tcPr>
          <w:p>
            <w:pPr>
              <w:widowControl w:val="0"/>
              <w:tabs>
                <w:tab w:val="left" w:pos="1350"/>
              </w:tabs>
              <w:spacing w:before="15" w:after="15"/>
              <w:rPr>
                <w:noProof/>
                <w:sz w:val="16"/>
                <w:szCs w:val="16"/>
              </w:rPr>
            </w:pPr>
            <w:r>
              <w:rPr>
                <w:noProof/>
                <w:sz w:val="16"/>
              </w:rPr>
              <w:t>Dépenses d’appui pour le Fonds européen agricole de garantie (FEAGA) – Assistance technique non opérationnelle</w:t>
            </w:r>
          </w:p>
        </w:tc>
        <w:tc>
          <w:tcPr>
            <w:tcW w:w="1701" w:type="dxa"/>
          </w:tcPr>
          <w:p>
            <w:pPr>
              <w:widowControl w:val="0"/>
              <w:spacing w:before="15" w:after="15"/>
              <w:jc w:val="right"/>
              <w:rPr>
                <w:noProof/>
                <w:sz w:val="20"/>
                <w:szCs w:val="20"/>
              </w:rPr>
            </w:pPr>
            <w:r>
              <w:rPr>
                <w:noProof/>
                <w:sz w:val="20"/>
              </w:rPr>
              <w:t>-400 000</w:t>
            </w:r>
          </w:p>
        </w:tc>
        <w:tc>
          <w:tcPr>
            <w:tcW w:w="1701" w:type="dxa"/>
          </w:tcPr>
          <w:p>
            <w:pPr>
              <w:widowControl w:val="0"/>
              <w:spacing w:before="15" w:after="15"/>
              <w:jc w:val="right"/>
              <w:rPr>
                <w:noProof/>
                <w:sz w:val="20"/>
                <w:szCs w:val="20"/>
              </w:rPr>
            </w:pPr>
            <w:r>
              <w:rPr>
                <w:noProof/>
                <w:sz w:val="20"/>
              </w:rPr>
              <w:t>-400 000</w:t>
            </w:r>
          </w:p>
        </w:tc>
      </w:tr>
      <w:tr>
        <w:tc>
          <w:tcPr>
            <w:tcW w:w="1276" w:type="dxa"/>
          </w:tcPr>
          <w:p>
            <w:pPr>
              <w:widowControl w:val="0"/>
              <w:spacing w:before="15" w:after="15"/>
              <w:ind w:right="-113"/>
              <w:jc w:val="both"/>
              <w:rPr>
                <w:noProof/>
                <w:sz w:val="20"/>
                <w:szCs w:val="20"/>
              </w:rPr>
            </w:pPr>
            <w:r>
              <w:rPr>
                <w:noProof/>
                <w:sz w:val="20"/>
              </w:rPr>
              <w:t>05 08 09</w:t>
            </w:r>
          </w:p>
        </w:tc>
        <w:tc>
          <w:tcPr>
            <w:tcW w:w="4961" w:type="dxa"/>
            <w:vAlign w:val="center"/>
          </w:tcPr>
          <w:p>
            <w:pPr>
              <w:widowControl w:val="0"/>
              <w:tabs>
                <w:tab w:val="left" w:pos="1350"/>
              </w:tabs>
              <w:spacing w:before="15" w:after="15"/>
              <w:rPr>
                <w:noProof/>
                <w:sz w:val="16"/>
                <w:szCs w:val="16"/>
              </w:rPr>
            </w:pPr>
            <w:r>
              <w:rPr>
                <w:noProof/>
                <w:sz w:val="16"/>
              </w:rPr>
              <w:t>Fonds européen agricole de garantie (FEAGA) – Assistance technique opérationnelle</w:t>
            </w:r>
          </w:p>
        </w:tc>
        <w:tc>
          <w:tcPr>
            <w:tcW w:w="1701" w:type="dxa"/>
          </w:tcPr>
          <w:p>
            <w:pPr>
              <w:widowControl w:val="0"/>
              <w:spacing w:before="15" w:after="15"/>
              <w:jc w:val="right"/>
              <w:rPr>
                <w:noProof/>
                <w:sz w:val="20"/>
                <w:szCs w:val="20"/>
              </w:rPr>
            </w:pPr>
            <w:r>
              <w:rPr>
                <w:noProof/>
                <w:sz w:val="20"/>
              </w:rPr>
              <w:t>-1 000 000</w:t>
            </w:r>
          </w:p>
        </w:tc>
        <w:tc>
          <w:tcPr>
            <w:tcW w:w="1701" w:type="dxa"/>
          </w:tcPr>
          <w:p>
            <w:pPr>
              <w:widowControl w:val="0"/>
              <w:spacing w:before="15" w:after="15"/>
              <w:jc w:val="right"/>
              <w:rPr>
                <w:noProof/>
                <w:sz w:val="20"/>
                <w:szCs w:val="20"/>
              </w:rPr>
            </w:pPr>
            <w:r>
              <w:rPr>
                <w:noProof/>
                <w:sz w:val="20"/>
              </w:rPr>
              <w:t>-1 000 000</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-1 400 000</w:t>
            </w:r>
          </w:p>
        </w:tc>
        <w:tc>
          <w:tcPr>
            <w:tcW w:w="1701" w:type="dxa"/>
            <w:shd w:val="clear" w:color="auto" w:fill="D9D9D9"/>
          </w:tcPr>
          <w:p>
            <w:pPr>
              <w:widowControl w:val="0"/>
              <w:spacing w:before="15" w:after="15"/>
              <w:jc w:val="right"/>
              <w:rPr>
                <w:b/>
                <w:noProof/>
                <w:sz w:val="20"/>
                <w:szCs w:val="20"/>
              </w:rPr>
            </w:pPr>
            <w:r>
              <w:rPr>
                <w:b/>
                <w:noProof/>
                <w:sz w:val="20"/>
              </w:rPr>
              <w:t>-1 400 000</w:t>
            </w:r>
          </w:p>
        </w:tc>
      </w:tr>
    </w:tbl>
    <w:p>
      <w:pPr>
        <w:keepNext/>
        <w:tabs>
          <w:tab w:val="left" w:pos="850"/>
        </w:tabs>
        <w:spacing w:before="360" w:after="120"/>
        <w:ind w:left="850" w:hanging="850"/>
        <w:jc w:val="both"/>
        <w:outlineLvl w:val="1"/>
        <w:rPr>
          <w:rFonts w:eastAsia="Calibri"/>
          <w:b/>
          <w:noProof/>
        </w:rPr>
      </w:pPr>
      <w:bookmarkStart w:id="31" w:name="_Toc525202230"/>
      <w:bookmarkStart w:id="32" w:name="_Toc527368022"/>
      <w:r>
        <w:rPr>
          <w:b/>
          <w:noProof/>
        </w:rPr>
        <w:t>2.4</w:t>
      </w:r>
      <w:r>
        <w:rPr>
          <w:noProof/>
        </w:rPr>
        <w:tab/>
      </w:r>
      <w:r>
        <w:rPr>
          <w:b/>
          <w:noProof/>
        </w:rPr>
        <w:t>Fonds européen agricole pour le développement rural (Feader)</w:t>
      </w:r>
      <w:bookmarkEnd w:id="31"/>
      <w:bookmarkEnd w:id="32"/>
    </w:p>
    <w:p>
      <w:pPr>
        <w:autoSpaceDE w:val="0"/>
        <w:autoSpaceDN w:val="0"/>
        <w:adjustRightInd w:val="0"/>
        <w:spacing w:before="120" w:after="240"/>
        <w:jc w:val="both"/>
        <w:rPr>
          <w:noProof/>
        </w:rPr>
      </w:pPr>
      <w:r>
        <w:rPr>
          <w:noProof/>
        </w:rPr>
        <w:t>En raison du report d’actions/événements prévus en relation avec le réseau européen de développement rural et le réseau du partenariat européen d’innovation, il est proposé de réduire le niveau des crédits d’engagement du poste 05 04 60 02.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961"/>
        <w:gridCol w:w="1701"/>
        <w:gridCol w:w="1701"/>
      </w:tblGrid>
      <w:tr>
        <w:tc>
          <w:tcPr>
            <w:tcW w:w="9639" w:type="dxa"/>
            <w:gridSpan w:val="4"/>
            <w:tcBorders>
              <w:top w:val="nil"/>
              <w:left w:val="nil"/>
              <w:bottom w:val="single" w:sz="4" w:space="0" w:color="auto"/>
              <w:right w:val="nil"/>
            </w:tcBorders>
            <w:shd w:val="clear" w:color="auto" w:fill="auto"/>
            <w:vAlign w:val="center"/>
          </w:tcPr>
          <w:p>
            <w:pPr>
              <w:widowControl w:val="0"/>
              <w:spacing w:before="15" w:after="15"/>
              <w:jc w:val="right"/>
              <w:rPr>
                <w:i/>
                <w:noProof/>
                <w:sz w:val="20"/>
                <w:szCs w:val="20"/>
              </w:rPr>
            </w:pPr>
            <w:r>
              <w:rPr>
                <w:i/>
                <w:noProof/>
                <w:sz w:val="20"/>
              </w:rPr>
              <w:t>(en EUR)</w:t>
            </w:r>
          </w:p>
        </w:tc>
      </w:tr>
      <w:tr>
        <w:tc>
          <w:tcPr>
            <w:tcW w:w="1276"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Ligne budgétaire</w:t>
            </w:r>
          </w:p>
        </w:tc>
        <w:tc>
          <w:tcPr>
            <w:tcW w:w="496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Intitulé</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Crédits d'engagement</w:t>
            </w:r>
          </w:p>
        </w:tc>
        <w:tc>
          <w:tcPr>
            <w:tcW w:w="1701" w:type="dxa"/>
            <w:tcBorders>
              <w:top w:val="single" w:sz="4" w:space="0" w:color="auto"/>
            </w:tcBorders>
            <w:shd w:val="clear" w:color="auto" w:fill="D9D9D9"/>
            <w:vAlign w:val="center"/>
          </w:tcPr>
          <w:p>
            <w:pPr>
              <w:widowControl w:val="0"/>
              <w:spacing w:before="15" w:after="15"/>
              <w:jc w:val="center"/>
              <w:rPr>
                <w:b/>
                <w:noProof/>
                <w:sz w:val="20"/>
                <w:szCs w:val="20"/>
              </w:rPr>
            </w:pPr>
            <w:r>
              <w:rPr>
                <w:b/>
                <w:noProof/>
                <w:sz w:val="20"/>
              </w:rPr>
              <w:t>Crédits de paiement</w:t>
            </w:r>
          </w:p>
        </w:tc>
      </w:tr>
      <w:tr>
        <w:tc>
          <w:tcPr>
            <w:tcW w:w="1276" w:type="dxa"/>
          </w:tcPr>
          <w:p>
            <w:pPr>
              <w:widowControl w:val="0"/>
              <w:spacing w:before="15" w:after="15"/>
              <w:ind w:right="-113"/>
              <w:jc w:val="both"/>
              <w:rPr>
                <w:noProof/>
                <w:sz w:val="20"/>
                <w:szCs w:val="20"/>
              </w:rPr>
            </w:pPr>
            <w:r>
              <w:rPr>
                <w:noProof/>
                <w:sz w:val="20"/>
              </w:rPr>
              <w:t>05 04 60 02</w:t>
            </w:r>
          </w:p>
        </w:tc>
        <w:tc>
          <w:tcPr>
            <w:tcW w:w="4961" w:type="dxa"/>
          </w:tcPr>
          <w:p>
            <w:pPr>
              <w:widowControl w:val="0"/>
              <w:tabs>
                <w:tab w:val="left" w:pos="1350"/>
              </w:tabs>
              <w:spacing w:before="15" w:after="15"/>
              <w:jc w:val="both"/>
              <w:rPr>
                <w:noProof/>
                <w:sz w:val="16"/>
                <w:szCs w:val="16"/>
              </w:rPr>
            </w:pPr>
            <w:r>
              <w:rPr>
                <w:noProof/>
                <w:sz w:val="16"/>
              </w:rPr>
              <w:t>Assistance technique opérationnelle</w:t>
            </w:r>
          </w:p>
        </w:tc>
        <w:tc>
          <w:tcPr>
            <w:tcW w:w="1701" w:type="dxa"/>
          </w:tcPr>
          <w:p>
            <w:pPr>
              <w:widowControl w:val="0"/>
              <w:spacing w:before="15" w:after="15"/>
              <w:jc w:val="right"/>
              <w:rPr>
                <w:noProof/>
                <w:sz w:val="20"/>
                <w:szCs w:val="20"/>
              </w:rPr>
            </w:pPr>
            <w:r>
              <w:rPr>
                <w:noProof/>
                <w:sz w:val="20"/>
              </w:rPr>
              <w:t>-700 000</w:t>
            </w:r>
          </w:p>
        </w:tc>
        <w:tc>
          <w:tcPr>
            <w:tcW w:w="1701" w:type="dxa"/>
          </w:tcPr>
          <w:p>
            <w:pPr>
              <w:widowControl w:val="0"/>
              <w:spacing w:before="15" w:after="15"/>
              <w:jc w:val="right"/>
              <w:rPr>
                <w:noProof/>
                <w:sz w:val="20"/>
                <w:szCs w:val="20"/>
              </w:rPr>
            </w:pPr>
            <w:r>
              <w:rPr>
                <w:noProof/>
                <w:sz w:val="20"/>
              </w:rPr>
              <w:t>-</w:t>
            </w:r>
          </w:p>
        </w:tc>
      </w:tr>
      <w:tr>
        <w:tc>
          <w:tcPr>
            <w:tcW w:w="6237" w:type="dxa"/>
            <w:gridSpan w:val="2"/>
            <w:shd w:val="clear" w:color="auto" w:fill="D9D9D9"/>
          </w:tcPr>
          <w:p>
            <w:pPr>
              <w:widowControl w:val="0"/>
              <w:tabs>
                <w:tab w:val="left" w:pos="975"/>
              </w:tabs>
              <w:spacing w:before="15" w:after="15"/>
              <w:jc w:val="both"/>
              <w:rPr>
                <w:b/>
                <w:noProof/>
                <w:sz w:val="20"/>
                <w:szCs w:val="20"/>
              </w:rPr>
            </w:pPr>
            <w:r>
              <w:rPr>
                <w:b/>
                <w:noProof/>
                <w:sz w:val="20"/>
              </w:rPr>
              <w:t>Total</w:t>
            </w:r>
            <w:r>
              <w:rPr>
                <w:noProof/>
              </w:rPr>
              <w:tab/>
            </w:r>
          </w:p>
        </w:tc>
        <w:tc>
          <w:tcPr>
            <w:tcW w:w="1701" w:type="dxa"/>
            <w:shd w:val="clear" w:color="auto" w:fill="D9D9D9"/>
          </w:tcPr>
          <w:p>
            <w:pPr>
              <w:widowControl w:val="0"/>
              <w:spacing w:before="15" w:after="15"/>
              <w:jc w:val="right"/>
              <w:rPr>
                <w:b/>
                <w:noProof/>
                <w:sz w:val="20"/>
                <w:szCs w:val="20"/>
              </w:rPr>
            </w:pPr>
            <w:r>
              <w:rPr>
                <w:b/>
                <w:noProof/>
                <w:sz w:val="20"/>
              </w:rPr>
              <w:t>-700 000</w:t>
            </w:r>
          </w:p>
        </w:tc>
        <w:tc>
          <w:tcPr>
            <w:tcW w:w="1701" w:type="dxa"/>
            <w:shd w:val="clear" w:color="auto" w:fill="D9D9D9"/>
          </w:tcPr>
          <w:p>
            <w:pPr>
              <w:widowControl w:val="0"/>
              <w:spacing w:before="15" w:after="15"/>
              <w:jc w:val="right"/>
              <w:rPr>
                <w:b/>
                <w:noProof/>
                <w:sz w:val="20"/>
                <w:szCs w:val="20"/>
              </w:rPr>
            </w:pPr>
            <w:r>
              <w:rPr>
                <w:b/>
                <w:noProof/>
                <w:sz w:val="20"/>
              </w:rPr>
              <w:t>-</w:t>
            </w:r>
          </w:p>
        </w:tc>
      </w:tr>
    </w:tbl>
    <w:p>
      <w:pPr>
        <w:keepNext/>
        <w:tabs>
          <w:tab w:val="left" w:pos="850"/>
        </w:tabs>
        <w:spacing w:before="240" w:after="120"/>
        <w:ind w:left="851" w:hanging="851"/>
        <w:jc w:val="both"/>
        <w:outlineLvl w:val="0"/>
        <w:rPr>
          <w:noProof/>
        </w:rPr>
      </w:pPr>
      <w:bookmarkStart w:id="33" w:name="_Toc494994377"/>
      <w:bookmarkStart w:id="34" w:name="_Toc525202231"/>
      <w:bookmarkStart w:id="35" w:name="_Toc527368023"/>
      <w:bookmarkEnd w:id="20"/>
      <w:bookmarkEnd w:id="21"/>
      <w:bookmarkEnd w:id="22"/>
      <w:r>
        <w:rPr>
          <w:b/>
          <w:smallCaps/>
          <w:noProof/>
        </w:rPr>
        <w:t>3.</w:t>
      </w:r>
      <w:r>
        <w:rPr>
          <w:noProof/>
        </w:rPr>
        <w:tab/>
      </w:r>
      <w:r>
        <w:rPr>
          <w:b/>
          <w:smallCaps/>
          <w:noProof/>
        </w:rPr>
        <w:t>Actualisation des recettes</w:t>
      </w:r>
      <w:bookmarkEnd w:id="33"/>
      <w:bookmarkEnd w:id="34"/>
      <w:bookmarkEnd w:id="35"/>
      <w:r>
        <w:rPr>
          <w:b/>
          <w:smallCaps/>
          <w:noProof/>
        </w:rPr>
        <w:t xml:space="preserve"> </w:t>
      </w:r>
    </w:p>
    <w:p>
      <w:pPr>
        <w:keepNext/>
        <w:tabs>
          <w:tab w:val="left" w:pos="850"/>
        </w:tabs>
        <w:spacing w:before="360" w:after="120"/>
        <w:ind w:left="850" w:hanging="850"/>
        <w:jc w:val="both"/>
        <w:outlineLvl w:val="1"/>
        <w:rPr>
          <w:rFonts w:eastAsia="Calibri"/>
          <w:b/>
          <w:noProof/>
        </w:rPr>
      </w:pPr>
      <w:bookmarkStart w:id="36" w:name="_Toc462410058"/>
      <w:bookmarkStart w:id="37" w:name="_Toc494994378"/>
      <w:bookmarkStart w:id="38" w:name="_Toc525202232"/>
      <w:bookmarkStart w:id="39" w:name="_Toc527368024"/>
      <w:r>
        <w:rPr>
          <w:b/>
          <w:noProof/>
        </w:rPr>
        <w:t>3.1</w:t>
      </w:r>
      <w:r>
        <w:rPr>
          <w:noProof/>
        </w:rPr>
        <w:tab/>
      </w:r>
      <w:r>
        <w:rPr>
          <w:b/>
          <w:noProof/>
        </w:rPr>
        <w:t>Incidence globale du PBR n° 6/2018 sur la répartition, entre États membres, de l’ensemble des versements de ressources propres</w:t>
      </w:r>
      <w:bookmarkEnd w:id="36"/>
      <w:bookmarkEnd w:id="37"/>
      <w:bookmarkEnd w:id="38"/>
      <w:bookmarkEnd w:id="39"/>
    </w:p>
    <w:p>
      <w:pPr>
        <w:autoSpaceDE w:val="0"/>
        <w:autoSpaceDN w:val="0"/>
        <w:adjustRightInd w:val="0"/>
        <w:spacing w:before="120" w:after="240"/>
        <w:jc w:val="both"/>
        <w:rPr>
          <w:noProof/>
        </w:rPr>
      </w:pPr>
      <w:r>
        <w:rPr>
          <w:noProof/>
        </w:rPr>
        <w:t>À la suite de la 172</w:t>
      </w:r>
      <w:r>
        <w:rPr>
          <w:noProof/>
          <w:vertAlign w:val="superscript"/>
        </w:rPr>
        <w:t>e</w:t>
      </w:r>
      <w:r>
        <w:rPr>
          <w:noProof/>
        </w:rPr>
        <w:t xml:space="preserve"> réunion du comité consultatif des ressources propres (CCRP) du 18 mai 2018, il est nécessaire de procéder à deux ajustements du volet des recettes du budget. Le premier de ces ajustements consiste en une actualisation des estimations en ce qui concerne les RPT (ressources propres traditionnelles) ainsi que les ressources TVA (taxe sur la valeur ajoutée) et RNB (revenu national brut), compte tenu de prévisions économiques plus récentes. Le second ajustement concernant le volet des recettes est lié à la mise à jour de la correction britannique. Ces deux ajustements sont présentés aux sections 3.2 et 3.3 ci-dessous.</w:t>
      </w:r>
    </w:p>
    <w:p>
      <w:pPr>
        <w:rPr>
          <w:noProof/>
        </w:rPr>
      </w:pPr>
      <w:r>
        <w:rPr>
          <w:noProof/>
        </w:rPr>
        <w:br w:type="page"/>
      </w:r>
    </w:p>
    <w:p>
      <w:pPr>
        <w:autoSpaceDE w:val="0"/>
        <w:autoSpaceDN w:val="0"/>
        <w:adjustRightInd w:val="0"/>
        <w:spacing w:before="120" w:after="240"/>
        <w:jc w:val="both"/>
        <w:rPr>
          <w:noProof/>
        </w:rPr>
      </w:pPr>
      <w:r>
        <w:rPr>
          <w:noProof/>
        </w:rPr>
        <w:t>L’incidence globale des ajustements des dépenses et des recettes du présent PBR est présentée dans le tableau récapitulatif ci-dessous. Ce tableau indique également la répartition, entre États membres, de l’ensemble des versements de ressources propres tels qu’ils figurent dans le budget 2018, tels qu’ils ont été ajustés à la suite du budget rectificatif (BR) n° 4/2018</w:t>
      </w:r>
      <w:r>
        <w:rPr>
          <w:rStyle w:val="FootnoteReference"/>
          <w:noProof/>
          <w:sz w:val="20"/>
        </w:rPr>
        <w:footnoteReference w:id="9"/>
      </w:r>
      <w:r>
        <w:rPr>
          <w:noProof/>
        </w:rPr>
        <w:t>, et enfin tels qu’ils sont inscrits dans le présent PBR.</w:t>
      </w:r>
    </w:p>
    <w:p>
      <w:pPr>
        <w:jc w:val="center"/>
        <w:rPr>
          <w:b/>
          <w:noProof/>
        </w:rPr>
      </w:pPr>
      <w:r>
        <w:rPr>
          <w:b/>
          <w:noProof/>
        </w:rPr>
        <w:t>Répartition de l’ensemble des versements de ressources propres par État membre (en Mio EUR)</w:t>
      </w:r>
    </w:p>
    <w:p>
      <w:pPr>
        <w:rPr>
          <w:b/>
          <w:noProof/>
        </w:rPr>
      </w:pPr>
    </w:p>
    <w:tbl>
      <w:tblPr>
        <w:tblW w:w="5440" w:type="dxa"/>
        <w:jc w:val="center"/>
        <w:tblLook w:val="04A0" w:firstRow="1" w:lastRow="0" w:firstColumn="1" w:lastColumn="0" w:noHBand="0" w:noVBand="1"/>
      </w:tblPr>
      <w:tblGrid>
        <w:gridCol w:w="960"/>
        <w:gridCol w:w="1460"/>
        <w:gridCol w:w="1520"/>
        <w:gridCol w:w="1500"/>
      </w:tblGrid>
      <w:tr>
        <w:trPr>
          <w:trHeight w:val="375"/>
          <w:tblHeader/>
          <w:jc w:val="center"/>
        </w:trPr>
        <w:tc>
          <w:tcPr>
            <w:tcW w:w="9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pPr>
              <w:jc w:val="center"/>
              <w:rPr>
                <w:b/>
                <w:bCs/>
                <w:noProof/>
                <w:color w:val="000000"/>
                <w:sz w:val="20"/>
              </w:rPr>
            </w:pPr>
          </w:p>
        </w:tc>
        <w:tc>
          <w:tcPr>
            <w:tcW w:w="146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noProof/>
                <w:color w:val="000000"/>
                <w:sz w:val="20"/>
              </w:rPr>
              <w:t>Budget 2018</w:t>
            </w:r>
          </w:p>
        </w:tc>
        <w:tc>
          <w:tcPr>
            <w:tcW w:w="152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noProof/>
                <w:color w:val="000000"/>
                <w:sz w:val="20"/>
              </w:rPr>
              <w:t>BR 4/2018</w:t>
            </w:r>
          </w:p>
        </w:tc>
        <w:tc>
          <w:tcPr>
            <w:tcW w:w="1500" w:type="dxa"/>
            <w:vMerge w:val="restart"/>
            <w:tcBorders>
              <w:top w:val="single" w:sz="8" w:space="0" w:color="auto"/>
              <w:left w:val="single" w:sz="4" w:space="0" w:color="auto"/>
              <w:bottom w:val="single" w:sz="4" w:space="0" w:color="000000"/>
              <w:right w:val="single" w:sz="4" w:space="0" w:color="auto"/>
            </w:tcBorders>
            <w:shd w:val="clear" w:color="000000" w:fill="E0E0E0"/>
            <w:vAlign w:val="center"/>
            <w:hideMark/>
          </w:tcPr>
          <w:p>
            <w:pPr>
              <w:jc w:val="center"/>
              <w:rPr>
                <w:b/>
                <w:bCs/>
                <w:noProof/>
                <w:color w:val="000000"/>
                <w:sz w:val="20"/>
              </w:rPr>
            </w:pPr>
            <w:r>
              <w:rPr>
                <w:b/>
                <w:noProof/>
                <w:color w:val="000000"/>
                <w:sz w:val="20"/>
              </w:rPr>
              <w:t>PBR 6/2018</w:t>
            </w:r>
          </w:p>
        </w:tc>
      </w:tr>
      <w:tr>
        <w:trPr>
          <w:trHeight w:val="230"/>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2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c>
          <w:tcPr>
            <w:tcW w:w="1500" w:type="dxa"/>
            <w:vMerge/>
            <w:tcBorders>
              <w:top w:val="single" w:sz="8" w:space="0" w:color="auto"/>
              <w:left w:val="single" w:sz="4" w:space="0" w:color="auto"/>
              <w:bottom w:val="single" w:sz="4" w:space="0" w:color="000000"/>
              <w:right w:val="single" w:sz="4" w:space="0" w:color="auto"/>
            </w:tcBorders>
            <w:vAlign w:val="center"/>
            <w:hideMark/>
          </w:tcPr>
          <w:p>
            <w:pPr>
              <w:rPr>
                <w:b/>
                <w:bCs/>
                <w:noProof/>
                <w:color w:val="000000"/>
                <w:sz w:val="20"/>
              </w:rPr>
            </w:pPr>
          </w:p>
        </w:tc>
      </w:tr>
      <w:tr>
        <w:trPr>
          <w:trHeight w:val="209"/>
          <w:tblHeader/>
          <w:jc w:val="center"/>
        </w:trPr>
        <w:tc>
          <w:tcPr>
            <w:tcW w:w="960" w:type="dxa"/>
            <w:vMerge/>
            <w:tcBorders>
              <w:top w:val="single" w:sz="8" w:space="0" w:color="auto"/>
              <w:left w:val="single" w:sz="8" w:space="0" w:color="auto"/>
              <w:bottom w:val="single" w:sz="4" w:space="0" w:color="000000"/>
              <w:right w:val="single" w:sz="4" w:space="0" w:color="auto"/>
            </w:tcBorders>
            <w:vAlign w:val="center"/>
            <w:hideMark/>
          </w:tcPr>
          <w:p>
            <w:pPr>
              <w:rPr>
                <w:b/>
                <w:bCs/>
                <w:noProof/>
                <w:color w:val="000000"/>
                <w:sz w:val="20"/>
              </w:rPr>
            </w:pPr>
          </w:p>
        </w:tc>
        <w:tc>
          <w:tcPr>
            <w:tcW w:w="146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(1)</w:t>
            </w:r>
          </w:p>
        </w:tc>
        <w:tc>
          <w:tcPr>
            <w:tcW w:w="152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(2)</w:t>
            </w:r>
          </w:p>
        </w:tc>
        <w:tc>
          <w:tcPr>
            <w:tcW w:w="1500" w:type="dxa"/>
            <w:tcBorders>
              <w:top w:val="nil"/>
              <w:left w:val="nil"/>
              <w:bottom w:val="single" w:sz="4" w:space="0" w:color="auto"/>
              <w:right w:val="single" w:sz="4" w:space="0" w:color="auto"/>
            </w:tcBorders>
            <w:shd w:val="clear" w:color="000000" w:fill="E0E0E0"/>
            <w:vAlign w:val="center"/>
            <w:hideMark/>
          </w:tcPr>
          <w:p>
            <w:pPr>
              <w:jc w:val="center"/>
              <w:rPr>
                <w:noProof/>
                <w:color w:val="000000"/>
                <w:sz w:val="20"/>
              </w:rPr>
            </w:pPr>
            <w:r>
              <w:rPr>
                <w:noProof/>
                <w:color w:val="000000"/>
                <w:sz w:val="20"/>
              </w:rPr>
              <w:t>(3)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BE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6 213,5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6 201,5 </w:t>
            </w:r>
          </w:p>
        </w:tc>
        <w:tc>
          <w:tcPr>
            <w:tcW w:w="1500" w:type="dxa"/>
            <w:tcBorders>
              <w:top w:val="single" w:sz="4" w:space="0" w:color="auto"/>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5 932,0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BG</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519,3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518,0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 535,3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CZ</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1 787,1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1 782,3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1 941,3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DK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2 754,8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2 746,6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2 735,6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DE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29 560,3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29 468,7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29 579,3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EE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232,3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231,7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 241,5</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IE</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2 299,5 </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2 293,0 </w:t>
            </w:r>
          </w:p>
        </w:tc>
        <w:tc>
          <w:tcPr>
            <w:tcW w:w="1500" w:type="dxa"/>
            <w:tcBorders>
              <w:top w:val="single" w:sz="4" w:space="0" w:color="auto"/>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2 401,4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EL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1 743,0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1 737,9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1 701,8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ES</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11 870,8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11 838,5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11 831,1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FR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21 933,3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21 869,0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22 182,5</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HR</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470,1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468,8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 479,9</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noProof/>
                <w:color w:val="000000"/>
                <w:sz w:val="20"/>
              </w:rPr>
              <w:t>IT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16 586,9 </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16 539,8 </w:t>
            </w:r>
          </w:p>
        </w:tc>
        <w:tc>
          <w:tcPr>
            <w:tcW w:w="1500" w:type="dxa"/>
            <w:tcBorders>
              <w:top w:val="nil"/>
              <w:left w:val="nil"/>
              <w:bottom w:val="single" w:sz="4" w:space="0" w:color="auto"/>
              <w:right w:val="single" w:sz="4" w:space="0" w:color="auto"/>
            </w:tcBorders>
            <w:shd w:val="clear" w:color="auto" w:fill="FFFFFF" w:themeFill="background1"/>
            <w:noWrap/>
            <w:vAlign w:val="center"/>
          </w:tcPr>
          <w:p>
            <w:pPr>
              <w:jc w:val="right"/>
              <w:rPr>
                <w:noProof/>
                <w:sz w:val="20"/>
                <w:highlight w:val="yellow"/>
              </w:rPr>
            </w:pPr>
            <w:r>
              <w:rPr>
                <w:noProof/>
                <w:sz w:val="20"/>
              </w:rPr>
              <w:t>16 714,2</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CY</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182,2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181,7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 195,0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LV</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281,8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281,1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 274,0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LT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434,1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433,0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 439,4</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LU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363,0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361,9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 363,6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HU</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1,199,6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1 196,3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1 223,7</w:t>
            </w:r>
          </w:p>
        </w:tc>
      </w:tr>
      <w:tr>
        <w:trPr>
          <w:trHeight w:val="300"/>
          <w:jc w:val="center"/>
        </w:trPr>
        <w:tc>
          <w:tcPr>
            <w:tcW w:w="960" w:type="dxa"/>
            <w:tcBorders>
              <w:top w:val="single" w:sz="4" w:space="0" w:color="auto"/>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MT</w:t>
            </w:r>
          </w:p>
        </w:tc>
        <w:tc>
          <w:tcPr>
            <w:tcW w:w="146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103,6 </w:t>
            </w:r>
          </w:p>
        </w:tc>
        <w:tc>
          <w:tcPr>
            <w:tcW w:w="1520" w:type="dxa"/>
            <w:tcBorders>
              <w:top w:val="single" w:sz="4" w:space="0" w:color="auto"/>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103,3 </w:t>
            </w:r>
          </w:p>
        </w:tc>
        <w:tc>
          <w:tcPr>
            <w:tcW w:w="1500" w:type="dxa"/>
            <w:tcBorders>
              <w:top w:val="single" w:sz="4" w:space="0" w:color="auto"/>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 110,6</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NL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7 378,4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7 358,6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7 331,7</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AT</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3 228,2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3 218,2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3 353,1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PL</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4 645,3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4 632,7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4 779,7</w:t>
            </w:r>
          </w:p>
        </w:tc>
      </w:tr>
      <w:tr>
        <w:trPr>
          <w:trHeight w:val="30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pPr>
              <w:jc w:val="center"/>
              <w:rPr>
                <w:b/>
                <w:bCs/>
                <w:noProof/>
                <w:color w:val="000000"/>
                <w:sz w:val="20"/>
              </w:rPr>
            </w:pPr>
            <w:r>
              <w:rPr>
                <w:b/>
                <w:noProof/>
                <w:color w:val="000000"/>
                <w:sz w:val="20"/>
              </w:rPr>
              <w:t>PT</w:t>
            </w:r>
          </w:p>
        </w:tc>
        <w:tc>
          <w:tcPr>
            <w:tcW w:w="146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1 824,8 </w:t>
            </w:r>
          </w:p>
        </w:tc>
        <w:tc>
          <w:tcPr>
            <w:tcW w:w="1520" w:type="dxa"/>
            <w:tcBorders>
              <w:top w:val="nil"/>
              <w:left w:val="nil"/>
              <w:bottom w:val="single" w:sz="4" w:space="0" w:color="auto"/>
              <w:right w:val="single" w:sz="4" w:space="0" w:color="auto"/>
            </w:tcBorders>
            <w:shd w:val="clear" w:color="auto" w:fill="auto"/>
            <w:noWrap/>
            <w:vAlign w:val="bottom"/>
          </w:tcPr>
          <w:p>
            <w:pPr>
              <w:jc w:val="right"/>
              <w:rPr>
                <w:noProof/>
                <w:color w:val="000000"/>
                <w:sz w:val="20"/>
              </w:rPr>
            </w:pPr>
            <w:r>
              <w:rPr>
                <w:noProof/>
                <w:color w:val="000000"/>
                <w:sz w:val="20"/>
              </w:rPr>
              <w:t xml:space="preserve"> 1 819,6 </w:t>
            </w:r>
          </w:p>
        </w:tc>
        <w:tc>
          <w:tcPr>
            <w:tcW w:w="1500" w:type="dxa"/>
            <w:tcBorders>
              <w:top w:val="nil"/>
              <w:left w:val="nil"/>
              <w:bottom w:val="single" w:sz="4" w:space="0" w:color="auto"/>
              <w:right w:val="single" w:sz="4" w:space="0" w:color="auto"/>
            </w:tcBorders>
            <w:shd w:val="clear" w:color="auto" w:fill="FFFFFF" w:themeFill="background1"/>
            <w:noWrap/>
            <w:vAlign w:val="center"/>
          </w:tcPr>
          <w:p>
            <w:pPr>
              <w:jc w:val="right"/>
              <w:rPr>
                <w:noProof/>
                <w:sz w:val="20"/>
                <w:highlight w:val="yellow"/>
              </w:rPr>
            </w:pPr>
            <w:r>
              <w:rPr>
                <w:noProof/>
                <w:sz w:val="20"/>
              </w:rPr>
              <w:t>1 865,3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RO</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1 706,0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1 701,0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1 803,3</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SI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443,9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442,8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 456,8</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SK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813,5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811,2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 829,9</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FI</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2 062,3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2 056,2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2 132,1</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SE</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4 042,0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4 028,5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4 013,0</w:t>
            </w:r>
          </w:p>
        </w:tc>
      </w:tr>
      <w:tr>
        <w:trPr>
          <w:trHeight w:val="300"/>
          <w:jc w:val="center"/>
        </w:trPr>
        <w:tc>
          <w:tcPr>
            <w:tcW w:w="960" w:type="dxa"/>
            <w:tcBorders>
              <w:top w:val="nil"/>
              <w:left w:val="single" w:sz="8" w:space="0" w:color="auto"/>
              <w:bottom w:val="nil"/>
              <w:right w:val="single" w:sz="4" w:space="0" w:color="auto"/>
            </w:tcBorders>
            <w:shd w:val="clear" w:color="auto" w:fill="auto"/>
            <w:vAlign w:val="center"/>
            <w:hideMark/>
          </w:tcPr>
          <w:p>
            <w:pPr>
              <w:jc w:val="center"/>
              <w:rPr>
                <w:b/>
                <w:bCs/>
                <w:noProof/>
                <w:color w:val="000000"/>
                <w:sz w:val="20"/>
              </w:rPr>
            </w:pPr>
            <w:r>
              <w:rPr>
                <w:b/>
                <w:noProof/>
                <w:color w:val="000000"/>
                <w:sz w:val="20"/>
              </w:rPr>
              <w:t>UK</w:t>
            </w:r>
          </w:p>
        </w:tc>
        <w:tc>
          <w:tcPr>
            <w:tcW w:w="146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18 152,6 </w:t>
            </w:r>
          </w:p>
        </w:tc>
        <w:tc>
          <w:tcPr>
            <w:tcW w:w="1520" w:type="dxa"/>
            <w:tcBorders>
              <w:top w:val="nil"/>
              <w:left w:val="nil"/>
              <w:bottom w:val="nil"/>
              <w:right w:val="single" w:sz="4" w:space="0" w:color="auto"/>
            </w:tcBorders>
            <w:shd w:val="clear" w:color="auto" w:fill="auto"/>
            <w:noWrap/>
            <w:vAlign w:val="bottom"/>
          </w:tcPr>
          <w:p>
            <w:pPr>
              <w:jc w:val="right"/>
              <w:rPr>
                <w:noProof/>
                <w:color w:val="000000"/>
                <w:sz w:val="20"/>
              </w:rPr>
            </w:pPr>
            <w:r>
              <w:rPr>
                <w:noProof/>
                <w:color w:val="000000"/>
                <w:sz w:val="20"/>
              </w:rPr>
              <w:t xml:space="preserve"> 18 086,7 </w:t>
            </w:r>
          </w:p>
        </w:tc>
        <w:tc>
          <w:tcPr>
            <w:tcW w:w="1500" w:type="dxa"/>
            <w:tcBorders>
              <w:top w:val="nil"/>
              <w:left w:val="nil"/>
              <w:bottom w:val="nil"/>
              <w:right w:val="single" w:sz="4" w:space="0" w:color="auto"/>
            </w:tcBorders>
            <w:shd w:val="clear" w:color="auto" w:fill="FFFFFF" w:themeFill="background1"/>
            <w:noWrap/>
            <w:vAlign w:val="center"/>
          </w:tcPr>
          <w:p>
            <w:pPr>
              <w:jc w:val="right"/>
              <w:rPr>
                <w:noProof/>
                <w:sz w:val="20"/>
                <w:highlight w:val="yellow"/>
              </w:rPr>
            </w:pPr>
            <w:r>
              <w:rPr>
                <w:noProof/>
                <w:sz w:val="20"/>
              </w:rPr>
              <w:t>16 916,5</w:t>
            </w:r>
          </w:p>
        </w:tc>
      </w:tr>
      <w:tr>
        <w:trPr>
          <w:trHeight w:val="315"/>
          <w:jc w:val="center"/>
        </w:trPr>
        <w:tc>
          <w:tcPr>
            <w:tcW w:w="960" w:type="dxa"/>
            <w:tcBorders>
              <w:top w:val="single" w:sz="4" w:space="0" w:color="auto"/>
              <w:left w:val="single" w:sz="8" w:space="0" w:color="auto"/>
              <w:bottom w:val="single" w:sz="8" w:space="0" w:color="auto"/>
              <w:right w:val="single" w:sz="4" w:space="0" w:color="auto"/>
            </w:tcBorders>
            <w:shd w:val="clear" w:color="auto" w:fill="auto"/>
            <w:vAlign w:val="center"/>
            <w:hideMark/>
          </w:tcPr>
          <w:p>
            <w:pPr>
              <w:jc w:val="center"/>
              <w:rPr>
                <w:b/>
                <w:bCs/>
                <w:noProof/>
                <w:color w:val="000000"/>
                <w:sz w:val="20"/>
              </w:rPr>
            </w:pPr>
            <w:r>
              <w:rPr>
                <w:b/>
                <w:noProof/>
                <w:color w:val="000000"/>
                <w:sz w:val="20"/>
              </w:rPr>
              <w:t>UE</w:t>
            </w:r>
          </w:p>
        </w:tc>
        <w:tc>
          <w:tcPr>
            <w:tcW w:w="146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rPr>
            </w:pPr>
            <w:r>
              <w:rPr>
                <w:b/>
                <w:noProof/>
                <w:sz w:val="20"/>
              </w:rPr>
              <w:t>142 832,3</w:t>
            </w:r>
          </w:p>
        </w:tc>
        <w:tc>
          <w:tcPr>
            <w:tcW w:w="1520" w:type="dxa"/>
            <w:tcBorders>
              <w:top w:val="single" w:sz="4" w:space="0" w:color="auto"/>
              <w:left w:val="nil"/>
              <w:bottom w:val="single" w:sz="8" w:space="0" w:color="auto"/>
              <w:right w:val="single" w:sz="4" w:space="0" w:color="auto"/>
            </w:tcBorders>
            <w:shd w:val="clear" w:color="auto" w:fill="auto"/>
            <w:vAlign w:val="center"/>
          </w:tcPr>
          <w:p>
            <w:pPr>
              <w:jc w:val="right"/>
              <w:rPr>
                <w:b/>
                <w:bCs/>
                <w:noProof/>
                <w:sz w:val="20"/>
              </w:rPr>
            </w:pPr>
            <w:r>
              <w:rPr>
                <w:b/>
                <w:noProof/>
                <w:sz w:val="20"/>
              </w:rPr>
              <w:t>142 408,4</w:t>
            </w:r>
          </w:p>
        </w:tc>
        <w:tc>
          <w:tcPr>
            <w:tcW w:w="1500" w:type="dxa"/>
            <w:tcBorders>
              <w:top w:val="single" w:sz="4" w:space="0" w:color="auto"/>
              <w:left w:val="nil"/>
              <w:bottom w:val="single" w:sz="8" w:space="0" w:color="auto"/>
              <w:right w:val="single" w:sz="4" w:space="0" w:color="auto"/>
            </w:tcBorders>
            <w:shd w:val="clear" w:color="auto" w:fill="FFFFFF" w:themeFill="background1"/>
            <w:vAlign w:val="center"/>
          </w:tcPr>
          <w:p>
            <w:pPr>
              <w:jc w:val="right"/>
              <w:rPr>
                <w:b/>
                <w:bCs/>
                <w:noProof/>
                <w:sz w:val="20"/>
                <w:highlight w:val="yellow"/>
              </w:rPr>
            </w:pPr>
            <w:r>
              <w:rPr>
                <w:b/>
                <w:noProof/>
                <w:sz w:val="20"/>
              </w:rPr>
              <w:t>142 363,7</w:t>
            </w:r>
          </w:p>
        </w:tc>
      </w:tr>
    </w:tbl>
    <w:p>
      <w:pPr>
        <w:rPr>
          <w:rFonts w:eastAsia="Calibri"/>
          <w:b/>
          <w:noProof/>
        </w:rPr>
      </w:pPr>
      <w:bookmarkStart w:id="40" w:name="_Toc462410059"/>
      <w:bookmarkStart w:id="41" w:name="_Toc525202233"/>
      <w:r>
        <w:rPr>
          <w:noProof/>
        </w:rPr>
        <w:br w:type="page"/>
      </w:r>
    </w:p>
    <w:p>
      <w:pPr>
        <w:keepNext/>
        <w:tabs>
          <w:tab w:val="left" w:pos="850"/>
        </w:tabs>
        <w:spacing w:before="360" w:after="120"/>
        <w:ind w:left="850" w:hanging="850"/>
        <w:jc w:val="both"/>
        <w:outlineLvl w:val="1"/>
        <w:rPr>
          <w:rFonts w:eastAsia="Calibri"/>
          <w:b/>
          <w:noProof/>
        </w:rPr>
      </w:pPr>
      <w:bookmarkStart w:id="42" w:name="_Toc527368025"/>
      <w:r>
        <w:rPr>
          <w:b/>
          <w:noProof/>
        </w:rPr>
        <w:t>3.2</w:t>
      </w:r>
      <w:r>
        <w:rPr>
          <w:noProof/>
        </w:rPr>
        <w:tab/>
      </w:r>
      <w:r>
        <w:rPr>
          <w:b/>
          <w:noProof/>
        </w:rPr>
        <w:t>Révision des prévisions relatives aux RPT et aux assiettes TVA et RNB</w:t>
      </w:r>
      <w:bookmarkEnd w:id="40"/>
      <w:bookmarkEnd w:id="41"/>
      <w:bookmarkEnd w:id="42"/>
    </w:p>
    <w:p>
      <w:pPr>
        <w:spacing w:before="120" w:after="120"/>
        <w:jc w:val="both"/>
        <w:rPr>
          <w:noProof/>
        </w:rPr>
      </w:pPr>
      <w:r>
        <w:rPr>
          <w:noProof/>
        </w:rPr>
        <w:t xml:space="preserve">Conformément aux pratiques établies, la Commission propose de réviser le financement du budget sur la base de prévisions économiques plus récentes, arrêtées avec les États membres lors de la réunion du CCRP. </w:t>
      </w:r>
    </w:p>
    <w:p>
      <w:pPr>
        <w:spacing w:before="120" w:after="120"/>
        <w:jc w:val="both"/>
        <w:rPr>
          <w:noProof/>
        </w:rPr>
      </w:pPr>
      <w:r>
        <w:rPr>
          <w:noProof/>
        </w:rPr>
        <w:t>Cette révision porte sur les prévisions relatives aux ressources propres traditionnelles (RPT) à verser au budget en 2018, ainsi que sur les prévisions relatives aux assiettes de la TVA et du RNB de 2018. Les prévisions figurant dans le budget 2018 ont été établies lors de la 169</w:t>
      </w:r>
      <w:r>
        <w:rPr>
          <w:noProof/>
          <w:vertAlign w:val="superscript"/>
        </w:rPr>
        <w:t>e</w:t>
      </w:r>
      <w:r>
        <w:rPr>
          <w:noProof/>
        </w:rPr>
        <w:t> réunion du CCRP, qui s'est tenue le 19 mai 2017. La révision prévue dans le présent PBR tient compte des prévisions arrêtées lors de la 172</w:t>
      </w:r>
      <w:r>
        <w:rPr>
          <w:noProof/>
          <w:vertAlign w:val="superscript"/>
        </w:rPr>
        <w:t>e</w:t>
      </w:r>
      <w:r>
        <w:rPr>
          <w:noProof/>
        </w:rPr>
        <w:t> réunion du CCRP, tenue le 18 mai 2018. L’utilisation de prévisions actualisées des ressources propres rend plus précise la détermination des prévisions de recettes et, partant, des versements demandés aux États membres en faveur du budget de l’UE pendant l’exercice budgétaire.</w:t>
      </w:r>
    </w:p>
    <w:p>
      <w:pPr>
        <w:spacing w:before="120" w:after="120"/>
        <w:jc w:val="both"/>
        <w:rPr>
          <w:noProof/>
        </w:rPr>
      </w:pPr>
      <w:r>
        <w:rPr>
          <w:noProof/>
        </w:rPr>
        <w:t>Par rapport aux prévisions arrêtées en mai 2017, les prévisions pour 2018 ont été révisées comme suit:</w:t>
      </w:r>
    </w:p>
    <w:p>
      <w:pPr>
        <w:numPr>
          <w:ilvl w:val="0"/>
          <w:numId w:val="2"/>
        </w:numPr>
        <w:spacing w:before="120" w:after="240"/>
        <w:jc w:val="both"/>
        <w:rPr>
          <w:noProof/>
        </w:rPr>
      </w:pPr>
      <w:r>
        <w:rPr>
          <w:noProof/>
        </w:rPr>
        <w:t>Le total des droits de douane nets pour 2018 est désormais estimé à 20 164,6 millions d’EUR (après déduction des 20 % de frais de perception), ce qui représente une diminution de 11,73 % par rapport aux prévisions figurant dans le budget 2018, qui étaient de 22 844,0 millions d’EUR. La Commission a comparé les résultats de la méthode traditionnelle appliquée par le CCRP pour les prévisions (sur la base des prévisions macroéconomiques du printemps 2018) avec ceux de l’extrapolation fondée sur les dernières données disponibles en matière de perception des droits de douane (janvier – avril 2018). Étant donné que l’écart entre les deux méthodes était relativement important, les prévisions en matière de RPT actualisées suivant la méthode traditionnelle du CCRP ont été intégralement ajustées aux prévisions découlant de la méthode d’extrapolation. Toutefois, en tenant également compte des montants encaissés après la réunion du CCRP (mai – août 2018), et sur la base de la même méthode d’extrapolation, la Commission a à présent actualisé son estimation pour les droits de douane nets en 2018.</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25"/>
        <w:gridCol w:w="2846"/>
        <w:gridCol w:w="2846"/>
      </w:tblGrid>
      <w:tr>
        <w:trPr>
          <w:trHeight w:val="625"/>
          <w:jc w:val="center"/>
        </w:trPr>
        <w:tc>
          <w:tcPr>
            <w:tcW w:w="2225" w:type="dxa"/>
            <w:shd w:val="clear" w:color="auto" w:fill="D9D9D9" w:themeFill="background1" w:themeFillShade="D9"/>
            <w:vAlign w:val="center"/>
          </w:tcPr>
          <w:p>
            <w:pPr>
              <w:spacing w:before="60" w:after="60"/>
              <w:jc w:val="center"/>
              <w:rPr>
                <w:b/>
                <w:noProof/>
                <w:sz w:val="20"/>
                <w:szCs w:val="20"/>
              </w:rPr>
            </w:pPr>
            <w:r>
              <w:rPr>
                <w:b/>
                <w:noProof/>
                <w:sz w:val="20"/>
              </w:rPr>
              <w:t>Prévisions</w:t>
            </w:r>
          </w:p>
        </w:tc>
        <w:tc>
          <w:tcPr>
            <w:tcW w:w="2846" w:type="dxa"/>
            <w:shd w:val="clear" w:color="auto" w:fill="D9D9D9" w:themeFill="background1" w:themeFillShade="D9"/>
            <w:vAlign w:val="center"/>
          </w:tcPr>
          <w:p>
            <w:pPr>
              <w:spacing w:before="60" w:after="60"/>
              <w:jc w:val="center"/>
              <w:rPr>
                <w:b/>
                <w:noProof/>
                <w:sz w:val="20"/>
                <w:szCs w:val="20"/>
              </w:rPr>
            </w:pPr>
            <w:r>
              <w:rPr>
                <w:b/>
                <w:noProof/>
                <w:sz w:val="20"/>
              </w:rPr>
              <w:t>Montant en millions d'EUR</w:t>
            </w:r>
          </w:p>
        </w:tc>
        <w:tc>
          <w:tcPr>
            <w:tcW w:w="2846" w:type="dxa"/>
            <w:shd w:val="clear" w:color="auto" w:fill="D9D9D9" w:themeFill="background1" w:themeFillShade="D9"/>
            <w:vAlign w:val="center"/>
          </w:tcPr>
          <w:p>
            <w:pPr>
              <w:spacing w:before="60" w:after="60"/>
              <w:jc w:val="center"/>
              <w:rPr>
                <w:b/>
                <w:noProof/>
                <w:sz w:val="20"/>
                <w:szCs w:val="20"/>
              </w:rPr>
            </w:pPr>
            <w:r>
              <w:rPr>
                <w:b/>
                <w:noProof/>
                <w:sz w:val="20"/>
              </w:rPr>
              <w:t>Écart avec les prévisions précédentes</w:t>
            </w:r>
          </w:p>
        </w:tc>
      </w:tr>
      <w:tr>
        <w:trPr>
          <w:trHeight w:val="305"/>
          <w:jc w:val="center"/>
        </w:trPr>
        <w:tc>
          <w:tcPr>
            <w:tcW w:w="2225" w:type="dxa"/>
            <w:vAlign w:val="center"/>
          </w:tcPr>
          <w:p>
            <w:pPr>
              <w:spacing w:before="60" w:after="60"/>
              <w:jc w:val="center"/>
              <w:rPr>
                <w:noProof/>
                <w:sz w:val="20"/>
                <w:szCs w:val="20"/>
              </w:rPr>
            </w:pPr>
            <w:r>
              <w:rPr>
                <w:noProof/>
                <w:sz w:val="20"/>
              </w:rPr>
              <w:t>Budget 2018</w:t>
            </w:r>
          </w:p>
        </w:tc>
        <w:tc>
          <w:tcPr>
            <w:tcW w:w="2846" w:type="dxa"/>
            <w:vAlign w:val="center"/>
          </w:tcPr>
          <w:p>
            <w:pPr>
              <w:spacing w:before="60" w:after="60"/>
              <w:jc w:val="center"/>
              <w:rPr>
                <w:noProof/>
                <w:sz w:val="20"/>
                <w:szCs w:val="20"/>
              </w:rPr>
            </w:pPr>
            <w:r>
              <w:rPr>
                <w:noProof/>
                <w:sz w:val="20"/>
              </w:rPr>
              <w:t>22 844,0</w:t>
            </w:r>
          </w:p>
        </w:tc>
        <w:tc>
          <w:tcPr>
            <w:tcW w:w="2846" w:type="dxa"/>
            <w:vAlign w:val="center"/>
          </w:tcPr>
          <w:p>
            <w:pPr>
              <w:spacing w:before="60" w:after="60"/>
              <w:jc w:val="center"/>
              <w:rPr>
                <w:noProof/>
                <w:sz w:val="20"/>
                <w:szCs w:val="20"/>
              </w:rPr>
            </w:pPr>
          </w:p>
        </w:tc>
      </w:tr>
      <w:tr>
        <w:trPr>
          <w:jc w:val="center"/>
        </w:trPr>
        <w:tc>
          <w:tcPr>
            <w:tcW w:w="2225" w:type="dxa"/>
            <w:vAlign w:val="center"/>
          </w:tcPr>
          <w:p>
            <w:pPr>
              <w:spacing w:before="60" w:after="60"/>
              <w:jc w:val="center"/>
              <w:rPr>
                <w:noProof/>
                <w:sz w:val="20"/>
                <w:szCs w:val="20"/>
              </w:rPr>
            </w:pPr>
            <w:r>
              <w:rPr>
                <w:noProof/>
                <w:sz w:val="20"/>
              </w:rPr>
              <w:t>CCRP mai 2018</w:t>
            </w:r>
          </w:p>
        </w:tc>
        <w:tc>
          <w:tcPr>
            <w:tcW w:w="2846" w:type="dxa"/>
            <w:vAlign w:val="center"/>
          </w:tcPr>
          <w:p>
            <w:pPr>
              <w:spacing w:before="60" w:after="60"/>
              <w:jc w:val="center"/>
              <w:rPr>
                <w:noProof/>
                <w:sz w:val="20"/>
                <w:szCs w:val="20"/>
              </w:rPr>
            </w:pPr>
            <w:r>
              <w:rPr>
                <w:noProof/>
                <w:sz w:val="20"/>
              </w:rPr>
              <w:t>20 501,6</w:t>
            </w:r>
          </w:p>
        </w:tc>
        <w:tc>
          <w:tcPr>
            <w:tcW w:w="2846" w:type="dxa"/>
            <w:vAlign w:val="center"/>
          </w:tcPr>
          <w:p>
            <w:pPr>
              <w:spacing w:before="60" w:after="60"/>
              <w:jc w:val="center"/>
              <w:rPr>
                <w:noProof/>
                <w:sz w:val="20"/>
                <w:szCs w:val="20"/>
              </w:rPr>
            </w:pPr>
            <w:r>
              <w:rPr>
                <w:noProof/>
                <w:sz w:val="20"/>
              </w:rPr>
              <w:t>-2 342,4</w:t>
            </w:r>
          </w:p>
        </w:tc>
      </w:tr>
      <w:tr>
        <w:trPr>
          <w:jc w:val="center"/>
        </w:trPr>
        <w:tc>
          <w:tcPr>
            <w:tcW w:w="2225" w:type="dxa"/>
            <w:vAlign w:val="center"/>
          </w:tcPr>
          <w:p>
            <w:pPr>
              <w:spacing w:before="60" w:after="60"/>
              <w:jc w:val="center"/>
              <w:rPr>
                <w:noProof/>
                <w:sz w:val="20"/>
                <w:szCs w:val="20"/>
              </w:rPr>
            </w:pPr>
            <w:r>
              <w:rPr>
                <w:noProof/>
                <w:sz w:val="20"/>
              </w:rPr>
              <w:t>PBR 6/2018</w:t>
            </w:r>
          </w:p>
        </w:tc>
        <w:tc>
          <w:tcPr>
            <w:tcW w:w="2846" w:type="dxa"/>
            <w:vAlign w:val="center"/>
          </w:tcPr>
          <w:p>
            <w:pPr>
              <w:spacing w:before="60" w:after="60"/>
              <w:jc w:val="center"/>
              <w:rPr>
                <w:noProof/>
                <w:sz w:val="20"/>
                <w:szCs w:val="20"/>
              </w:rPr>
            </w:pPr>
            <w:r>
              <w:rPr>
                <w:noProof/>
                <w:sz w:val="20"/>
              </w:rPr>
              <w:t>20 164,6</w:t>
            </w:r>
          </w:p>
        </w:tc>
        <w:tc>
          <w:tcPr>
            <w:tcW w:w="2846" w:type="dxa"/>
            <w:vAlign w:val="center"/>
          </w:tcPr>
          <w:p>
            <w:pPr>
              <w:spacing w:before="60" w:after="60"/>
              <w:jc w:val="center"/>
              <w:rPr>
                <w:noProof/>
                <w:sz w:val="20"/>
                <w:szCs w:val="20"/>
              </w:rPr>
            </w:pPr>
            <w:r>
              <w:rPr>
                <w:noProof/>
                <w:sz w:val="20"/>
              </w:rPr>
              <w:t>-337,0</w:t>
            </w:r>
          </w:p>
        </w:tc>
      </w:tr>
    </w:tbl>
    <w:p>
      <w:pPr>
        <w:numPr>
          <w:ilvl w:val="0"/>
          <w:numId w:val="2"/>
        </w:numPr>
        <w:spacing w:before="240" w:after="120"/>
        <w:jc w:val="both"/>
        <w:rPr>
          <w:noProof/>
        </w:rPr>
      </w:pPr>
      <w:r>
        <w:rPr>
          <w:noProof/>
        </w:rPr>
        <w:t>L’arrêt de la Cour de justice dans l’affaire C-585/15 («Raffinerie Tirlemontoise») a entraîné l’annulation des règlements (CE) nº 2267/2000 et (CE) nº 1993/2001. Le règlement (UE) 2018/264 du Conseil du 19 février 2018 établit les montants révisés des cotisations à la production et le coefficient de calcul de la cotisation complémentaire dans le secteur du sucre pour la campagne de commercialisation 1999/2000, ainsi que les montants des cotisations à la production dans le secteur du sucre pour la campagne de commercialisation 2000/2001.</w:t>
      </w:r>
    </w:p>
    <w:p>
      <w:pPr>
        <w:spacing w:before="120" w:after="120"/>
        <w:ind w:left="283"/>
        <w:jc w:val="both"/>
        <w:rPr>
          <w:noProof/>
        </w:rPr>
      </w:pPr>
      <w:r>
        <w:rPr>
          <w:noProof/>
        </w:rPr>
        <w:t>En conséquence, un montant estimé à 93,0 millions d’EUR (montant net) sera remboursé aux États membres en ce qui concerne le trop-perçu des cotisations dans le secteur du sucre. Ce remboursement devrait avoir lieu d’ici à la fin de l’année. Dès lors, la Commission propose d’inscrire ce remboursement à l’article 110 (Cotisations à la production pour la campagne de commercialisation 2005/2006 et les années précédentes) du volet des recettes du budget.</w:t>
      </w:r>
    </w:p>
    <w:p>
      <w:pPr>
        <w:numPr>
          <w:ilvl w:val="0"/>
          <w:numId w:val="2"/>
        </w:numPr>
        <w:spacing w:before="120" w:after="120"/>
        <w:jc w:val="both"/>
        <w:rPr>
          <w:noProof/>
        </w:rPr>
      </w:pPr>
      <w:r>
        <w:rPr>
          <w:noProof/>
        </w:rPr>
        <w:t>L'assiette TVA totale non écrêtée de l’UE pour 2018 est désormais estimée à 6 695 538,5 millions d'EUR, ce qui représente une diminution de -0,53 % par rapport aux prévisions de mai 2017, qui s'étaient établies à 6 731 265,9 millions d’EUR. L’assiette TVA</w:t>
      </w:r>
      <w:r>
        <w:rPr>
          <w:noProof/>
          <w:vertAlign w:val="superscript"/>
        </w:rPr>
        <w:footnoteReference w:id="10"/>
      </w:r>
      <w:r>
        <w:rPr>
          <w:noProof/>
        </w:rPr>
        <w:t xml:space="preserve"> totale </w:t>
      </w:r>
      <w:r>
        <w:rPr>
          <w:i/>
          <w:noProof/>
        </w:rPr>
        <w:t>écrêtée</w:t>
      </w:r>
      <w:r>
        <w:rPr>
          <w:noProof/>
        </w:rPr>
        <w:t xml:space="preserve"> de l’UE pour 2018 est estimée à 6 676 686,2 millions d’EUR, ce qui représente une baisse de -0,52 % par rapport aux prévisions de mai 2017, qui s’étaient établies à 6 711 411,1 millions d’EUR.</w:t>
      </w:r>
    </w:p>
    <w:p>
      <w:pPr>
        <w:numPr>
          <w:ilvl w:val="0"/>
          <w:numId w:val="2"/>
        </w:numPr>
        <w:spacing w:before="120" w:after="120"/>
        <w:jc w:val="both"/>
        <w:rPr>
          <w:noProof/>
        </w:rPr>
      </w:pPr>
      <w:r>
        <w:rPr>
          <w:noProof/>
        </w:rPr>
        <w:t>L’assiette RNB totale de l’UE pour 2018 est estimée à 15 871 050,2 millions d’EUR, ce qui constitue une hausse (+0,78 %) par rapport aux prévisions de mai 2017, qui s’établissaient à 15 747 670,0 millions d’EUR.</w:t>
      </w:r>
    </w:p>
    <w:p>
      <w:pPr>
        <w:spacing w:before="120" w:after="120"/>
        <w:jc w:val="both"/>
        <w:rPr>
          <w:noProof/>
        </w:rPr>
      </w:pPr>
      <w:r>
        <w:rPr>
          <w:noProof/>
        </w:rPr>
        <w:t>Les taux de change du 29 décembre 2017 ont été utilisés pour convertir en euros les prévisions des assiettes TVA et RNB libellées en monnaie nationale (pour les neuf États membres qui ne font pas partie de la zone euro). On évite ainsi des distorsions, puisque ce sont ces taux qui servent à convertir en monnaie nationale les paiements budgétisés de ressources propres exprimés en euros lorsque les montants sont prélevés (conformément aux dispositions de l’article 10 </w:t>
      </w:r>
      <w:r>
        <w:rPr>
          <w:i/>
          <w:noProof/>
        </w:rPr>
        <w:t>bis</w:t>
      </w:r>
      <w:r>
        <w:rPr>
          <w:noProof/>
        </w:rPr>
        <w:t>, paragraphe 1, du règlement nº 609/2014 du Conseil).</w:t>
      </w:r>
    </w:p>
    <w:p>
      <w:pPr>
        <w:spacing w:before="120" w:after="120"/>
        <w:jc w:val="both"/>
        <w:rPr>
          <w:noProof/>
        </w:rPr>
      </w:pPr>
      <w:r>
        <w:rPr>
          <w:noProof/>
        </w:rPr>
        <w:t>Les prévisions révisées des RPT, des assiettes TVA non écrêtées et des assiettes RNB pour 2018 sont exposées dans le tableau ci-après:</w:t>
      </w:r>
    </w:p>
    <w:p>
      <w:pPr>
        <w:rPr>
          <w:noProof/>
        </w:rPr>
      </w:pPr>
      <w:r>
        <w:rPr>
          <w:noProof/>
        </w:rPr>
        <w:br w:type="page"/>
      </w:r>
    </w:p>
    <w:p>
      <w:pPr>
        <w:keepNext/>
        <w:jc w:val="center"/>
        <w:rPr>
          <w:b/>
          <w:i/>
          <w:noProof/>
        </w:rPr>
      </w:pPr>
      <w:r>
        <w:rPr>
          <w:b/>
          <w:noProof/>
        </w:rPr>
        <w:t xml:space="preserve">Prévisions révisées des RPT et des assiettes TVA et RNB pour 2018 </w:t>
      </w:r>
      <w:r>
        <w:rPr>
          <w:b/>
          <w:i/>
          <w:noProof/>
        </w:rPr>
        <w:t>(en Mio EUR)</w:t>
      </w:r>
    </w:p>
    <w:tbl>
      <w:tblPr>
        <w:tblW w:w="0" w:type="auto"/>
        <w:jc w:val="center"/>
        <w:tblLayout w:type="fixed"/>
        <w:tblLook w:val="0000" w:firstRow="0" w:lastRow="0" w:firstColumn="0" w:lastColumn="0" w:noHBand="0" w:noVBand="0"/>
      </w:tblPr>
      <w:tblGrid>
        <w:gridCol w:w="829"/>
        <w:gridCol w:w="1404"/>
        <w:gridCol w:w="1404"/>
        <w:gridCol w:w="1404"/>
        <w:gridCol w:w="1404"/>
        <w:gridCol w:w="1404"/>
      </w:tblGrid>
      <w:tr>
        <w:trPr>
          <w:trHeight w:val="742"/>
          <w:tblHeader/>
          <w:jc w:val="center"/>
        </w:trPr>
        <w:tc>
          <w:tcPr>
            <w:tcW w:w="829" w:type="dxa"/>
            <w:tcBorders>
              <w:bottom w:val="single" w:sz="12" w:space="0" w:color="auto"/>
              <w:right w:val="single" w:sz="12" w:space="0" w:color="000000"/>
            </w:tcBorders>
          </w:tcPr>
          <w:p>
            <w:pPr>
              <w:keepNext/>
              <w:autoSpaceDE w:val="0"/>
              <w:autoSpaceDN w:val="0"/>
              <w:adjustRightInd w:val="0"/>
              <w:jc w:val="right"/>
              <w:rPr>
                <w:b/>
                <w:bCs/>
                <w:noProof/>
                <w:color w:val="000000"/>
                <w:sz w:val="20"/>
              </w:rPr>
            </w:pPr>
            <w:bookmarkStart w:id="43" w:name="OLE_LINK1"/>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Cotisations</w:t>
            </w:r>
          </w:p>
          <w:p>
            <w:pPr>
              <w:keepNext/>
              <w:autoSpaceDE w:val="0"/>
              <w:autoSpaceDN w:val="0"/>
              <w:adjustRightInd w:val="0"/>
              <w:jc w:val="center"/>
              <w:rPr>
                <w:b/>
                <w:bCs/>
                <w:noProof/>
                <w:color w:val="000000"/>
                <w:sz w:val="20"/>
              </w:rPr>
            </w:pPr>
            <w:r>
              <w:rPr>
                <w:b/>
                <w:noProof/>
                <w:color w:val="000000"/>
                <w:sz w:val="20"/>
              </w:rPr>
              <w:t>«sucre»</w:t>
            </w:r>
          </w:p>
          <w:p>
            <w:pPr>
              <w:keepNext/>
              <w:autoSpaceDE w:val="0"/>
              <w:autoSpaceDN w:val="0"/>
              <w:adjustRightInd w:val="0"/>
              <w:jc w:val="center"/>
              <w:rPr>
                <w:b/>
                <w:bCs/>
                <w:noProof/>
                <w:color w:val="000000"/>
                <w:sz w:val="20"/>
              </w:rPr>
            </w:pPr>
            <w:r>
              <w:rPr>
                <w:b/>
                <w:i/>
                <w:noProof/>
                <w:color w:val="000000"/>
                <w:sz w:val="20"/>
              </w:rPr>
              <w:t xml:space="preserve">(80 %)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Droits de douane</w:t>
            </w:r>
          </w:p>
          <w:p>
            <w:pPr>
              <w:keepNext/>
              <w:autoSpaceDE w:val="0"/>
              <w:autoSpaceDN w:val="0"/>
              <w:adjustRightInd w:val="0"/>
              <w:jc w:val="center"/>
              <w:rPr>
                <w:b/>
                <w:bCs/>
                <w:i/>
                <w:iCs/>
                <w:noProof/>
                <w:color w:val="000000"/>
                <w:sz w:val="20"/>
              </w:rPr>
            </w:pPr>
            <w:r>
              <w:rPr>
                <w:b/>
                <w:i/>
                <w:noProof/>
                <w:color w:val="000000"/>
                <w:sz w:val="20"/>
              </w:rPr>
              <w:t>(80 %)</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Assiettes TVA non écrêtées</w:t>
            </w:r>
          </w:p>
        </w:tc>
        <w:tc>
          <w:tcPr>
            <w:tcW w:w="1404" w:type="dxa"/>
            <w:tcBorders>
              <w:top w:val="single" w:sz="12" w:space="0" w:color="auto"/>
              <w:left w:val="single" w:sz="2" w:space="0" w:color="000000"/>
              <w:bottom w:val="single" w:sz="12" w:space="0" w:color="auto"/>
              <w:right w:val="single" w:sz="2" w:space="0" w:color="000000"/>
            </w:tcBorders>
            <w:shd w:val="clear" w:color="auto" w:fill="E0E0E0"/>
            <w:vAlign w:val="center"/>
          </w:tcPr>
          <w:p>
            <w:pPr>
              <w:keepNext/>
              <w:autoSpaceDE w:val="0"/>
              <w:autoSpaceDN w:val="0"/>
              <w:adjustRightInd w:val="0"/>
              <w:jc w:val="center"/>
              <w:rPr>
                <w:b/>
                <w:bCs/>
                <w:noProof/>
                <w:color w:val="000000"/>
                <w:sz w:val="20"/>
              </w:rPr>
            </w:pPr>
            <w:r>
              <w:rPr>
                <w:b/>
                <w:noProof/>
                <w:color w:val="000000"/>
                <w:sz w:val="20"/>
              </w:rPr>
              <w:t>Assiettes RNB</w:t>
            </w:r>
          </w:p>
        </w:tc>
        <w:tc>
          <w:tcPr>
            <w:tcW w:w="1404" w:type="dxa"/>
            <w:tcBorders>
              <w:top w:val="single" w:sz="12" w:space="0" w:color="auto"/>
              <w:left w:val="single" w:sz="2" w:space="0" w:color="000000"/>
              <w:bottom w:val="single" w:sz="12" w:space="0" w:color="auto"/>
              <w:right w:val="single" w:sz="12" w:space="0" w:color="auto"/>
            </w:tcBorders>
            <w:shd w:val="clear" w:color="auto" w:fill="E0E0E0"/>
            <w:vAlign w:val="center"/>
          </w:tcPr>
          <w:p>
            <w:pPr>
              <w:keepNext/>
              <w:autoSpaceDE w:val="0"/>
              <w:autoSpaceDN w:val="0"/>
              <w:adjustRightInd w:val="0"/>
              <w:jc w:val="center"/>
              <w:rPr>
                <w:b/>
                <w:bCs/>
                <w:i/>
                <w:iCs/>
                <w:noProof/>
                <w:color w:val="000000"/>
                <w:sz w:val="20"/>
              </w:rPr>
            </w:pPr>
            <w:r>
              <w:rPr>
                <w:b/>
                <w:i/>
                <w:noProof/>
                <w:color w:val="000000"/>
                <w:sz w:val="20"/>
              </w:rPr>
              <w:t>Assiettes TVA</w:t>
            </w:r>
          </w:p>
          <w:p>
            <w:pPr>
              <w:keepNext/>
              <w:autoSpaceDE w:val="0"/>
              <w:autoSpaceDN w:val="0"/>
              <w:adjustRightInd w:val="0"/>
              <w:jc w:val="center"/>
              <w:rPr>
                <w:b/>
                <w:bCs/>
                <w:i/>
                <w:iCs/>
                <w:noProof/>
                <w:color w:val="000000"/>
                <w:sz w:val="20"/>
              </w:rPr>
            </w:pPr>
            <w:r>
              <w:rPr>
                <w:b/>
                <w:i/>
                <w:noProof/>
                <w:color w:val="000000"/>
                <w:sz w:val="20"/>
              </w:rPr>
              <w:t>écrêtées</w:t>
            </w:r>
            <w:r>
              <w:rPr>
                <w:b/>
                <w:i/>
                <w:noProof/>
                <w:color w:val="000000"/>
                <w:sz w:val="20"/>
                <w:vertAlign w:val="superscript"/>
              </w:rPr>
              <w:footnoteReference w:id="11"/>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BE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- 5,7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2 090,5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192 420,2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452 469,9</w:t>
            </w:r>
          </w:p>
        </w:tc>
        <w:tc>
          <w:tcPr>
            <w:tcW w:w="1404" w:type="dxa"/>
            <w:tcBorders>
              <w:top w:val="single" w:sz="1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192 420,2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BG</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75,2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25 520,9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52 909,9</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25 520,9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CZ</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260,9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83 389,2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197 318,5</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83 389,2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DK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- 3,4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336,1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113 888,9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304 009,8</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113 888,9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DE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- 28,4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4 036,0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1 394 449,9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3 459 748,4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1 394 449,9</w:t>
            </w:r>
          </w:p>
        </w:tc>
      </w:tr>
      <w:tr>
        <w:trPr>
          <w:trHeight w:val="247"/>
          <w:jc w:val="center"/>
        </w:trPr>
        <w:tc>
          <w:tcPr>
            <w:tcW w:w="829" w:type="dxa"/>
            <w:tcBorders>
              <w:top w:val="single" w:sz="2" w:space="0" w:color="000000"/>
              <w:left w:val="single" w:sz="12" w:space="0" w:color="auto"/>
              <w:bottom w:val="single" w:sz="2"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EE</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sz w:val="20"/>
              </w:rPr>
              <w:t xml:space="preserve"> 30,0</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12 105,4</w:t>
            </w:r>
          </w:p>
        </w:tc>
        <w:tc>
          <w:tcPr>
            <w:tcW w:w="1404" w:type="dxa"/>
            <w:tcBorders>
              <w:top w:val="single" w:sz="2" w:space="0" w:color="000000"/>
              <w:left w:val="single" w:sz="2" w:space="0" w:color="000000"/>
              <w:bottom w:val="single" w:sz="2" w:space="0" w:color="auto"/>
              <w:right w:val="single" w:sz="2" w:space="0" w:color="000000"/>
            </w:tcBorders>
            <w:vAlign w:val="bottom"/>
          </w:tcPr>
          <w:p>
            <w:pPr>
              <w:jc w:val="right"/>
              <w:rPr>
                <w:noProof/>
                <w:color w:val="000000"/>
                <w:sz w:val="20"/>
              </w:rPr>
            </w:pPr>
            <w:r>
              <w:rPr>
                <w:noProof/>
                <w:color w:val="000000"/>
                <w:sz w:val="20"/>
              </w:rPr>
              <w:t>24 232,9</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12 105,4</w:t>
            </w:r>
          </w:p>
        </w:tc>
      </w:tr>
      <w:tr>
        <w:trPr>
          <w:trHeight w:val="247"/>
          <w:jc w:val="center"/>
        </w:trPr>
        <w:tc>
          <w:tcPr>
            <w:tcW w:w="829" w:type="dxa"/>
            <w:tcBorders>
              <w:top w:val="single" w:sz="2"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IE</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- 0,7</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282,7</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86 665,6</w:t>
            </w:r>
          </w:p>
        </w:tc>
        <w:tc>
          <w:tcPr>
            <w:tcW w:w="1404" w:type="dxa"/>
            <w:tcBorders>
              <w:top w:val="single" w:sz="2"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255 025,2</w:t>
            </w:r>
          </w:p>
        </w:tc>
        <w:tc>
          <w:tcPr>
            <w:tcW w:w="1404" w:type="dxa"/>
            <w:tcBorders>
              <w:top w:val="single" w:sz="2" w:space="0" w:color="000000"/>
              <w:left w:val="single" w:sz="2" w:space="0" w:color="000000"/>
              <w:bottom w:val="single" w:sz="2" w:space="0" w:color="auto"/>
              <w:right w:val="single" w:sz="12" w:space="0" w:color="auto"/>
            </w:tcBorders>
            <w:shd w:val="clear" w:color="auto" w:fill="auto"/>
            <w:vAlign w:val="bottom"/>
          </w:tcPr>
          <w:p>
            <w:pPr>
              <w:jc w:val="right"/>
              <w:rPr>
                <w:noProof/>
                <w:color w:val="000000"/>
                <w:sz w:val="20"/>
              </w:rPr>
            </w:pPr>
            <w:r>
              <w:rPr>
                <w:noProof/>
                <w:color w:val="000000"/>
                <w:sz w:val="20"/>
              </w:rPr>
              <w:t>86 665,6</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EL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158,0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72 214,4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183 573,7</w:t>
            </w:r>
          </w:p>
        </w:tc>
        <w:tc>
          <w:tcPr>
            <w:tcW w:w="1404" w:type="dxa"/>
            <w:tcBorders>
              <w:top w:val="single" w:sz="2" w:space="0" w:color="auto"/>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72 214,4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ES</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1 518,6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520 432,1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1 210 798,4</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520 432,1</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FR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- 26,9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1 623,0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1 053 145,8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2 409 104,3</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1 053 145,8</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HR</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41,3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30 897,0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50 176,7</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25 088,4</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IT</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sz w:val="20"/>
              </w:rPr>
              <w:t>- 9,2</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sz w:val="20"/>
              </w:rPr>
              <w:t>1 821,2</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686 348,0</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1 775 333,9</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rPr>
              <w:t>686 348,0</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CY</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21,4</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13 076,7</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19 832,7</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9 916,4</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LV</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34,1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11 487,9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28 465,5</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11 487,9</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78,8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17 514,0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42 597,6</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17 514,0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LU</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21,5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27 693,1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39 171,3</w:t>
            </w:r>
          </w:p>
        </w:tc>
        <w:tc>
          <w:tcPr>
            <w:tcW w:w="1404" w:type="dxa"/>
            <w:tcBorders>
              <w:top w:val="single" w:sz="2" w:space="0" w:color="000000"/>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19 585,7</w:t>
            </w:r>
          </w:p>
        </w:tc>
      </w:tr>
      <w:tr>
        <w:trPr>
          <w:trHeight w:val="247"/>
          <w:jc w:val="center"/>
        </w:trPr>
        <w:tc>
          <w:tcPr>
            <w:tcW w:w="829" w:type="dxa"/>
            <w:tcBorders>
              <w:top w:val="single" w:sz="2" w:space="0" w:color="000000"/>
              <w:left w:val="single" w:sz="12" w:space="0" w:color="auto"/>
              <w:bottom w:val="single" w:sz="4"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HU</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sz w:val="20"/>
              </w:rPr>
              <w:t xml:space="preserve"> 145,6</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53 323,9</w:t>
            </w:r>
          </w:p>
        </w:tc>
        <w:tc>
          <w:tcPr>
            <w:tcW w:w="1404" w:type="dxa"/>
            <w:tcBorders>
              <w:top w:val="single" w:sz="2" w:space="0" w:color="000000"/>
              <w:left w:val="single" w:sz="2" w:space="0" w:color="000000"/>
              <w:bottom w:val="single" w:sz="4" w:space="0" w:color="auto"/>
              <w:right w:val="single" w:sz="2" w:space="0" w:color="000000"/>
            </w:tcBorders>
            <w:vAlign w:val="bottom"/>
          </w:tcPr>
          <w:p>
            <w:pPr>
              <w:jc w:val="right"/>
              <w:rPr>
                <w:noProof/>
                <w:color w:val="000000"/>
                <w:sz w:val="20"/>
              </w:rPr>
            </w:pPr>
            <w:r>
              <w:rPr>
                <w:noProof/>
                <w:color w:val="000000"/>
                <w:sz w:val="20"/>
              </w:rPr>
              <w:t>126 897,4</w:t>
            </w:r>
          </w:p>
        </w:tc>
        <w:tc>
          <w:tcPr>
            <w:tcW w:w="1404" w:type="dxa"/>
            <w:tcBorders>
              <w:top w:val="single" w:sz="2" w:space="0" w:color="000000"/>
              <w:left w:val="single" w:sz="2" w:space="0" w:color="000000"/>
              <w:bottom w:val="single" w:sz="4" w:space="0" w:color="auto"/>
              <w:right w:val="single" w:sz="12" w:space="0" w:color="auto"/>
            </w:tcBorders>
            <w:shd w:val="clear" w:color="auto" w:fill="auto"/>
            <w:vAlign w:val="bottom"/>
          </w:tcPr>
          <w:p>
            <w:pPr>
              <w:jc w:val="right"/>
              <w:rPr>
                <w:noProof/>
                <w:color w:val="000000"/>
                <w:sz w:val="20"/>
              </w:rPr>
            </w:pPr>
            <w:r>
              <w:rPr>
                <w:noProof/>
                <w:color w:val="000000"/>
                <w:sz w:val="20"/>
              </w:rPr>
              <w:t>53 323,9</w:t>
            </w:r>
          </w:p>
        </w:tc>
      </w:tr>
      <w:tr>
        <w:trPr>
          <w:trHeight w:val="247"/>
          <w:jc w:val="center"/>
        </w:trPr>
        <w:tc>
          <w:tcPr>
            <w:tcW w:w="829" w:type="dxa"/>
            <w:tcBorders>
              <w:top w:val="single" w:sz="4"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MT</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11,7</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7 430,8</w:t>
            </w:r>
          </w:p>
        </w:tc>
        <w:tc>
          <w:tcPr>
            <w:tcW w:w="1404" w:type="dxa"/>
            <w:tcBorders>
              <w:top w:val="single" w:sz="4"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11 309,9</w:t>
            </w:r>
          </w:p>
        </w:tc>
        <w:tc>
          <w:tcPr>
            <w:tcW w:w="1404" w:type="dxa"/>
            <w:tcBorders>
              <w:top w:val="single" w:sz="4" w:space="0" w:color="auto"/>
              <w:left w:val="single" w:sz="2" w:space="0" w:color="000000"/>
              <w:bottom w:val="single" w:sz="2" w:space="0" w:color="000000"/>
              <w:right w:val="single" w:sz="12" w:space="0" w:color="auto"/>
            </w:tcBorders>
            <w:shd w:val="clear" w:color="auto" w:fill="BFBFBF" w:themeFill="background1" w:themeFillShade="BF"/>
            <w:vAlign w:val="bottom"/>
          </w:tcPr>
          <w:p>
            <w:pPr>
              <w:jc w:val="right"/>
              <w:rPr>
                <w:noProof/>
                <w:color w:val="000000"/>
                <w:sz w:val="20"/>
              </w:rPr>
            </w:pPr>
            <w:r>
              <w:rPr>
                <w:noProof/>
                <w:color w:val="000000"/>
                <w:sz w:val="20"/>
              </w:rPr>
              <w:t>5 655,0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NL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- 6,5</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2 437,3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311 915,0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764 707,6</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311 915,0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AT</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- 2,7</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215,3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171 017,2</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387 050,1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171 017,2</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PL</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648,8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206 768,9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485 536,5</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206 768,9</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PT</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- 0,2</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155,1</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97 465,1</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196 157,5</w:t>
            </w:r>
          </w:p>
        </w:tc>
        <w:tc>
          <w:tcPr>
            <w:tcW w:w="1404" w:type="dxa"/>
            <w:tcBorders>
              <w:top w:val="single" w:sz="2" w:space="0" w:color="000000"/>
              <w:left w:val="single" w:sz="2" w:space="0" w:color="000000"/>
              <w:bottom w:val="single" w:sz="2" w:space="0" w:color="000000"/>
              <w:right w:val="single" w:sz="12" w:space="0" w:color="auto"/>
            </w:tcBorders>
            <w:shd w:val="clear" w:color="auto" w:fill="auto"/>
            <w:vAlign w:val="bottom"/>
          </w:tcPr>
          <w:p>
            <w:pPr>
              <w:jc w:val="right"/>
              <w:rPr>
                <w:noProof/>
                <w:color w:val="000000"/>
                <w:sz w:val="20"/>
              </w:rPr>
            </w:pPr>
            <w:r>
              <w:rPr>
                <w:noProof/>
                <w:color w:val="000000"/>
                <w:sz w:val="20"/>
              </w:rPr>
              <w:t>97 465,1</w:t>
            </w:r>
          </w:p>
        </w:tc>
      </w:tr>
      <w:tr>
        <w:trPr>
          <w:trHeight w:val="247"/>
          <w:jc w:val="center"/>
        </w:trPr>
        <w:tc>
          <w:tcPr>
            <w:tcW w:w="829" w:type="dxa"/>
            <w:tcBorders>
              <w:top w:val="dotted" w:sz="6" w:space="0" w:color="auto"/>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RO</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160,2</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73 124,7</w:t>
            </w:r>
          </w:p>
        </w:tc>
        <w:tc>
          <w:tcPr>
            <w:tcW w:w="1404" w:type="dxa"/>
            <w:tcBorders>
              <w:top w:val="dotted" w:sz="6" w:space="0" w:color="auto"/>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196 940,5</w:t>
            </w:r>
          </w:p>
        </w:tc>
        <w:tc>
          <w:tcPr>
            <w:tcW w:w="1404" w:type="dxa"/>
            <w:tcBorders>
              <w:top w:val="dotted" w:sz="6" w:space="0" w:color="auto"/>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73 124,7</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65,8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20 783,1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45 497,7</w:t>
            </w:r>
          </w:p>
        </w:tc>
        <w:tc>
          <w:tcPr>
            <w:tcW w:w="1404" w:type="dxa"/>
            <w:tcBorders>
              <w:top w:val="single" w:sz="2" w:space="0" w:color="000000"/>
              <w:left w:val="single" w:sz="2" w:space="0" w:color="000000"/>
              <w:bottom w:val="single" w:sz="2" w:space="0" w:color="000000"/>
              <w:right w:val="single" w:sz="12" w:space="0" w:color="auto"/>
            </w:tcBorders>
            <w:shd w:val="clear" w:color="C0C0C0" w:fill="auto"/>
            <w:vAlign w:val="bottom"/>
          </w:tcPr>
          <w:p>
            <w:pPr>
              <w:jc w:val="right"/>
              <w:rPr>
                <w:noProof/>
                <w:color w:val="000000"/>
                <w:sz w:val="20"/>
              </w:rPr>
            </w:pPr>
            <w:r>
              <w:rPr>
                <w:noProof/>
                <w:color w:val="000000"/>
                <w:sz w:val="20"/>
              </w:rPr>
              <w:t>20 783,1</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0,0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91,3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30 752,0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89 215,0</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30 752,0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FI</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- 0,6</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138,1</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98 780,8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234 697,1</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98 780,8</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SE</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- 1,4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xml:space="preserve"> 519,3</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214 417,0</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497 268,8</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214 417,0</w:t>
            </w:r>
          </w:p>
        </w:tc>
      </w:tr>
      <w:tr>
        <w:trPr>
          <w:trHeight w:val="247"/>
          <w:jc w:val="center"/>
        </w:trPr>
        <w:tc>
          <w:tcPr>
            <w:tcW w:w="829" w:type="dxa"/>
            <w:tcBorders>
              <w:top w:val="single" w:sz="2" w:space="0" w:color="000000"/>
              <w:left w:val="single" w:sz="12" w:space="0" w:color="auto"/>
              <w:bottom w:val="single" w:sz="2" w:space="0" w:color="000000"/>
              <w:right w:val="single" w:sz="12" w:space="0" w:color="auto"/>
            </w:tcBorders>
          </w:tcPr>
          <w:p>
            <w:pPr>
              <w:autoSpaceDE w:val="0"/>
              <w:autoSpaceDN w:val="0"/>
              <w:adjustRightInd w:val="0"/>
              <w:ind w:left="20"/>
              <w:contextualSpacing/>
              <w:rPr>
                <w:b/>
                <w:bCs/>
                <w:noProof/>
                <w:color w:val="000000"/>
                <w:sz w:val="20"/>
              </w:rPr>
            </w:pPr>
            <w:r>
              <w:rPr>
                <w:b/>
                <w:noProof/>
                <w:color w:val="000000"/>
                <w:sz w:val="20"/>
              </w:rPr>
              <w:t>UK</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- 4,4</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sz w:val="20"/>
              </w:rPr>
              <w:t>3 146,8</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1 068 510,9</w:t>
            </w:r>
          </w:p>
        </w:tc>
        <w:tc>
          <w:tcPr>
            <w:tcW w:w="1404" w:type="dxa"/>
            <w:tcBorders>
              <w:top w:val="single" w:sz="2" w:space="0" w:color="000000"/>
              <w:left w:val="single" w:sz="2" w:space="0" w:color="000000"/>
              <w:bottom w:val="single" w:sz="2" w:space="0" w:color="000000"/>
              <w:right w:val="single" w:sz="2" w:space="0" w:color="000000"/>
            </w:tcBorders>
            <w:vAlign w:val="bottom"/>
          </w:tcPr>
          <w:p>
            <w:pPr>
              <w:jc w:val="right"/>
              <w:rPr>
                <w:noProof/>
                <w:color w:val="000000"/>
                <w:sz w:val="20"/>
              </w:rPr>
            </w:pPr>
            <w:r>
              <w:rPr>
                <w:noProof/>
                <w:color w:val="000000"/>
                <w:sz w:val="20"/>
              </w:rPr>
              <w:t>2 331 003,4</w:t>
            </w:r>
          </w:p>
        </w:tc>
        <w:tc>
          <w:tcPr>
            <w:tcW w:w="1404" w:type="dxa"/>
            <w:tcBorders>
              <w:top w:val="single" w:sz="2" w:space="0" w:color="000000"/>
              <w:left w:val="single" w:sz="2" w:space="0" w:color="000000"/>
              <w:bottom w:val="single" w:sz="2" w:space="0" w:color="000000"/>
              <w:right w:val="single" w:sz="12" w:space="0" w:color="auto"/>
            </w:tcBorders>
            <w:vAlign w:val="bottom"/>
          </w:tcPr>
          <w:p>
            <w:pPr>
              <w:jc w:val="right"/>
              <w:rPr>
                <w:noProof/>
                <w:color w:val="000000"/>
                <w:sz w:val="20"/>
              </w:rPr>
            </w:pPr>
            <w:r>
              <w:rPr>
                <w:noProof/>
                <w:color w:val="000000"/>
                <w:sz w:val="20"/>
              </w:rPr>
              <w:t>1 068 510,9</w:t>
            </w:r>
          </w:p>
        </w:tc>
      </w:tr>
      <w:tr>
        <w:trPr>
          <w:trHeight w:val="276"/>
          <w:jc w:val="center"/>
        </w:trPr>
        <w:tc>
          <w:tcPr>
            <w:tcW w:w="829" w:type="dxa"/>
            <w:tcBorders>
              <w:top w:val="single" w:sz="12" w:space="0" w:color="auto"/>
              <w:left w:val="single" w:sz="12" w:space="0" w:color="auto"/>
              <w:bottom w:val="single" w:sz="12" w:space="0" w:color="auto"/>
              <w:right w:val="single" w:sz="12" w:space="0" w:color="auto"/>
            </w:tcBorders>
          </w:tcPr>
          <w:p>
            <w:pPr>
              <w:autoSpaceDE w:val="0"/>
              <w:autoSpaceDN w:val="0"/>
              <w:adjustRightInd w:val="0"/>
              <w:ind w:left="20"/>
              <w:contextualSpacing/>
              <w:rPr>
                <w:b/>
                <w:bCs/>
                <w:noProof/>
                <w:color w:val="000000"/>
                <w:sz w:val="20"/>
              </w:rPr>
            </w:pPr>
            <w:r>
              <w:rPr>
                <w:b/>
                <w:noProof/>
                <w:color w:val="000000"/>
                <w:sz w:val="20"/>
              </w:rPr>
              <w:t>EU-28</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noProof/>
                <w:sz w:val="20"/>
              </w:rPr>
              <w:t>- 93,0</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noProof/>
                <w:sz w:val="20"/>
              </w:rPr>
              <w:t>20 164,6</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noProof/>
                <w:color w:val="000000"/>
                <w:sz w:val="20"/>
              </w:rPr>
              <w:t>6 695 538,5</w:t>
            </w:r>
          </w:p>
        </w:tc>
        <w:tc>
          <w:tcPr>
            <w:tcW w:w="1404" w:type="dxa"/>
            <w:tcBorders>
              <w:top w:val="single" w:sz="12" w:space="0" w:color="auto"/>
              <w:left w:val="single" w:sz="2" w:space="0" w:color="000000"/>
              <w:bottom w:val="single" w:sz="12" w:space="0" w:color="auto"/>
              <w:right w:val="single" w:sz="2" w:space="0" w:color="000000"/>
            </w:tcBorders>
            <w:vAlign w:val="bottom"/>
          </w:tcPr>
          <w:p>
            <w:pPr>
              <w:jc w:val="right"/>
              <w:rPr>
                <w:b/>
                <w:bCs/>
                <w:noProof/>
                <w:color w:val="000000"/>
                <w:sz w:val="20"/>
              </w:rPr>
            </w:pPr>
            <w:r>
              <w:rPr>
                <w:b/>
                <w:noProof/>
                <w:color w:val="000000"/>
                <w:sz w:val="20"/>
              </w:rPr>
              <w:t>15 871 050,2</w:t>
            </w:r>
          </w:p>
        </w:tc>
        <w:tc>
          <w:tcPr>
            <w:tcW w:w="1404" w:type="dxa"/>
            <w:tcBorders>
              <w:top w:val="single" w:sz="12" w:space="0" w:color="auto"/>
              <w:left w:val="single" w:sz="2" w:space="0" w:color="000000"/>
              <w:bottom w:val="single" w:sz="12" w:space="0" w:color="auto"/>
              <w:right w:val="single" w:sz="12" w:space="0" w:color="auto"/>
            </w:tcBorders>
            <w:vAlign w:val="bottom"/>
          </w:tcPr>
          <w:p>
            <w:pPr>
              <w:jc w:val="right"/>
              <w:rPr>
                <w:b/>
                <w:bCs/>
                <w:noProof/>
                <w:color w:val="000000"/>
                <w:sz w:val="20"/>
              </w:rPr>
            </w:pPr>
            <w:r>
              <w:rPr>
                <w:b/>
                <w:noProof/>
                <w:color w:val="000000"/>
                <w:sz w:val="20"/>
              </w:rPr>
              <w:t>6 676 686,2</w:t>
            </w:r>
          </w:p>
        </w:tc>
      </w:tr>
    </w:tbl>
    <w:p>
      <w:pPr>
        <w:keepNext/>
        <w:tabs>
          <w:tab w:val="left" w:pos="850"/>
        </w:tabs>
        <w:spacing w:before="360" w:after="120"/>
        <w:ind w:left="850" w:hanging="850"/>
        <w:jc w:val="both"/>
        <w:outlineLvl w:val="1"/>
        <w:rPr>
          <w:rFonts w:eastAsia="Calibri"/>
          <w:b/>
          <w:noProof/>
        </w:rPr>
      </w:pPr>
      <w:bookmarkStart w:id="44" w:name="_Toc421699312"/>
      <w:bookmarkStart w:id="45" w:name="_Toc461544621"/>
      <w:bookmarkStart w:id="46" w:name="_Toc462410060"/>
      <w:bookmarkStart w:id="47" w:name="_Toc525202234"/>
      <w:bookmarkStart w:id="48" w:name="_Toc527368026"/>
      <w:bookmarkStart w:id="49" w:name="_Toc390436796"/>
      <w:bookmarkStart w:id="50" w:name="_Toc420941901"/>
      <w:bookmarkStart w:id="51" w:name="_Toc294673193"/>
      <w:bookmarkStart w:id="52" w:name="_Toc357005413"/>
      <w:bookmarkStart w:id="53" w:name="_Toc358885561"/>
      <w:bookmarkEnd w:id="43"/>
      <w:r>
        <w:rPr>
          <w:b/>
          <w:noProof/>
        </w:rPr>
        <w:t>3.3</w:t>
      </w:r>
      <w:r>
        <w:rPr>
          <w:noProof/>
        </w:rPr>
        <w:tab/>
      </w:r>
      <w:r>
        <w:rPr>
          <w:b/>
          <w:noProof/>
        </w:rPr>
        <w:t>Correction britannique pour 2017 et 2014</w:t>
      </w:r>
      <w:bookmarkEnd w:id="44"/>
      <w:bookmarkEnd w:id="45"/>
      <w:bookmarkEnd w:id="46"/>
      <w:bookmarkEnd w:id="47"/>
      <w:bookmarkEnd w:id="48"/>
    </w:p>
    <w:p>
      <w:pPr>
        <w:tabs>
          <w:tab w:val="left" w:pos="850"/>
        </w:tabs>
        <w:rPr>
          <w:bCs/>
          <w:i/>
          <w:noProof/>
        </w:rPr>
      </w:pPr>
      <w:bookmarkStart w:id="54" w:name="_Toc294673194"/>
      <w:bookmarkStart w:id="55" w:name="_Toc357005414"/>
      <w:bookmarkStart w:id="56" w:name="_Toc390436797"/>
      <w:bookmarkStart w:id="57" w:name="_Toc420941902"/>
      <w:bookmarkStart w:id="58" w:name="_Toc461544622"/>
      <w:bookmarkEnd w:id="49"/>
      <w:bookmarkEnd w:id="50"/>
      <w:r>
        <w:rPr>
          <w:i/>
          <w:noProof/>
        </w:rPr>
        <w:t>3.3.1</w:t>
      </w:r>
      <w:r>
        <w:rPr>
          <w:noProof/>
        </w:rPr>
        <w:tab/>
      </w:r>
      <w:r>
        <w:rPr>
          <w:i/>
          <w:noProof/>
        </w:rPr>
        <w:t>Introduction</w:t>
      </w:r>
      <w:bookmarkEnd w:id="54"/>
      <w:bookmarkEnd w:id="55"/>
      <w:bookmarkEnd w:id="56"/>
      <w:bookmarkEnd w:id="57"/>
      <w:bookmarkEnd w:id="58"/>
    </w:p>
    <w:p>
      <w:pPr>
        <w:spacing w:before="120" w:after="120"/>
        <w:jc w:val="both"/>
        <w:rPr>
          <w:noProof/>
        </w:rPr>
      </w:pPr>
      <w:r>
        <w:rPr>
          <w:noProof/>
        </w:rPr>
        <w:t>La correction des déséquilibres budgétaires en faveur du Royaume-Uni (correction britannique) qu’il convient de budgétiser dans le présent PBR concerne deux exercices: 2014 et 2017.</w:t>
      </w:r>
    </w:p>
    <w:p>
      <w:pPr>
        <w:jc w:val="both"/>
        <w:rPr>
          <w:noProof/>
        </w:rPr>
      </w:pPr>
      <w:r>
        <w:rPr>
          <w:noProof/>
        </w:rPr>
        <w:t>La correction britannique pour 2014 et 2017 relève des dispositions de la décision 2014/335/UE, Euratom du Conseil relative au système des ressources propres</w:t>
      </w:r>
      <w:r>
        <w:rPr>
          <w:rStyle w:val="FootnoteReference"/>
          <w:noProof/>
        </w:rPr>
        <w:footnoteReference w:id="12"/>
      </w:r>
      <w:r>
        <w:rPr>
          <w:noProof/>
        </w:rPr>
        <w:t xml:space="preserve"> de l’Union européenne et du document de travail qui l’accompagne, le </w:t>
      </w:r>
      <w:r>
        <w:rPr>
          <w:i/>
          <w:noProof/>
        </w:rPr>
        <w:t>Mode de calcul de 2014</w:t>
      </w:r>
      <w:r>
        <w:rPr>
          <w:noProof/>
          <w:vertAlign w:val="superscript"/>
        </w:rPr>
        <w:footnoteReference w:id="13"/>
      </w:r>
      <w:r>
        <w:rPr>
          <w:noProof/>
        </w:rPr>
        <w:t xml:space="preserve">. Conformément aux dispositions de cette décision, les «gains exceptionnels» nets du Royaume-Uni résultant de l’augmentation, à partir de 2001, du pourcentage de RPT retenu par les États membres à titre de compensation pour leurs frais de perception sont neutralisés, et les dépenses réparties sont ajustées du montant total des dépenses réparties dans les États membres qui ont adhéré à l’UE après le 30 avril 2004, sauf pour les paiements agricoles directs et les dépenses liées au marché ainsi que la partie des dépenses de développement rural provenant de la section «Garantie» du FEOGA. </w:t>
      </w:r>
    </w:p>
    <w:p>
      <w:pPr>
        <w:spacing w:before="120" w:after="120"/>
        <w:jc w:val="both"/>
        <w:rPr>
          <w:noProof/>
        </w:rPr>
      </w:pPr>
      <w:r>
        <w:rPr>
          <w:noProof/>
        </w:rPr>
        <w:t>En outre, la part de l’Autriche, de l’Allemagne, des Pays-Bas et de la Suède dans le financement de la correction britannique est ramenée à un quart par rapport à leur part normale pour les corrections de 2014 et de 2017. Cette réduction est financée par les autres États membres, à l’exclusion du Royaume-Uni.</w:t>
      </w:r>
    </w:p>
    <w:p>
      <w:pPr>
        <w:spacing w:before="120" w:after="120"/>
        <w:jc w:val="both"/>
        <w:rPr>
          <w:noProof/>
        </w:rPr>
      </w:pPr>
      <w:r>
        <w:rPr>
          <w:noProof/>
        </w:rPr>
        <w:t xml:space="preserve">Dans le présent PBR sont introduits le calcul et le financement de la </w:t>
      </w:r>
      <w:r>
        <w:rPr>
          <w:i/>
          <w:noProof/>
        </w:rPr>
        <w:t>première mise à jour</w:t>
      </w:r>
      <w:r>
        <w:rPr>
          <w:noProof/>
        </w:rPr>
        <w:t xml:space="preserve"> de la correction britannique pour </w:t>
      </w:r>
      <w:r>
        <w:rPr>
          <w:i/>
          <w:noProof/>
        </w:rPr>
        <w:t>2017</w:t>
      </w:r>
      <w:r>
        <w:rPr>
          <w:noProof/>
        </w:rPr>
        <w:t xml:space="preserve"> ainsi que du </w:t>
      </w:r>
      <w:r>
        <w:rPr>
          <w:i/>
          <w:noProof/>
        </w:rPr>
        <w:t>montant définitif</w:t>
      </w:r>
      <w:r>
        <w:rPr>
          <w:noProof/>
        </w:rPr>
        <w:t xml:space="preserve"> de la correction britannique pour </w:t>
      </w:r>
      <w:r>
        <w:rPr>
          <w:i/>
          <w:noProof/>
        </w:rPr>
        <w:t>2014</w:t>
      </w:r>
      <w:r>
        <w:rPr>
          <w:noProof/>
        </w:rPr>
        <w:t>.</w:t>
      </w:r>
    </w:p>
    <w:p>
      <w:pPr>
        <w:spacing w:before="120" w:after="120"/>
        <w:jc w:val="both"/>
        <w:rPr>
          <w:noProof/>
        </w:rPr>
      </w:pPr>
      <w:r>
        <w:rPr>
          <w:noProof/>
        </w:rPr>
        <w:t xml:space="preserve">La différence entre le </w:t>
      </w:r>
      <w:r>
        <w:rPr>
          <w:i/>
          <w:noProof/>
        </w:rPr>
        <w:t>montant définitif de la correction britannique pour 2014</w:t>
      </w:r>
      <w:r>
        <w:rPr>
          <w:noProof/>
        </w:rPr>
        <w:t xml:space="preserve"> et le montant budgétisé précédemment (</w:t>
      </w:r>
      <w:r>
        <w:rPr>
          <w:i/>
          <w:noProof/>
        </w:rPr>
        <w:t>deuxième mise à jour</w:t>
      </w:r>
      <w:r>
        <w:rPr>
          <w:noProof/>
        </w:rPr>
        <w:t xml:space="preserve"> dans le BR nº 5/2016) est inscrite au chapitre 35 (Résultat du calcul définitif du financement de la correction des déséquilibres budgétaires en faveur du Royaume-Uni) du présent PBR.</w:t>
      </w:r>
    </w:p>
    <w:p>
      <w:pPr>
        <w:spacing w:before="120" w:after="120"/>
        <w:jc w:val="both"/>
        <w:rPr>
          <w:noProof/>
        </w:rPr>
      </w:pPr>
      <w:r>
        <w:rPr>
          <w:noProof/>
        </w:rPr>
        <w:t xml:space="preserve">Le </w:t>
      </w:r>
      <w:r>
        <w:rPr>
          <w:i/>
          <w:noProof/>
        </w:rPr>
        <w:t>montant de la première mise à jour de la correction britannique pour 2017</w:t>
      </w:r>
      <w:r>
        <w:rPr>
          <w:noProof/>
        </w:rPr>
        <w:t xml:space="preserve"> est inscrit au chapitre 15 (Correction des déséquilibres budgétaires) du présent PBR, remplaçant le </w:t>
      </w:r>
      <w:r>
        <w:rPr>
          <w:i/>
          <w:noProof/>
        </w:rPr>
        <w:t>montant provisoire</w:t>
      </w:r>
      <w:r>
        <w:rPr>
          <w:noProof/>
        </w:rPr>
        <w:t xml:space="preserve"> budgétisé précédemment.</w:t>
      </w:r>
    </w:p>
    <w:p>
      <w:pPr>
        <w:tabs>
          <w:tab w:val="left" w:pos="850"/>
        </w:tabs>
        <w:spacing w:before="120" w:after="120"/>
        <w:rPr>
          <w:bCs/>
          <w:i/>
          <w:noProof/>
        </w:rPr>
      </w:pPr>
      <w:bookmarkStart w:id="59" w:name="_Toc231879704"/>
      <w:bookmarkStart w:id="60" w:name="_Toc293417236"/>
      <w:bookmarkStart w:id="61" w:name="_Toc294673195"/>
      <w:bookmarkStart w:id="62" w:name="_Toc357005415"/>
      <w:bookmarkStart w:id="63" w:name="_Toc390436798"/>
      <w:bookmarkStart w:id="64" w:name="_Toc420941903"/>
      <w:bookmarkStart w:id="65" w:name="_Toc461544623"/>
      <w:r>
        <w:rPr>
          <w:i/>
          <w:noProof/>
        </w:rPr>
        <w:t>3.3.2</w:t>
      </w:r>
      <w:r>
        <w:rPr>
          <w:noProof/>
        </w:rPr>
        <w:tab/>
      </w:r>
      <w:r>
        <w:rPr>
          <w:i/>
          <w:noProof/>
        </w:rPr>
        <w:t>Calcul des corrections</w:t>
      </w:r>
      <w:bookmarkEnd w:id="59"/>
      <w:bookmarkEnd w:id="60"/>
      <w:bookmarkEnd w:id="61"/>
      <w:bookmarkEnd w:id="62"/>
      <w:bookmarkEnd w:id="63"/>
      <w:bookmarkEnd w:id="64"/>
      <w:bookmarkEnd w:id="65"/>
    </w:p>
    <w:p>
      <w:pPr>
        <w:spacing w:before="120" w:after="120"/>
        <w:jc w:val="both"/>
        <w:rPr>
          <w:noProof/>
        </w:rPr>
      </w:pPr>
      <w:r>
        <w:rPr>
          <w:noProof/>
        </w:rPr>
        <w:t xml:space="preserve">La mise à jour des corrections pour 2014 et 2017 résulte essentiellement de la mise à jour des assiettes TVA et RNB communiquées par les États membres à l’automne 2017. La mise à jour de la correction pour 2017 tient également compte des dépenses réparties de 2017. </w:t>
      </w:r>
    </w:p>
    <w:p>
      <w:pPr>
        <w:tabs>
          <w:tab w:val="left" w:pos="851"/>
        </w:tabs>
        <w:spacing w:before="120" w:after="120"/>
        <w:rPr>
          <w:bCs/>
          <w:noProof/>
          <w:szCs w:val="28"/>
          <w:u w:val="single"/>
        </w:rPr>
      </w:pPr>
      <w:bookmarkStart w:id="66" w:name="_Toc231879705"/>
      <w:r>
        <w:rPr>
          <w:noProof/>
          <w:u w:val="single"/>
        </w:rPr>
        <w:t>3.3.2.1</w:t>
      </w:r>
      <w:r>
        <w:rPr>
          <w:noProof/>
          <w:u w:val="single"/>
        </w:rPr>
        <w:tab/>
        <w:t>Correction britannique pour 2017</w:t>
      </w:r>
    </w:p>
    <w:bookmarkEnd w:id="66"/>
    <w:p>
      <w:pPr>
        <w:spacing w:before="120" w:after="120"/>
        <w:jc w:val="both"/>
        <w:rPr>
          <w:noProof/>
        </w:rPr>
      </w:pPr>
      <w:r>
        <w:rPr>
          <w:noProof/>
        </w:rPr>
        <w:t xml:space="preserve">Le tableau ci-après résume les différences entre le </w:t>
      </w:r>
      <w:r>
        <w:rPr>
          <w:i/>
          <w:noProof/>
        </w:rPr>
        <w:t>montant provisoire</w:t>
      </w:r>
      <w:r>
        <w:rPr>
          <w:noProof/>
        </w:rPr>
        <w:t xml:space="preserve"> de la correction britannique pour 2017 figurant dans le budget 2018 et la </w:t>
      </w:r>
      <w:r>
        <w:rPr>
          <w:i/>
          <w:noProof/>
        </w:rPr>
        <w:t>première mise à jour</w:t>
      </w:r>
      <w:r>
        <w:rPr>
          <w:noProof/>
        </w:rPr>
        <w:t xml:space="preserve"> de la correction pour 2017 à inscrire dans le présent PBR.</w:t>
      </w:r>
    </w:p>
    <w:p>
      <w:pPr>
        <w:rPr>
          <w:noProof/>
        </w:rPr>
      </w:pPr>
      <w:r>
        <w:rPr>
          <w:noProof/>
        </w:rPr>
        <w:br w:type="page"/>
      </w:r>
    </w:p>
    <w:p>
      <w:pPr>
        <w:spacing w:before="120" w:after="120"/>
        <w:jc w:val="both"/>
        <w:rPr>
          <w:noProof/>
        </w:rPr>
      </w:pPr>
    </w:p>
    <w:tbl>
      <w:tblPr>
        <w:tblW w:w="9135" w:type="dxa"/>
        <w:jc w:val="center"/>
        <w:tblLayout w:type="fixed"/>
        <w:tblLook w:val="0000" w:firstRow="0" w:lastRow="0" w:firstColumn="0" w:lastColumn="0" w:noHBand="0" w:noVBand="0"/>
      </w:tblPr>
      <w:tblGrid>
        <w:gridCol w:w="550"/>
        <w:gridCol w:w="3185"/>
        <w:gridCol w:w="1800"/>
        <w:gridCol w:w="1800"/>
        <w:gridCol w:w="1800"/>
      </w:tblGrid>
      <w:tr>
        <w:trPr>
          <w:trHeight w:val="727"/>
          <w:tblHeader/>
          <w:jc w:val="center"/>
        </w:trPr>
        <w:tc>
          <w:tcPr>
            <w:tcW w:w="550" w:type="dxa"/>
            <w:vMerge w:val="restart"/>
            <w:tcBorders>
              <w:top w:val="nil"/>
              <w:left w:val="nil"/>
              <w:bottom w:val="double" w:sz="6" w:space="0" w:color="auto"/>
              <w:right w:val="nil"/>
            </w:tcBorders>
            <w:shd w:val="clear" w:color="auto" w:fill="auto"/>
            <w:noWrap/>
            <w:vAlign w:val="bottom"/>
          </w:tcPr>
          <w:p>
            <w:pPr>
              <w:jc w:val="center"/>
              <w:rPr>
                <w:noProof/>
                <w:sz w:val="20"/>
              </w:rPr>
            </w:pPr>
          </w:p>
        </w:tc>
        <w:tc>
          <w:tcPr>
            <w:tcW w:w="3185" w:type="dxa"/>
            <w:vMerge w:val="restart"/>
            <w:tcBorders>
              <w:top w:val="nil"/>
              <w:left w:val="nil"/>
              <w:bottom w:val="double" w:sz="6" w:space="0" w:color="auto"/>
              <w:right w:val="nil"/>
            </w:tcBorders>
            <w:shd w:val="clear" w:color="auto" w:fill="auto"/>
            <w:noWrap/>
            <w:vAlign w:val="center"/>
          </w:tcPr>
          <w:p>
            <w:pPr>
              <w:autoSpaceDE w:val="0"/>
              <w:autoSpaceDN w:val="0"/>
              <w:adjustRightInd w:val="0"/>
              <w:jc w:val="center"/>
              <w:rPr>
                <w:b/>
                <w:noProof/>
                <w:color w:val="000000"/>
              </w:rPr>
            </w:pPr>
            <w:r>
              <w:rPr>
                <w:b/>
                <w:noProof/>
                <w:color w:val="000000"/>
              </w:rPr>
              <w:t>Correction britannique 2017</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Correction britannique 2017</w:t>
            </w:r>
          </w:p>
          <w:p>
            <w:pPr>
              <w:autoSpaceDE w:val="0"/>
              <w:autoSpaceDN w:val="0"/>
              <w:adjustRightInd w:val="0"/>
              <w:jc w:val="center"/>
              <w:rPr>
                <w:noProof/>
                <w:color w:val="000000"/>
                <w:sz w:val="20"/>
              </w:rPr>
            </w:pPr>
            <w:r>
              <w:rPr>
                <w:b/>
                <w:noProof/>
                <w:color w:val="000000"/>
                <w:sz w:val="20"/>
              </w:rPr>
              <w:t>MONTANT PROVISOIRE</w:t>
            </w:r>
          </w:p>
          <w:p>
            <w:pPr>
              <w:autoSpaceDE w:val="0"/>
              <w:autoSpaceDN w:val="0"/>
              <w:adjustRightInd w:val="0"/>
              <w:jc w:val="center"/>
              <w:rPr>
                <w:b/>
                <w:noProof/>
                <w:color w:val="000000"/>
                <w:sz w:val="20"/>
              </w:rPr>
            </w:pPr>
            <w:r>
              <w:rPr>
                <w:b/>
                <w:noProof/>
                <w:color w:val="000000"/>
                <w:sz w:val="20"/>
              </w:rPr>
              <w:t>Budget 2018</w:t>
            </w:r>
          </w:p>
        </w:tc>
        <w:tc>
          <w:tcPr>
            <w:tcW w:w="1800" w:type="dxa"/>
            <w:tcBorders>
              <w:top w:val="double" w:sz="6" w:space="0" w:color="auto"/>
              <w:left w:val="nil"/>
              <w:bottom w:val="double" w:sz="6" w:space="0" w:color="auto"/>
              <w:right w:val="double" w:sz="6" w:space="0" w:color="auto"/>
            </w:tcBorders>
            <w:shd w:val="clear" w:color="auto" w:fill="E0E0E0"/>
            <w:vAlign w:val="center"/>
          </w:tcPr>
          <w:p>
            <w:pPr>
              <w:autoSpaceDE w:val="0"/>
              <w:autoSpaceDN w:val="0"/>
              <w:adjustRightInd w:val="0"/>
              <w:jc w:val="center"/>
              <w:rPr>
                <w:b/>
                <w:bCs/>
                <w:noProof/>
                <w:color w:val="000000"/>
                <w:sz w:val="20"/>
              </w:rPr>
            </w:pPr>
            <w:r>
              <w:rPr>
                <w:b/>
                <w:noProof/>
                <w:color w:val="000000"/>
                <w:sz w:val="20"/>
              </w:rPr>
              <w:t>Correction britannique 2017</w:t>
            </w:r>
          </w:p>
          <w:p>
            <w:pPr>
              <w:autoSpaceDE w:val="0"/>
              <w:autoSpaceDN w:val="0"/>
              <w:adjustRightInd w:val="0"/>
              <w:jc w:val="center"/>
              <w:rPr>
                <w:b/>
                <w:bCs/>
                <w:noProof/>
                <w:color w:val="000000"/>
                <w:sz w:val="20"/>
              </w:rPr>
            </w:pPr>
            <w:r>
              <w:rPr>
                <w:b/>
                <w:noProof/>
                <w:color w:val="000000"/>
                <w:sz w:val="20"/>
              </w:rPr>
              <w:t>1</w:t>
            </w:r>
            <w:r>
              <w:rPr>
                <w:b/>
                <w:noProof/>
                <w:color w:val="000000"/>
                <w:sz w:val="20"/>
                <w:vertAlign w:val="superscript"/>
              </w:rPr>
              <w:t>RE</w:t>
            </w:r>
            <w:r>
              <w:rPr>
                <w:b/>
                <w:noProof/>
                <w:color w:val="000000"/>
                <w:sz w:val="20"/>
              </w:rPr>
              <w:t xml:space="preserve"> MISE À JOUR</w:t>
            </w:r>
          </w:p>
          <w:p>
            <w:pPr>
              <w:autoSpaceDE w:val="0"/>
              <w:autoSpaceDN w:val="0"/>
              <w:adjustRightInd w:val="0"/>
              <w:jc w:val="center"/>
              <w:rPr>
                <w:b/>
                <w:noProof/>
                <w:color w:val="000000"/>
                <w:sz w:val="20"/>
              </w:rPr>
            </w:pPr>
            <w:r>
              <w:rPr>
                <w:b/>
                <w:noProof/>
                <w:color w:val="000000"/>
                <w:sz w:val="20"/>
              </w:rPr>
              <w:t>PBR 6/2018</w:t>
            </w:r>
          </w:p>
        </w:tc>
        <w:tc>
          <w:tcPr>
            <w:tcW w:w="1800" w:type="dxa"/>
            <w:tcBorders>
              <w:top w:val="double" w:sz="6" w:space="0" w:color="auto"/>
              <w:left w:val="nil"/>
              <w:bottom w:val="double" w:sz="6" w:space="0" w:color="auto"/>
              <w:right w:val="double" w:sz="6" w:space="0" w:color="auto"/>
            </w:tcBorders>
            <w:shd w:val="clear" w:color="auto" w:fill="E0E0E0"/>
            <w:noWrap/>
            <w:vAlign w:val="center"/>
          </w:tcPr>
          <w:p>
            <w:pPr>
              <w:autoSpaceDE w:val="0"/>
              <w:autoSpaceDN w:val="0"/>
              <w:adjustRightInd w:val="0"/>
              <w:jc w:val="center"/>
              <w:rPr>
                <w:b/>
                <w:i/>
                <w:noProof/>
                <w:color w:val="000000"/>
                <w:sz w:val="20"/>
              </w:rPr>
            </w:pPr>
            <w:r>
              <w:rPr>
                <w:b/>
                <w:i/>
                <w:noProof/>
                <w:color w:val="000000"/>
                <w:sz w:val="20"/>
              </w:rPr>
              <w:t>Différence</w:t>
            </w:r>
          </w:p>
        </w:tc>
      </w:tr>
      <w:tr>
        <w:trPr>
          <w:jc w:val="center"/>
        </w:trPr>
        <w:tc>
          <w:tcPr>
            <w:tcW w:w="550" w:type="dxa"/>
            <w:vMerge/>
            <w:tcBorders>
              <w:bottom w:val="double" w:sz="6" w:space="0" w:color="auto"/>
              <w:right w:val="nil"/>
            </w:tcBorders>
            <w:shd w:val="clear" w:color="auto" w:fill="auto"/>
            <w:noWrap/>
            <w:vAlign w:val="center"/>
          </w:tcPr>
          <w:p>
            <w:pPr>
              <w:jc w:val="center"/>
              <w:rPr>
                <w:noProof/>
                <w:sz w:val="20"/>
              </w:rPr>
            </w:pPr>
          </w:p>
        </w:tc>
        <w:tc>
          <w:tcPr>
            <w:tcW w:w="3185" w:type="dxa"/>
            <w:vMerge/>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80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l’assiette TVA non écrêtée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17,1194 %</w:t>
            </w:r>
          </w:p>
        </w:tc>
        <w:tc>
          <w:tcPr>
            <w:tcW w:w="180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16,2266 %</w:t>
            </w:r>
          </w:p>
        </w:tc>
        <w:tc>
          <w:tcPr>
            <w:tcW w:w="180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-0,8928 %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7,4429 %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7,0114 %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-0,4315 %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9,6765 %</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9,2152 %</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-0,4613 %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118 550 222 885</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110 827 970 366</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- 7 722 252 519</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l'élargissement</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25 135 292 635</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20 962 713 989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- 4 172 578 647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25 135 292 635</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20 962 713 989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- 4 172 578 647</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93 414 930 250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89 865 256 377</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- 3 549 673 872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5 965 942 623</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5 465 655 078</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- 500 287 545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1 019 406 910</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548 929 008</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- 470 477 902</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4 946 535 713</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4 916 726 069</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- 29 809 643</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- 45 769 948</w:t>
            </w:r>
          </w:p>
        </w:tc>
        <w:tc>
          <w:tcPr>
            <w:tcW w:w="1800" w:type="dxa"/>
            <w:tcBorders>
              <w:top w:val="nil"/>
              <w:left w:val="nil"/>
              <w:bottom w:val="nil"/>
              <w:right w:val="double" w:sz="6" w:space="0" w:color="auto"/>
            </w:tcBorders>
            <w:shd w:val="clear" w:color="auto" w:fill="auto"/>
            <w:noWrap/>
            <w:vAlign w:val="center"/>
          </w:tcPr>
          <w:p>
            <w:pPr>
              <w:jc w:val="right"/>
              <w:rPr>
                <w:noProof/>
                <w:sz w:val="20"/>
              </w:rPr>
            </w:pPr>
            <w:r>
              <w:rPr>
                <w:noProof/>
                <w:sz w:val="20"/>
              </w:rPr>
              <w:t>- 17 211 574</w:t>
            </w:r>
          </w:p>
        </w:tc>
        <w:tc>
          <w:tcPr>
            <w:tcW w:w="180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+ 28 558 374</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4 992 305 660</w:t>
            </w:r>
          </w:p>
        </w:tc>
        <w:tc>
          <w:tcPr>
            <w:tcW w:w="180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4 933 937 643</w:t>
            </w:r>
          </w:p>
        </w:tc>
        <w:tc>
          <w:tcPr>
            <w:tcW w:w="180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- 58 368 017</w:t>
            </w:r>
          </w:p>
        </w:tc>
      </w:tr>
    </w:tbl>
    <w:p>
      <w:pPr>
        <w:tabs>
          <w:tab w:val="num" w:pos="851"/>
        </w:tabs>
        <w:spacing w:before="120" w:after="120"/>
        <w:jc w:val="both"/>
        <w:rPr>
          <w:noProof/>
        </w:rPr>
      </w:pPr>
      <w:r>
        <w:rPr>
          <w:noProof/>
        </w:rPr>
        <w:t xml:space="preserve">La </w:t>
      </w:r>
      <w:r>
        <w:rPr>
          <w:i/>
          <w:noProof/>
        </w:rPr>
        <w:t>première mise à jour</w:t>
      </w:r>
      <w:r>
        <w:rPr>
          <w:noProof/>
        </w:rPr>
        <w:t xml:space="preserve"> de la correction britannique pour 2017 est inférieure de quelque 58 millions d’EUR au </w:t>
      </w:r>
      <w:r>
        <w:rPr>
          <w:i/>
          <w:noProof/>
        </w:rPr>
        <w:t>montant provisoire</w:t>
      </w:r>
      <w:r>
        <w:rPr>
          <w:noProof/>
        </w:rPr>
        <w:t xml:space="preserve"> de la correction pour 2017 figurant dans le budget 2018.</w:t>
      </w:r>
    </w:p>
    <w:p>
      <w:pPr>
        <w:tabs>
          <w:tab w:val="left" w:pos="851"/>
        </w:tabs>
        <w:rPr>
          <w:bCs/>
          <w:noProof/>
          <w:szCs w:val="28"/>
          <w:u w:val="single"/>
        </w:rPr>
      </w:pPr>
      <w:r>
        <w:rPr>
          <w:noProof/>
          <w:u w:val="single"/>
        </w:rPr>
        <w:t>3.3.2.2</w:t>
      </w:r>
      <w:r>
        <w:rPr>
          <w:noProof/>
          <w:u w:val="single"/>
        </w:rPr>
        <w:tab/>
        <w:t>Correction britannique pour 2014</w:t>
      </w:r>
    </w:p>
    <w:p>
      <w:pPr>
        <w:spacing w:before="120" w:after="120"/>
        <w:jc w:val="both"/>
        <w:rPr>
          <w:noProof/>
        </w:rPr>
      </w:pPr>
      <w:r>
        <w:rPr>
          <w:noProof/>
        </w:rPr>
        <w:t xml:space="preserve">Le tableau ci-après résume les différences entre la </w:t>
      </w:r>
      <w:r>
        <w:rPr>
          <w:i/>
          <w:noProof/>
        </w:rPr>
        <w:t>deuxième mise à jour</w:t>
      </w:r>
      <w:r>
        <w:rPr>
          <w:noProof/>
        </w:rPr>
        <w:t xml:space="preserve"> de la correction britannique pour 2014 figurant dans le budget rectificatif nº 5/2016 et le </w:t>
      </w:r>
      <w:r>
        <w:rPr>
          <w:i/>
          <w:noProof/>
        </w:rPr>
        <w:t>montant définitif</w:t>
      </w:r>
      <w:r>
        <w:rPr>
          <w:noProof/>
        </w:rPr>
        <w:t xml:space="preserve"> de la correction pour 2014 à inscrire dans le présent PBR.</w:t>
      </w:r>
    </w:p>
    <w:p>
      <w:pPr>
        <w:rPr>
          <w:noProof/>
        </w:rPr>
      </w:pPr>
      <w:r>
        <w:rPr>
          <w:noProof/>
        </w:rPr>
        <w:br w:type="page"/>
      </w:r>
    </w:p>
    <w:p>
      <w:pPr>
        <w:spacing w:before="120" w:after="120"/>
        <w:jc w:val="both"/>
        <w:rPr>
          <w:noProof/>
        </w:rPr>
      </w:pPr>
    </w:p>
    <w:tbl>
      <w:tblPr>
        <w:tblW w:w="9135" w:type="dxa"/>
        <w:jc w:val="center"/>
        <w:tblLayout w:type="fixed"/>
        <w:tblLook w:val="0000" w:firstRow="0" w:lastRow="0" w:firstColumn="0" w:lastColumn="0" w:noHBand="0" w:noVBand="0"/>
      </w:tblPr>
      <w:tblGrid>
        <w:gridCol w:w="550"/>
        <w:gridCol w:w="3185"/>
        <w:gridCol w:w="1800"/>
        <w:gridCol w:w="1680"/>
        <w:gridCol w:w="1920"/>
      </w:tblGrid>
      <w:tr>
        <w:trPr>
          <w:trHeight w:val="831"/>
          <w:tblHeader/>
          <w:jc w:val="center"/>
        </w:trPr>
        <w:tc>
          <w:tcPr>
            <w:tcW w:w="550" w:type="dxa"/>
            <w:tcBorders>
              <w:top w:val="nil"/>
              <w:left w:val="nil"/>
              <w:right w:val="nil"/>
            </w:tcBorders>
            <w:shd w:val="clear" w:color="auto" w:fill="auto"/>
            <w:noWrap/>
            <w:vAlign w:val="bottom"/>
          </w:tcPr>
          <w:p>
            <w:pPr>
              <w:rPr>
                <w:noProof/>
                <w:sz w:val="20"/>
                <w:highlight w:val="yellow"/>
              </w:rPr>
            </w:pPr>
          </w:p>
        </w:tc>
        <w:tc>
          <w:tcPr>
            <w:tcW w:w="3185" w:type="dxa"/>
            <w:tcBorders>
              <w:top w:val="nil"/>
              <w:left w:val="nil"/>
              <w:right w:val="nil"/>
            </w:tcBorders>
            <w:shd w:val="clear" w:color="auto" w:fill="auto"/>
            <w:noWrap/>
            <w:vAlign w:val="center"/>
          </w:tcPr>
          <w:p>
            <w:pPr>
              <w:autoSpaceDE w:val="0"/>
              <w:autoSpaceDN w:val="0"/>
              <w:adjustRightInd w:val="0"/>
              <w:jc w:val="center"/>
              <w:rPr>
                <w:b/>
                <w:noProof/>
                <w:color w:val="000000"/>
              </w:rPr>
            </w:pPr>
            <w:r>
              <w:rPr>
                <w:b/>
                <w:noProof/>
                <w:color w:val="000000"/>
              </w:rPr>
              <w:t>Correction britannique 2014</w:t>
            </w:r>
          </w:p>
        </w:tc>
        <w:tc>
          <w:tcPr>
            <w:tcW w:w="1800" w:type="dxa"/>
            <w:tcBorders>
              <w:top w:val="double" w:sz="6" w:space="0" w:color="auto"/>
              <w:left w:val="double" w:sz="6" w:space="0" w:color="auto"/>
              <w:bottom w:val="double" w:sz="6" w:space="0" w:color="auto"/>
              <w:right w:val="single" w:sz="4" w:space="0" w:color="auto"/>
            </w:tcBorders>
            <w:shd w:val="clear" w:color="auto" w:fill="E0E0E0"/>
            <w:vAlign w:val="center"/>
          </w:tcPr>
          <w:p>
            <w:pPr>
              <w:jc w:val="center"/>
              <w:rPr>
                <w:b/>
                <w:bCs/>
                <w:noProof/>
                <w:sz w:val="20"/>
              </w:rPr>
            </w:pPr>
            <w:r>
              <w:rPr>
                <w:b/>
                <w:noProof/>
                <w:sz w:val="20"/>
              </w:rPr>
              <w:t>Correction britannique 2014</w:t>
            </w:r>
            <w:r>
              <w:rPr>
                <w:b/>
                <w:bCs/>
                <w:noProof/>
                <w:sz w:val="20"/>
              </w:rPr>
              <w:br/>
            </w:r>
            <w:r>
              <w:rPr>
                <w:b/>
                <w:noProof/>
                <w:sz w:val="20"/>
              </w:rPr>
              <w:t>2</w:t>
            </w:r>
            <w:r>
              <w:rPr>
                <w:b/>
                <w:noProof/>
                <w:sz w:val="20"/>
                <w:vertAlign w:val="superscript"/>
              </w:rPr>
              <w:t>E</w:t>
            </w:r>
            <w:r>
              <w:rPr>
                <w:b/>
                <w:noProof/>
                <w:sz w:val="20"/>
              </w:rPr>
              <w:t xml:space="preserve"> MISE À JOUR </w:t>
            </w:r>
            <w:r>
              <w:rPr>
                <w:b/>
                <w:bCs/>
                <w:noProof/>
                <w:sz w:val="20"/>
              </w:rPr>
              <w:br/>
            </w:r>
            <w:r>
              <w:rPr>
                <w:b/>
                <w:noProof/>
                <w:sz w:val="20"/>
              </w:rPr>
              <w:t>BR 5/2016</w:t>
            </w:r>
          </w:p>
        </w:tc>
        <w:tc>
          <w:tcPr>
            <w:tcW w:w="1680" w:type="dxa"/>
            <w:tcBorders>
              <w:top w:val="double" w:sz="6" w:space="0" w:color="auto"/>
              <w:left w:val="nil"/>
              <w:bottom w:val="double" w:sz="6" w:space="0" w:color="auto"/>
              <w:right w:val="double" w:sz="6" w:space="0" w:color="auto"/>
            </w:tcBorders>
            <w:shd w:val="clear" w:color="auto" w:fill="E0E0E0"/>
            <w:vAlign w:val="center"/>
          </w:tcPr>
          <w:p>
            <w:pPr>
              <w:jc w:val="center"/>
              <w:rPr>
                <w:b/>
                <w:bCs/>
                <w:noProof/>
                <w:sz w:val="20"/>
              </w:rPr>
            </w:pPr>
            <w:r>
              <w:rPr>
                <w:b/>
                <w:noProof/>
                <w:sz w:val="20"/>
              </w:rPr>
              <w:t>Correction britannique 2014</w:t>
            </w:r>
            <w:r>
              <w:rPr>
                <w:b/>
                <w:bCs/>
                <w:noProof/>
                <w:sz w:val="20"/>
              </w:rPr>
              <w:br/>
            </w:r>
            <w:r>
              <w:rPr>
                <w:b/>
                <w:noProof/>
                <w:sz w:val="20"/>
              </w:rPr>
              <w:t>MONTANT DÉFINITIF</w:t>
            </w:r>
            <w:r>
              <w:rPr>
                <w:b/>
                <w:bCs/>
                <w:noProof/>
                <w:sz w:val="20"/>
              </w:rPr>
              <w:br/>
            </w:r>
            <w:r>
              <w:rPr>
                <w:b/>
                <w:noProof/>
                <w:sz w:val="20"/>
              </w:rPr>
              <w:t>PBR 6/2018</w:t>
            </w:r>
          </w:p>
        </w:tc>
        <w:tc>
          <w:tcPr>
            <w:tcW w:w="1920" w:type="dxa"/>
            <w:tcBorders>
              <w:top w:val="double" w:sz="6" w:space="0" w:color="auto"/>
              <w:left w:val="nil"/>
              <w:bottom w:val="double" w:sz="6" w:space="0" w:color="auto"/>
              <w:right w:val="double" w:sz="6" w:space="0" w:color="auto"/>
            </w:tcBorders>
            <w:shd w:val="clear" w:color="auto" w:fill="E0E0E0"/>
            <w:noWrap/>
            <w:vAlign w:val="center"/>
          </w:tcPr>
          <w:p>
            <w:pPr>
              <w:jc w:val="center"/>
              <w:rPr>
                <w:b/>
                <w:bCs/>
                <w:i/>
                <w:iCs/>
                <w:noProof/>
                <w:sz w:val="20"/>
              </w:rPr>
            </w:pPr>
            <w:r>
              <w:rPr>
                <w:b/>
                <w:i/>
                <w:noProof/>
                <w:sz w:val="20"/>
              </w:rPr>
              <w:t>Différence</w:t>
            </w:r>
          </w:p>
        </w:tc>
      </w:tr>
      <w:tr>
        <w:trPr>
          <w:jc w:val="center"/>
        </w:trPr>
        <w:tc>
          <w:tcPr>
            <w:tcW w:w="550" w:type="dxa"/>
            <w:tcBorders>
              <w:bottom w:val="double" w:sz="6" w:space="0" w:color="auto"/>
              <w:right w:val="nil"/>
            </w:tcBorders>
            <w:shd w:val="clear" w:color="auto" w:fill="auto"/>
            <w:noWrap/>
            <w:vAlign w:val="center"/>
          </w:tcPr>
          <w:p>
            <w:pPr>
              <w:jc w:val="center"/>
              <w:rPr>
                <w:noProof/>
                <w:sz w:val="20"/>
              </w:rPr>
            </w:pPr>
          </w:p>
        </w:tc>
        <w:tc>
          <w:tcPr>
            <w:tcW w:w="3185" w:type="dxa"/>
            <w:tcBorders>
              <w:left w:val="nil"/>
              <w:bottom w:val="double" w:sz="6" w:space="0" w:color="auto"/>
              <w:right w:val="double" w:sz="6" w:space="0" w:color="auto"/>
            </w:tcBorders>
            <w:shd w:val="clear" w:color="auto" w:fill="auto"/>
          </w:tcPr>
          <w:p>
            <w:pPr>
              <w:autoSpaceDE w:val="0"/>
              <w:autoSpaceDN w:val="0"/>
              <w:adjustRightInd w:val="0"/>
              <w:rPr>
                <w:noProof/>
                <w:color w:val="000000"/>
                <w:sz w:val="20"/>
              </w:rPr>
            </w:pPr>
          </w:p>
        </w:tc>
        <w:tc>
          <w:tcPr>
            <w:tcW w:w="1800" w:type="dxa"/>
            <w:tcBorders>
              <w:top w:val="double" w:sz="6" w:space="0" w:color="auto"/>
              <w:left w:val="nil"/>
              <w:bottom w:val="nil"/>
              <w:right w:val="single" w:sz="4" w:space="0" w:color="auto"/>
            </w:tcBorders>
            <w:shd w:val="clear" w:color="auto" w:fill="auto"/>
            <w:noWrap/>
            <w:vAlign w:val="center"/>
          </w:tcPr>
          <w:p>
            <w:pPr>
              <w:jc w:val="center"/>
              <w:rPr>
                <w:noProof/>
                <w:sz w:val="20"/>
              </w:rPr>
            </w:pPr>
            <w:r>
              <w:rPr>
                <w:noProof/>
                <w:sz w:val="20"/>
              </w:rPr>
              <w:t>(1)</w:t>
            </w:r>
          </w:p>
        </w:tc>
        <w:tc>
          <w:tcPr>
            <w:tcW w:w="168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w:t>
            </w:r>
          </w:p>
        </w:tc>
        <w:tc>
          <w:tcPr>
            <w:tcW w:w="1920" w:type="dxa"/>
            <w:tcBorders>
              <w:top w:val="double" w:sz="6" w:space="0" w:color="auto"/>
              <w:left w:val="nil"/>
              <w:bottom w:val="nil"/>
              <w:right w:val="double" w:sz="6" w:space="0" w:color="auto"/>
            </w:tcBorders>
            <w:shd w:val="clear" w:color="auto" w:fill="auto"/>
            <w:noWrap/>
            <w:vAlign w:val="center"/>
          </w:tcPr>
          <w:p>
            <w:pPr>
              <w:jc w:val="center"/>
              <w:rPr>
                <w:noProof/>
                <w:sz w:val="20"/>
              </w:rPr>
            </w:pPr>
            <w:r>
              <w:rPr>
                <w:noProof/>
                <w:sz w:val="20"/>
              </w:rPr>
              <w:t>(2)-(1)</w:t>
            </w:r>
          </w:p>
        </w:tc>
      </w:tr>
      <w:tr>
        <w:trPr>
          <w:jc w:val="center"/>
        </w:trPr>
        <w:tc>
          <w:tcPr>
            <w:tcW w:w="550" w:type="dxa"/>
            <w:tcBorders>
              <w:top w:val="double" w:sz="6" w:space="0" w:color="auto"/>
              <w:left w:val="double" w:sz="6" w:space="0" w:color="auto"/>
              <w:bottom w:val="nil"/>
              <w:right w:val="nil"/>
            </w:tcBorders>
            <w:shd w:val="clear" w:color="auto" w:fill="auto"/>
            <w:noWrap/>
            <w:vAlign w:val="center"/>
          </w:tcPr>
          <w:p>
            <w:pPr>
              <w:jc w:val="center"/>
              <w:rPr>
                <w:noProof/>
                <w:sz w:val="20"/>
              </w:rPr>
            </w:pPr>
            <w:r>
              <w:rPr>
                <w:noProof/>
                <w:sz w:val="20"/>
              </w:rPr>
              <w:t>(1)</w:t>
            </w:r>
          </w:p>
        </w:tc>
        <w:tc>
          <w:tcPr>
            <w:tcW w:w="3185" w:type="dxa"/>
            <w:tcBorders>
              <w:top w:val="double" w:sz="6" w:space="0" w:color="auto"/>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l’assiette TVA non écrêtée</w:t>
            </w:r>
          </w:p>
        </w:tc>
        <w:tc>
          <w:tcPr>
            <w:tcW w:w="1800" w:type="dxa"/>
            <w:tcBorders>
              <w:top w:val="double" w:sz="6" w:space="0" w:color="auto"/>
              <w:left w:val="nil"/>
              <w:bottom w:val="nil"/>
              <w:right w:val="single" w:sz="4" w:space="0" w:color="auto"/>
            </w:tcBorders>
            <w:shd w:val="clear" w:color="auto" w:fill="auto"/>
            <w:noWrap/>
            <w:vAlign w:val="center"/>
          </w:tcPr>
          <w:p>
            <w:pPr>
              <w:jc w:val="right"/>
              <w:rPr>
                <w:noProof/>
                <w:sz w:val="20"/>
              </w:rPr>
            </w:pPr>
            <w:r>
              <w:rPr>
                <w:noProof/>
                <w:sz w:val="20"/>
              </w:rPr>
              <w:t>17,4319 %</w:t>
            </w:r>
          </w:p>
        </w:tc>
        <w:tc>
          <w:tcPr>
            <w:tcW w:w="1680" w:type="dxa"/>
            <w:tcBorders>
              <w:top w:val="double" w:sz="6" w:space="0" w:color="auto"/>
              <w:left w:val="nil"/>
              <w:bottom w:val="nil"/>
              <w:right w:val="double" w:sz="6" w:space="0" w:color="auto"/>
            </w:tcBorders>
            <w:shd w:val="clear" w:color="auto" w:fill="auto"/>
            <w:noWrap/>
            <w:vAlign w:val="center"/>
          </w:tcPr>
          <w:p>
            <w:pPr>
              <w:jc w:val="right"/>
              <w:rPr>
                <w:noProof/>
                <w:sz w:val="20"/>
              </w:rPr>
            </w:pPr>
            <w:r>
              <w:rPr>
                <w:noProof/>
                <w:sz w:val="20"/>
              </w:rPr>
              <w:t>17,3737 %</w:t>
            </w:r>
          </w:p>
        </w:tc>
        <w:tc>
          <w:tcPr>
            <w:tcW w:w="1920" w:type="dxa"/>
            <w:tcBorders>
              <w:top w:val="double" w:sz="6" w:space="0" w:color="auto"/>
              <w:left w:val="nil"/>
              <w:bottom w:val="nil"/>
              <w:right w:val="double" w:sz="6" w:space="0" w:color="auto"/>
            </w:tcBorders>
            <w:shd w:val="clear" w:color="auto" w:fill="auto"/>
            <w:noWrap/>
            <w:vAlign w:val="center"/>
          </w:tcPr>
          <w:p>
            <w:pPr>
              <w:jc w:val="right"/>
              <w:rPr>
                <w:i/>
                <w:noProof/>
                <w:sz w:val="20"/>
              </w:rPr>
            </w:pPr>
            <w:r>
              <w:rPr>
                <w:i/>
                <w:noProof/>
                <w:sz w:val="20"/>
              </w:rPr>
              <w:t>+ 0,0582 %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(2)</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Part du Royaume-Uni dans le total des dépenses réparties, ajusté des dépenses liées à l'élargissement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7,4180 %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7,4180 %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+ 0,0000 %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(3)</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18"/>
                <w:szCs w:val="18"/>
              </w:rPr>
            </w:pPr>
            <w:r>
              <w:rPr>
                <w:noProof/>
                <w:color w:val="000000"/>
                <w:sz w:val="18"/>
              </w:rPr>
              <w:t>= (1) - (2)</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10,0139 %</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9,9557 %</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+ 0,0582 %</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(4)</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128 669 838 650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128 669 838 650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l'élargissement</w:t>
            </w:r>
            <w:r>
              <w:rPr>
                <w:noProof/>
                <w:sz w:val="20"/>
              </w:rPr>
              <w:br/>
              <w:t>= (5a) + (5b)</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33 342 488 843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33 342 488 843</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(5a)</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de préadhésion</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0</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(5b)</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Dépenses liées à l’article 4, paragraphe 1, point g)</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33 342 488 843</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33 342 488 843</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autoSpaceDE w:val="0"/>
              <w:autoSpaceDN w:val="0"/>
              <w:adjustRightInd w:val="0"/>
              <w:rPr>
                <w:noProof/>
                <w:color w:val="000000"/>
                <w:sz w:val="20"/>
              </w:rPr>
            </w:pPr>
            <w:r>
              <w:rPr>
                <w:noProof/>
                <w:color w:val="000000"/>
                <w:sz w:val="20"/>
              </w:rPr>
              <w:t>(6)</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Total des dépenses réparties, ajusté des dépenses liées à l’élargissement = (4) - (5)</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95 327 349 807</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95 327 349 807</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0</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(7)</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Montant initial de la correction britannique = (3) x (6) x 0,66</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6 300 352 079</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6 263 729 054</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- 36 623 025</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(8)</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Avantage du Royaume-Uni</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1 162 878 038</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1 023 430 934</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- 139 447 104</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(9)</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de base en faveur du Royaume-Uni = (7) - (8)</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5 137 474 040</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5 240 298 119</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+ 102 824 079</w:t>
            </w:r>
          </w:p>
        </w:tc>
      </w:tr>
      <w:tr>
        <w:trPr>
          <w:jc w:val="center"/>
        </w:trPr>
        <w:tc>
          <w:tcPr>
            <w:tcW w:w="550" w:type="dxa"/>
            <w:tcBorders>
              <w:top w:val="nil"/>
              <w:left w:val="double" w:sz="6" w:space="0" w:color="auto"/>
              <w:bottom w:val="nil"/>
              <w:right w:val="nil"/>
            </w:tcBorders>
            <w:shd w:val="clear" w:color="auto" w:fill="auto"/>
            <w:noWrap/>
            <w:vAlign w:val="center"/>
          </w:tcPr>
          <w:p>
            <w:pPr>
              <w:jc w:val="center"/>
              <w:rPr>
                <w:noProof/>
                <w:sz w:val="20"/>
              </w:rPr>
            </w:pPr>
            <w:r>
              <w:rPr>
                <w:noProof/>
                <w:sz w:val="20"/>
              </w:rPr>
              <w:t>(10)</w:t>
            </w:r>
          </w:p>
        </w:tc>
        <w:tc>
          <w:tcPr>
            <w:tcW w:w="3185" w:type="dxa"/>
            <w:tcBorders>
              <w:top w:val="nil"/>
              <w:left w:val="nil"/>
              <w:bottom w:val="nil"/>
              <w:right w:val="double" w:sz="6" w:space="0" w:color="auto"/>
            </w:tcBorders>
            <w:shd w:val="clear" w:color="auto" w:fill="auto"/>
          </w:tcPr>
          <w:p>
            <w:pPr>
              <w:autoSpaceDE w:val="0"/>
              <w:autoSpaceDN w:val="0"/>
              <w:adjustRightInd w:val="0"/>
              <w:rPr>
                <w:noProof/>
                <w:color w:val="000000"/>
                <w:sz w:val="20"/>
              </w:rPr>
            </w:pPr>
            <w:r>
              <w:rPr>
                <w:noProof/>
                <w:color w:val="000000"/>
                <w:sz w:val="20"/>
              </w:rPr>
              <w:t>Gains exceptionnels provenant des RPT</w:t>
            </w:r>
          </w:p>
        </w:tc>
        <w:tc>
          <w:tcPr>
            <w:tcW w:w="1800" w:type="dxa"/>
            <w:tcBorders>
              <w:top w:val="nil"/>
              <w:left w:val="nil"/>
              <w:bottom w:val="nil"/>
              <w:right w:val="single" w:sz="4" w:space="0" w:color="auto"/>
            </w:tcBorders>
            <w:shd w:val="clear" w:color="auto" w:fill="auto"/>
            <w:noWrap/>
            <w:vAlign w:val="center"/>
          </w:tcPr>
          <w:p>
            <w:pPr>
              <w:jc w:val="right"/>
              <w:rPr>
                <w:noProof/>
                <w:sz w:val="20"/>
              </w:rPr>
            </w:pPr>
            <w:r>
              <w:rPr>
                <w:noProof/>
                <w:sz w:val="20"/>
              </w:rPr>
              <w:t>-28 189 034</w:t>
            </w:r>
          </w:p>
        </w:tc>
        <w:tc>
          <w:tcPr>
            <w:tcW w:w="1680" w:type="dxa"/>
            <w:tcBorders>
              <w:top w:val="nil"/>
              <w:left w:val="nil"/>
              <w:bottom w:val="nil"/>
              <w:right w:val="double" w:sz="6" w:space="0" w:color="auto"/>
            </w:tcBorders>
            <w:shd w:val="clear" w:color="auto" w:fill="auto"/>
            <w:noWrap/>
            <w:vAlign w:val="center"/>
          </w:tcPr>
          <w:p>
            <w:pPr>
              <w:jc w:val="right"/>
              <w:rPr>
                <w:noProof/>
                <w:sz w:val="20"/>
              </w:rPr>
            </w:pPr>
            <w:r>
              <w:rPr>
                <w:noProof/>
                <w:sz w:val="20"/>
              </w:rPr>
              <w:t>-26 930 139</w:t>
            </w:r>
          </w:p>
        </w:tc>
        <w:tc>
          <w:tcPr>
            <w:tcW w:w="1920" w:type="dxa"/>
            <w:tcBorders>
              <w:top w:val="nil"/>
              <w:left w:val="nil"/>
              <w:bottom w:val="nil"/>
              <w:right w:val="double" w:sz="6" w:space="0" w:color="auto"/>
            </w:tcBorders>
            <w:shd w:val="clear" w:color="auto" w:fill="auto"/>
            <w:noWrap/>
            <w:vAlign w:val="center"/>
          </w:tcPr>
          <w:p>
            <w:pPr>
              <w:jc w:val="right"/>
              <w:rPr>
                <w:i/>
                <w:noProof/>
                <w:sz w:val="20"/>
              </w:rPr>
            </w:pPr>
            <w:r>
              <w:rPr>
                <w:i/>
                <w:noProof/>
                <w:sz w:val="20"/>
              </w:rPr>
              <w:t>+ 1 258 896</w:t>
            </w:r>
          </w:p>
        </w:tc>
      </w:tr>
      <w:tr>
        <w:trPr>
          <w:jc w:val="center"/>
        </w:trPr>
        <w:tc>
          <w:tcPr>
            <w:tcW w:w="550" w:type="dxa"/>
            <w:tcBorders>
              <w:top w:val="nil"/>
              <w:left w:val="double" w:sz="6" w:space="0" w:color="auto"/>
              <w:bottom w:val="double" w:sz="6" w:space="0" w:color="auto"/>
              <w:right w:val="nil"/>
            </w:tcBorders>
            <w:shd w:val="clear" w:color="auto" w:fill="auto"/>
            <w:noWrap/>
            <w:vAlign w:val="center"/>
          </w:tcPr>
          <w:p>
            <w:pPr>
              <w:jc w:val="center"/>
              <w:rPr>
                <w:noProof/>
                <w:sz w:val="20"/>
              </w:rPr>
            </w:pPr>
            <w:r>
              <w:rPr>
                <w:noProof/>
                <w:sz w:val="20"/>
              </w:rPr>
              <w:t>(11)</w:t>
            </w:r>
          </w:p>
        </w:tc>
        <w:tc>
          <w:tcPr>
            <w:tcW w:w="3185" w:type="dxa"/>
            <w:tcBorders>
              <w:top w:val="nil"/>
              <w:left w:val="nil"/>
              <w:bottom w:val="double" w:sz="6" w:space="0" w:color="auto"/>
              <w:right w:val="double" w:sz="6" w:space="0" w:color="auto"/>
            </w:tcBorders>
            <w:shd w:val="clear" w:color="auto" w:fill="auto"/>
          </w:tcPr>
          <w:p>
            <w:pPr>
              <w:autoSpaceDE w:val="0"/>
              <w:autoSpaceDN w:val="0"/>
              <w:adjustRightInd w:val="0"/>
              <w:rPr>
                <w:noProof/>
                <w:color w:val="000000"/>
                <w:sz w:val="20"/>
              </w:rPr>
            </w:pPr>
            <w:r>
              <w:rPr>
                <w:noProof/>
                <w:color w:val="000000"/>
                <w:sz w:val="20"/>
              </w:rPr>
              <w:t>Correction britannique = (9) - (10)</w:t>
            </w:r>
          </w:p>
        </w:tc>
        <w:tc>
          <w:tcPr>
            <w:tcW w:w="1800" w:type="dxa"/>
            <w:tcBorders>
              <w:top w:val="nil"/>
              <w:left w:val="nil"/>
              <w:bottom w:val="double" w:sz="6" w:space="0" w:color="auto"/>
              <w:right w:val="single" w:sz="4" w:space="0" w:color="auto"/>
            </w:tcBorders>
            <w:shd w:val="clear" w:color="auto" w:fill="auto"/>
            <w:noWrap/>
            <w:vAlign w:val="center"/>
          </w:tcPr>
          <w:p>
            <w:pPr>
              <w:jc w:val="right"/>
              <w:rPr>
                <w:noProof/>
                <w:sz w:val="20"/>
              </w:rPr>
            </w:pPr>
            <w:r>
              <w:rPr>
                <w:noProof/>
                <w:sz w:val="20"/>
              </w:rPr>
              <w:t>5 165 663 075</w:t>
            </w:r>
          </w:p>
        </w:tc>
        <w:tc>
          <w:tcPr>
            <w:tcW w:w="1680" w:type="dxa"/>
            <w:tcBorders>
              <w:top w:val="nil"/>
              <w:left w:val="nil"/>
              <w:bottom w:val="double" w:sz="6" w:space="0" w:color="auto"/>
              <w:right w:val="double" w:sz="6" w:space="0" w:color="auto"/>
            </w:tcBorders>
            <w:shd w:val="clear" w:color="auto" w:fill="auto"/>
            <w:noWrap/>
            <w:vAlign w:val="center"/>
          </w:tcPr>
          <w:p>
            <w:pPr>
              <w:jc w:val="right"/>
              <w:rPr>
                <w:noProof/>
                <w:sz w:val="20"/>
              </w:rPr>
            </w:pPr>
            <w:r>
              <w:rPr>
                <w:noProof/>
                <w:sz w:val="20"/>
              </w:rPr>
              <w:t>5 267 228 258</w:t>
            </w:r>
          </w:p>
        </w:tc>
        <w:tc>
          <w:tcPr>
            <w:tcW w:w="1920" w:type="dxa"/>
            <w:tcBorders>
              <w:top w:val="nil"/>
              <w:left w:val="nil"/>
              <w:bottom w:val="double" w:sz="6" w:space="0" w:color="auto"/>
              <w:right w:val="double" w:sz="6" w:space="0" w:color="auto"/>
            </w:tcBorders>
            <w:shd w:val="clear" w:color="auto" w:fill="auto"/>
            <w:noWrap/>
            <w:vAlign w:val="center"/>
          </w:tcPr>
          <w:p>
            <w:pPr>
              <w:jc w:val="right"/>
              <w:rPr>
                <w:i/>
                <w:noProof/>
                <w:sz w:val="20"/>
              </w:rPr>
            </w:pPr>
            <w:r>
              <w:rPr>
                <w:i/>
                <w:noProof/>
                <w:sz w:val="20"/>
              </w:rPr>
              <w:t>+101 565 183</w:t>
            </w:r>
          </w:p>
        </w:tc>
      </w:tr>
    </w:tbl>
    <w:p>
      <w:pPr>
        <w:spacing w:before="120" w:after="120"/>
        <w:jc w:val="both"/>
        <w:rPr>
          <w:noProof/>
        </w:rPr>
      </w:pPr>
      <w:r>
        <w:rPr>
          <w:noProof/>
        </w:rPr>
        <w:t xml:space="preserve">Le </w:t>
      </w:r>
      <w:r>
        <w:rPr>
          <w:i/>
          <w:noProof/>
        </w:rPr>
        <w:t>montant définitif</w:t>
      </w:r>
      <w:r>
        <w:rPr>
          <w:noProof/>
        </w:rPr>
        <w:t xml:space="preserve"> de la correction britannique pour 2014 est supérieur de 102 millions d’EUR à la </w:t>
      </w:r>
      <w:r>
        <w:rPr>
          <w:i/>
          <w:noProof/>
        </w:rPr>
        <w:t>deuxième mise à jour</w:t>
      </w:r>
      <w:r>
        <w:rPr>
          <w:noProof/>
        </w:rPr>
        <w:t xml:space="preserve"> de la correction britannique pour 2014 figurant dans le BR nº 5/2016, essentiellement en raison des mises à jour des assiettes TVA et RNB communiquées par les États membres à l’automne 2017.</w:t>
      </w:r>
    </w:p>
    <w:p>
      <w:pPr>
        <w:tabs>
          <w:tab w:val="left" w:pos="850"/>
        </w:tabs>
        <w:spacing w:before="120" w:after="120"/>
        <w:ind w:left="851" w:hanging="851"/>
        <w:rPr>
          <w:bCs/>
          <w:i/>
          <w:noProof/>
        </w:rPr>
      </w:pPr>
      <w:bookmarkStart w:id="67" w:name="_Toc231879708"/>
      <w:bookmarkStart w:id="68" w:name="_Toc293417237"/>
      <w:bookmarkStart w:id="69" w:name="_Toc294673196"/>
      <w:bookmarkStart w:id="70" w:name="_Toc357005416"/>
      <w:bookmarkStart w:id="71" w:name="_Toc390436799"/>
      <w:bookmarkStart w:id="72" w:name="_Toc420941904"/>
      <w:bookmarkStart w:id="73" w:name="_Toc461544624"/>
      <w:r>
        <w:rPr>
          <w:i/>
          <w:noProof/>
        </w:rPr>
        <w:t>3.3.3</w:t>
      </w:r>
      <w:r>
        <w:rPr>
          <w:noProof/>
        </w:rPr>
        <w:tab/>
      </w:r>
      <w:r>
        <w:rPr>
          <w:i/>
          <w:noProof/>
        </w:rPr>
        <w:t>Inscription dans le PBR nº 6/2018 de la première mise à jour de la correction britannique pour 2017 et du montant définitif de la correction britannique pour 2014</w:t>
      </w:r>
      <w:bookmarkEnd w:id="67"/>
      <w:bookmarkEnd w:id="68"/>
      <w:bookmarkEnd w:id="69"/>
      <w:bookmarkEnd w:id="70"/>
      <w:bookmarkEnd w:id="71"/>
      <w:bookmarkEnd w:id="72"/>
      <w:bookmarkEnd w:id="73"/>
      <w:r>
        <w:rPr>
          <w:i/>
          <w:noProof/>
        </w:rPr>
        <w:t xml:space="preserve"> </w:t>
      </w:r>
    </w:p>
    <w:p>
      <w:pPr>
        <w:tabs>
          <w:tab w:val="left" w:pos="851"/>
        </w:tabs>
        <w:spacing w:before="120" w:after="120"/>
        <w:rPr>
          <w:bCs/>
          <w:noProof/>
          <w:szCs w:val="28"/>
          <w:u w:val="single"/>
        </w:rPr>
      </w:pPr>
      <w:bookmarkStart w:id="74" w:name="_Toc231879709"/>
      <w:r>
        <w:rPr>
          <w:noProof/>
          <w:u w:val="single"/>
        </w:rPr>
        <w:t>3.3.3.1</w:t>
      </w:r>
      <w:r>
        <w:rPr>
          <w:noProof/>
          <w:u w:val="single"/>
        </w:rPr>
        <w:tab/>
        <w:t>Correction britannique pour 2014 (chapitre 35)</w:t>
      </w:r>
    </w:p>
    <w:p>
      <w:pPr>
        <w:spacing w:before="120" w:after="120"/>
        <w:jc w:val="both"/>
        <w:rPr>
          <w:noProof/>
        </w:rPr>
      </w:pPr>
      <w:r>
        <w:rPr>
          <w:noProof/>
        </w:rPr>
        <w:t xml:space="preserve">Le montant de la correction britannique à budgétiser au chapitre 35 du présent PBR est la différence entre le </w:t>
      </w:r>
      <w:r>
        <w:rPr>
          <w:i/>
          <w:noProof/>
        </w:rPr>
        <w:t>montant définitif</w:t>
      </w:r>
      <w:r>
        <w:rPr>
          <w:noProof/>
        </w:rPr>
        <w:t xml:space="preserve"> de la correction britannique pour 2014 (soit 5 267 228 258 EUR) et la </w:t>
      </w:r>
      <w:r>
        <w:rPr>
          <w:i/>
          <w:noProof/>
        </w:rPr>
        <w:t>deuxième mise à jour</w:t>
      </w:r>
      <w:r>
        <w:rPr>
          <w:noProof/>
        </w:rPr>
        <w:t xml:space="preserve"> de la correction britannique pour 2014 (soit un montant de 5 165 663 075 EUR inscrit dans le BR n° 5/2016), qui s’élève à 101 565 183 EUR.</w:t>
      </w:r>
    </w:p>
    <w:p>
      <w:pPr>
        <w:spacing w:before="120" w:after="240"/>
        <w:jc w:val="both"/>
        <w:rPr>
          <w:noProof/>
        </w:rPr>
      </w:pPr>
      <w:r>
        <w:rPr>
          <w:noProof/>
        </w:rPr>
        <w:t>Ce montant doit être financé en fonction des assiettes RNB 2014 révisées telles qu’elles étaient connues à la fin de 2017. La budgétisation de ce montant au chapitre 35 est récapitulée ci-dessous:</w:t>
      </w:r>
    </w:p>
    <w:p>
      <w:pPr>
        <w:rPr>
          <w:noProof/>
        </w:rPr>
      </w:pPr>
      <w:r>
        <w:rPr>
          <w:noProof/>
        </w:rPr>
        <w:br w:type="page"/>
      </w:r>
    </w:p>
    <w:p>
      <w:pPr>
        <w:spacing w:before="120" w:after="240"/>
        <w:jc w:val="both"/>
        <w:rPr>
          <w:noProof/>
        </w:rPr>
      </w:pPr>
    </w:p>
    <w:tbl>
      <w:tblPr>
        <w:tblW w:w="4220" w:type="dxa"/>
        <w:jc w:val="center"/>
        <w:tblLook w:val="0000" w:firstRow="0" w:lastRow="0" w:firstColumn="0" w:lastColumn="0" w:noHBand="0" w:noVBand="0"/>
      </w:tblPr>
      <w:tblGrid>
        <w:gridCol w:w="549"/>
        <w:gridCol w:w="1383"/>
        <w:gridCol w:w="809"/>
        <w:gridCol w:w="1479"/>
      </w:tblGrid>
      <w:tr>
        <w:trPr>
          <w:tblHeader/>
          <w:jc w:val="center"/>
        </w:trPr>
        <w:tc>
          <w:tcPr>
            <w:tcW w:w="422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keepLines/>
              <w:jc w:val="center"/>
              <w:rPr>
                <w:b/>
                <w:bCs/>
                <w:noProof/>
                <w:sz w:val="20"/>
              </w:rPr>
            </w:pPr>
            <w:r>
              <w:rPr>
                <w:b/>
                <w:noProof/>
                <w:sz w:val="20"/>
              </w:rPr>
              <w:t>Correction britannique pour 2014 – chapitre 35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1 189 588</w:t>
            </w:r>
          </w:p>
        </w:tc>
        <w:tc>
          <w:tcPr>
            <w:tcW w:w="809" w:type="dxa"/>
            <w:tcBorders>
              <w:top w:val="nil"/>
              <w:left w:val="nil"/>
              <w:bottom w:val="nil"/>
              <w:right w:val="nil"/>
            </w:tcBorders>
            <w:shd w:val="clear" w:color="auto" w:fill="auto"/>
            <w:noWrap/>
          </w:tcPr>
          <w:p>
            <w:pPr>
              <w:jc w:val="center"/>
              <w:rPr>
                <w:b/>
                <w:noProof/>
                <w:sz w:val="20"/>
              </w:rPr>
            </w:pPr>
            <w:r>
              <w:rPr>
                <w:b/>
                <w:noProof/>
                <w:sz w:val="20"/>
              </w:rPr>
              <w:t>LU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396 101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keepLines/>
              <w:jc w:val="center"/>
              <w:rPr>
                <w:b/>
                <w:noProof/>
                <w:sz w:val="20"/>
              </w:rPr>
            </w:pPr>
            <w:r>
              <w:rPr>
                <w:b/>
                <w:noProof/>
                <w:sz w:val="20"/>
              </w:rPr>
              <w:t>BG</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1 314 590</w:t>
            </w:r>
          </w:p>
        </w:tc>
        <w:tc>
          <w:tcPr>
            <w:tcW w:w="809" w:type="dxa"/>
            <w:tcBorders>
              <w:top w:val="nil"/>
              <w:left w:val="nil"/>
              <w:bottom w:val="nil"/>
              <w:right w:val="nil"/>
            </w:tcBorders>
            <w:shd w:val="clear" w:color="auto" w:fill="auto"/>
            <w:noWrap/>
          </w:tcPr>
          <w:p>
            <w:pPr>
              <w:jc w:val="center"/>
              <w:rPr>
                <w:b/>
                <w:noProof/>
                <w:sz w:val="20"/>
              </w:rPr>
            </w:pPr>
            <w:r>
              <w:rPr>
                <w:b/>
                <w:noProof/>
                <w:sz w:val="20"/>
              </w:rPr>
              <w:t>HU</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1 450 317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CZ</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4 774 050</w:t>
            </w:r>
          </w:p>
        </w:tc>
        <w:tc>
          <w:tcPr>
            <w:tcW w:w="809" w:type="dxa"/>
            <w:tcBorders>
              <w:top w:val="nil"/>
              <w:left w:val="nil"/>
              <w:bottom w:val="nil"/>
              <w:right w:val="nil"/>
            </w:tcBorders>
            <w:shd w:val="clear" w:color="auto" w:fill="auto"/>
            <w:noWrap/>
          </w:tcPr>
          <w:p>
            <w:pPr>
              <w:jc w:val="center"/>
              <w:rPr>
                <w:b/>
                <w:noProof/>
                <w:sz w:val="20"/>
              </w:rPr>
            </w:pPr>
            <w:r>
              <w:rPr>
                <w:b/>
                <w:noProof/>
                <w:sz w:val="20"/>
              </w:rPr>
              <w:t>MT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287 498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DK</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6 637 880</w:t>
            </w:r>
          </w:p>
        </w:tc>
        <w:tc>
          <w:tcPr>
            <w:tcW w:w="809" w:type="dxa"/>
            <w:tcBorders>
              <w:top w:val="nil"/>
              <w:left w:val="nil"/>
              <w:bottom w:val="nil"/>
              <w:right w:val="nil"/>
            </w:tcBorders>
            <w:shd w:val="clear" w:color="auto" w:fill="auto"/>
            <w:noWrap/>
          </w:tcPr>
          <w:p>
            <w:pPr>
              <w:jc w:val="center"/>
              <w:rPr>
                <w:b/>
                <w:noProof/>
                <w:sz w:val="20"/>
              </w:rPr>
            </w:pPr>
            <w:r>
              <w:rPr>
                <w:b/>
                <w:noProof/>
                <w:sz w:val="20"/>
              </w:rPr>
              <w:t>NL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1 144 795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DE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4 827 592</w:t>
            </w:r>
          </w:p>
        </w:tc>
        <w:tc>
          <w:tcPr>
            <w:tcW w:w="809" w:type="dxa"/>
            <w:tcBorders>
              <w:top w:val="nil"/>
              <w:left w:val="nil"/>
              <w:bottom w:val="nil"/>
              <w:right w:val="nil"/>
            </w:tcBorders>
            <w:shd w:val="clear" w:color="auto" w:fill="auto"/>
            <w:noWrap/>
          </w:tcPr>
          <w:p>
            <w:pPr>
              <w:jc w:val="center"/>
              <w:rPr>
                <w:b/>
                <w:noProof/>
                <w:sz w:val="20"/>
              </w:rPr>
            </w:pPr>
            <w:r>
              <w:rPr>
                <w:b/>
                <w:noProof/>
                <w:sz w:val="20"/>
              </w:rPr>
              <w:t>AT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1 225 444</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EE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79 593</w:t>
            </w:r>
          </w:p>
        </w:tc>
        <w:tc>
          <w:tcPr>
            <w:tcW w:w="809" w:type="dxa"/>
            <w:tcBorders>
              <w:top w:val="nil"/>
              <w:left w:val="nil"/>
              <w:bottom w:val="nil"/>
              <w:right w:val="nil"/>
            </w:tcBorders>
            <w:shd w:val="clear" w:color="auto" w:fill="auto"/>
            <w:noWrap/>
          </w:tcPr>
          <w:p>
            <w:pPr>
              <w:jc w:val="center"/>
              <w:rPr>
                <w:b/>
                <w:noProof/>
                <w:sz w:val="20"/>
              </w:rPr>
            </w:pPr>
            <w:r>
              <w:rPr>
                <w:b/>
                <w:noProof/>
                <w:sz w:val="20"/>
              </w:rPr>
              <w:t>PL</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3 032 377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IE</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17 082 160</w:t>
            </w:r>
          </w:p>
        </w:tc>
        <w:tc>
          <w:tcPr>
            <w:tcW w:w="809" w:type="dxa"/>
            <w:tcBorders>
              <w:top w:val="nil"/>
              <w:left w:val="nil"/>
              <w:bottom w:val="nil"/>
              <w:right w:val="nil"/>
            </w:tcBorders>
            <w:shd w:val="clear" w:color="auto" w:fill="auto"/>
            <w:noWrap/>
          </w:tcPr>
          <w:p>
            <w:pPr>
              <w:jc w:val="center"/>
              <w:rPr>
                <w:b/>
                <w:noProof/>
                <w:sz w:val="20"/>
              </w:rPr>
            </w:pPr>
            <w:r>
              <w:rPr>
                <w:b/>
                <w:noProof/>
                <w:sz w:val="20"/>
              </w:rPr>
              <w:t>PT</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904 421</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EL</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1 707 571</w:t>
            </w:r>
          </w:p>
        </w:tc>
        <w:tc>
          <w:tcPr>
            <w:tcW w:w="809" w:type="dxa"/>
            <w:tcBorders>
              <w:top w:val="nil"/>
              <w:left w:val="nil"/>
              <w:bottom w:val="nil"/>
              <w:right w:val="nil"/>
            </w:tcBorders>
            <w:shd w:val="clear" w:color="auto" w:fill="auto"/>
            <w:noWrap/>
          </w:tcPr>
          <w:p>
            <w:pPr>
              <w:jc w:val="center"/>
              <w:rPr>
                <w:b/>
                <w:noProof/>
                <w:sz w:val="20"/>
              </w:rPr>
            </w:pPr>
            <w:r>
              <w:rPr>
                <w:b/>
                <w:noProof/>
                <w:sz w:val="20"/>
              </w:rPr>
              <w:t>RO</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974 427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ES</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6 540 304</w:t>
            </w:r>
          </w:p>
        </w:tc>
        <w:tc>
          <w:tcPr>
            <w:tcW w:w="809" w:type="dxa"/>
            <w:tcBorders>
              <w:top w:val="nil"/>
              <w:left w:val="nil"/>
              <w:bottom w:val="nil"/>
              <w:right w:val="nil"/>
            </w:tcBorders>
            <w:shd w:val="clear" w:color="auto" w:fill="auto"/>
            <w:noWrap/>
          </w:tcPr>
          <w:p>
            <w:pPr>
              <w:jc w:val="center"/>
              <w:rPr>
                <w:b/>
                <w:noProof/>
                <w:sz w:val="20"/>
              </w:rPr>
            </w:pPr>
            <w:r>
              <w:rPr>
                <w:b/>
                <w:noProof/>
                <w:sz w:val="20"/>
              </w:rPr>
              <w:t>SI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-64 803</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FR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23 264 515</w:t>
            </w:r>
          </w:p>
        </w:tc>
        <w:tc>
          <w:tcPr>
            <w:tcW w:w="809" w:type="dxa"/>
            <w:tcBorders>
              <w:top w:val="nil"/>
              <w:left w:val="nil"/>
              <w:bottom w:val="nil"/>
              <w:right w:val="nil"/>
            </w:tcBorders>
            <w:shd w:val="clear" w:color="auto" w:fill="auto"/>
            <w:noWrap/>
          </w:tcPr>
          <w:p>
            <w:pPr>
              <w:jc w:val="center"/>
              <w:rPr>
                <w:b/>
                <w:noProof/>
                <w:sz w:val="20"/>
              </w:rPr>
            </w:pPr>
            <w:r>
              <w:rPr>
                <w:b/>
                <w:noProof/>
                <w:sz w:val="20"/>
              </w:rPr>
              <w:t>SK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1 838 327</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color w:val="000000"/>
                <w:sz w:val="20"/>
              </w:rPr>
            </w:pPr>
            <w:r>
              <w:rPr>
                <w:b/>
                <w:noProof/>
                <w:color w:val="000000"/>
                <w:sz w:val="20"/>
              </w:rPr>
              <w:t>HR</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827 042</w:t>
            </w:r>
          </w:p>
        </w:tc>
        <w:tc>
          <w:tcPr>
            <w:tcW w:w="809" w:type="dxa"/>
            <w:tcBorders>
              <w:top w:val="nil"/>
              <w:left w:val="nil"/>
              <w:bottom w:val="nil"/>
              <w:right w:val="nil"/>
            </w:tcBorders>
            <w:shd w:val="clear" w:color="auto" w:fill="auto"/>
            <w:noWrap/>
          </w:tcPr>
          <w:p>
            <w:pPr>
              <w:jc w:val="center"/>
              <w:rPr>
                <w:b/>
                <w:noProof/>
                <w:sz w:val="20"/>
              </w:rPr>
            </w:pPr>
            <w:r>
              <w:rPr>
                <w:b/>
                <w:noProof/>
                <w:sz w:val="20"/>
              </w:rPr>
              <w:t>FI</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2 716 018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IT</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17 952 849</w:t>
            </w:r>
          </w:p>
        </w:tc>
        <w:tc>
          <w:tcPr>
            <w:tcW w:w="809" w:type="dxa"/>
            <w:tcBorders>
              <w:top w:val="nil"/>
              <w:left w:val="nil"/>
              <w:bottom w:val="nil"/>
              <w:right w:val="nil"/>
            </w:tcBorders>
            <w:shd w:val="clear" w:color="auto" w:fill="auto"/>
            <w:noWrap/>
          </w:tcPr>
          <w:p>
            <w:pPr>
              <w:jc w:val="center"/>
              <w:rPr>
                <w:b/>
                <w:noProof/>
                <w:sz w:val="20"/>
              </w:rPr>
            </w:pPr>
            <w:r>
              <w:rPr>
                <w:b/>
                <w:noProof/>
                <w:sz w:val="20"/>
              </w:rPr>
              <w:t>SE</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793 690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CY</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552 558</w:t>
            </w:r>
          </w:p>
        </w:tc>
        <w:tc>
          <w:tcPr>
            <w:tcW w:w="809" w:type="dxa"/>
            <w:tcBorders>
              <w:top w:val="nil"/>
              <w:left w:val="nil"/>
              <w:bottom w:val="nil"/>
              <w:right w:val="nil"/>
            </w:tcBorders>
            <w:shd w:val="clear" w:color="auto" w:fill="auto"/>
            <w:noWrap/>
          </w:tcPr>
          <w:p>
            <w:pPr>
              <w:jc w:val="center"/>
              <w:rPr>
                <w:b/>
                <w:noProof/>
                <w:sz w:val="20"/>
              </w:rPr>
            </w:pPr>
          </w:p>
        </w:tc>
        <w:tc>
          <w:tcPr>
            <w:tcW w:w="1479" w:type="dxa"/>
            <w:tcBorders>
              <w:top w:val="nil"/>
              <w:left w:val="nil"/>
              <w:bottom w:val="nil"/>
              <w:right w:val="single" w:sz="8" w:space="0" w:color="auto"/>
            </w:tcBorders>
            <w:shd w:val="clear" w:color="auto" w:fill="auto"/>
            <w:noWrap/>
            <w:vAlign w:val="center"/>
          </w:tcPr>
          <w:p>
            <w:pPr>
              <w:jc w:val="right"/>
              <w:rPr>
                <w:noProof/>
                <w:sz w:val="20"/>
              </w:rPr>
            </w:pPr>
          </w:p>
        </w:tc>
      </w:tr>
      <w:tr>
        <w:trPr>
          <w:trHeight w:val="270"/>
          <w:jc w:val="center"/>
        </w:trPr>
        <w:tc>
          <w:tcPr>
            <w:tcW w:w="549" w:type="dxa"/>
            <w:tcBorders>
              <w:top w:val="nil"/>
              <w:left w:val="single" w:sz="8" w:space="0" w:color="auto"/>
              <w:bottom w:val="nil"/>
              <w:right w:val="nil"/>
            </w:tcBorders>
            <w:shd w:val="clear" w:color="auto" w:fill="auto"/>
            <w:noWrap/>
            <w:vAlign w:val="center"/>
          </w:tcPr>
          <w:p>
            <w:pPr>
              <w:jc w:val="center"/>
              <w:rPr>
                <w:b/>
                <w:noProof/>
                <w:sz w:val="20"/>
              </w:rPr>
            </w:pPr>
            <w:r>
              <w:rPr>
                <w:b/>
                <w:noProof/>
                <w:sz w:val="20"/>
              </w:rPr>
              <w:t>LV</w:t>
            </w:r>
          </w:p>
        </w:tc>
        <w:tc>
          <w:tcPr>
            <w:tcW w:w="1383" w:type="dxa"/>
            <w:tcBorders>
              <w:top w:val="nil"/>
              <w:left w:val="nil"/>
              <w:bottom w:val="nil"/>
              <w:right w:val="nil"/>
            </w:tcBorders>
            <w:shd w:val="clear" w:color="auto" w:fill="auto"/>
            <w:noWrap/>
            <w:vAlign w:val="center"/>
          </w:tcPr>
          <w:p>
            <w:pPr>
              <w:jc w:val="right"/>
              <w:rPr>
                <w:noProof/>
                <w:sz w:val="20"/>
              </w:rPr>
            </w:pPr>
            <w:r>
              <w:rPr>
                <w:noProof/>
                <w:sz w:val="20"/>
              </w:rPr>
              <w:t>-273 682</w:t>
            </w:r>
          </w:p>
        </w:tc>
        <w:tc>
          <w:tcPr>
            <w:tcW w:w="809" w:type="dxa"/>
            <w:tcBorders>
              <w:top w:val="nil"/>
              <w:left w:val="nil"/>
              <w:bottom w:val="nil"/>
              <w:right w:val="nil"/>
            </w:tcBorders>
            <w:shd w:val="clear" w:color="auto" w:fill="auto"/>
            <w:noWrap/>
          </w:tcPr>
          <w:p>
            <w:pPr>
              <w:jc w:val="center"/>
              <w:rPr>
                <w:b/>
                <w:noProof/>
                <w:sz w:val="20"/>
              </w:rPr>
            </w:pPr>
            <w:r>
              <w:rPr>
                <w:b/>
                <w:noProof/>
                <w:sz w:val="20"/>
              </w:rPr>
              <w:t>UK</w:t>
            </w:r>
          </w:p>
        </w:tc>
        <w:tc>
          <w:tcPr>
            <w:tcW w:w="1479" w:type="dxa"/>
            <w:tcBorders>
              <w:top w:val="nil"/>
              <w:left w:val="nil"/>
              <w:bottom w:val="nil"/>
              <w:right w:val="single" w:sz="8" w:space="0" w:color="auto"/>
            </w:tcBorders>
            <w:shd w:val="clear" w:color="auto" w:fill="auto"/>
            <w:noWrap/>
            <w:vAlign w:val="center"/>
          </w:tcPr>
          <w:p>
            <w:pPr>
              <w:jc w:val="right"/>
              <w:rPr>
                <w:noProof/>
                <w:sz w:val="20"/>
              </w:rPr>
            </w:pPr>
            <w:r>
              <w:rPr>
                <w:noProof/>
                <w:sz w:val="20"/>
              </w:rPr>
              <w:t>- 101 565 183</w:t>
            </w:r>
          </w:p>
        </w:tc>
      </w:tr>
      <w:tr>
        <w:trPr>
          <w:trHeight w:val="270"/>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383" w:type="dxa"/>
            <w:tcBorders>
              <w:top w:val="nil"/>
              <w:left w:val="nil"/>
              <w:bottom w:val="single" w:sz="8" w:space="0" w:color="auto"/>
              <w:right w:val="nil"/>
            </w:tcBorders>
            <w:shd w:val="clear" w:color="auto" w:fill="auto"/>
            <w:noWrap/>
            <w:vAlign w:val="center"/>
          </w:tcPr>
          <w:p>
            <w:pPr>
              <w:jc w:val="right"/>
              <w:rPr>
                <w:noProof/>
                <w:sz w:val="20"/>
              </w:rPr>
            </w:pPr>
            <w:r>
              <w:rPr>
                <w:noProof/>
                <w:sz w:val="20"/>
              </w:rPr>
              <w:t>389 961</w:t>
            </w:r>
          </w:p>
        </w:tc>
        <w:tc>
          <w:tcPr>
            <w:tcW w:w="809" w:type="dxa"/>
            <w:tcBorders>
              <w:top w:val="single" w:sz="8" w:space="0" w:color="auto"/>
              <w:left w:val="single" w:sz="8" w:space="0" w:color="auto"/>
              <w:bottom w:val="single" w:sz="8" w:space="0" w:color="auto"/>
              <w:right w:val="nil"/>
            </w:tcBorders>
            <w:shd w:val="clear" w:color="auto" w:fill="auto"/>
            <w:noWrap/>
          </w:tcPr>
          <w:p>
            <w:pPr>
              <w:jc w:val="center"/>
              <w:rPr>
                <w:b/>
                <w:noProof/>
                <w:sz w:val="20"/>
              </w:rPr>
            </w:pPr>
            <w:r>
              <w:rPr>
                <w:b/>
                <w:noProof/>
                <w:sz w:val="20"/>
              </w:rPr>
              <w:t>Total</w:t>
            </w:r>
          </w:p>
        </w:tc>
        <w:tc>
          <w:tcPr>
            <w:tcW w:w="1479" w:type="dxa"/>
            <w:tcBorders>
              <w:top w:val="single" w:sz="8" w:space="0" w:color="auto"/>
              <w:left w:val="nil"/>
              <w:bottom w:val="single" w:sz="8" w:space="0" w:color="auto"/>
              <w:right w:val="single" w:sz="8" w:space="0" w:color="auto"/>
            </w:tcBorders>
            <w:shd w:val="clear" w:color="auto" w:fill="auto"/>
            <w:noWrap/>
          </w:tcPr>
          <w:p>
            <w:pPr>
              <w:jc w:val="right"/>
              <w:rPr>
                <w:b/>
                <w:noProof/>
                <w:sz w:val="20"/>
              </w:rPr>
            </w:pPr>
            <w:r>
              <w:rPr>
                <w:b/>
                <w:noProof/>
                <w:sz w:val="20"/>
              </w:rPr>
              <w:t>0</w:t>
            </w:r>
          </w:p>
        </w:tc>
      </w:tr>
    </w:tbl>
    <w:p>
      <w:pPr>
        <w:tabs>
          <w:tab w:val="left" w:pos="851"/>
        </w:tabs>
        <w:spacing w:before="120" w:after="120"/>
        <w:rPr>
          <w:bCs/>
          <w:noProof/>
          <w:szCs w:val="28"/>
          <w:u w:val="single"/>
        </w:rPr>
      </w:pPr>
      <w:r>
        <w:rPr>
          <w:noProof/>
          <w:u w:val="single"/>
        </w:rPr>
        <w:t>3.3.3.2</w:t>
      </w:r>
      <w:r>
        <w:rPr>
          <w:i/>
          <w:noProof/>
        </w:rPr>
        <w:tab/>
      </w:r>
      <w:r>
        <w:rPr>
          <w:noProof/>
          <w:u w:val="single"/>
        </w:rPr>
        <w:t>Correction britannique pour 2017 (chapitre 15)</w:t>
      </w:r>
    </w:p>
    <w:bookmarkEnd w:id="74"/>
    <w:p>
      <w:pPr>
        <w:spacing w:before="120" w:after="120"/>
        <w:jc w:val="both"/>
        <w:rPr>
          <w:noProof/>
        </w:rPr>
      </w:pPr>
      <w:r>
        <w:rPr>
          <w:noProof/>
        </w:rPr>
        <w:t xml:space="preserve">La </w:t>
      </w:r>
      <w:r>
        <w:rPr>
          <w:i/>
          <w:noProof/>
        </w:rPr>
        <w:t>première mise à jour</w:t>
      </w:r>
      <w:r>
        <w:rPr>
          <w:noProof/>
        </w:rPr>
        <w:t xml:space="preserve"> de la correction britannique pour 2017 correspond à 4 933 937 643 EUR et est inférieure de 58 368 017 millions d’EUR au montant inscrit dans le budget 2018 (4 992 305 660 EUR).</w:t>
      </w:r>
    </w:p>
    <w:p>
      <w:pPr>
        <w:spacing w:before="120" w:after="240"/>
        <w:jc w:val="both"/>
        <w:rPr>
          <w:noProof/>
        </w:rPr>
      </w:pPr>
      <w:r>
        <w:rPr>
          <w:noProof/>
        </w:rPr>
        <w:t>Ce montant doit être financé en fonction des assiettes RNB 2018 révisées du présent PBR. La budgétisation de ce montant au chapitre 15 est récapitulée ci-dessous:</w:t>
      </w:r>
    </w:p>
    <w:tbl>
      <w:tblPr>
        <w:tblW w:w="4540" w:type="dxa"/>
        <w:jc w:val="center"/>
        <w:tblLook w:val="0000" w:firstRow="0" w:lastRow="0" w:firstColumn="0" w:lastColumn="0" w:noHBand="0" w:noVBand="0"/>
      </w:tblPr>
      <w:tblGrid>
        <w:gridCol w:w="549"/>
        <w:gridCol w:w="1666"/>
        <w:gridCol w:w="793"/>
        <w:gridCol w:w="1532"/>
      </w:tblGrid>
      <w:tr>
        <w:trPr>
          <w:jc w:val="center"/>
        </w:trPr>
        <w:tc>
          <w:tcPr>
            <w:tcW w:w="4540" w:type="dxa"/>
            <w:gridSpan w:val="4"/>
            <w:tcBorders>
              <w:top w:val="single" w:sz="8" w:space="0" w:color="auto"/>
              <w:left w:val="single" w:sz="8" w:space="0" w:color="auto"/>
              <w:bottom w:val="single" w:sz="8" w:space="0" w:color="auto"/>
              <w:right w:val="single" w:sz="8" w:space="0" w:color="000000"/>
            </w:tcBorders>
            <w:shd w:val="clear" w:color="auto" w:fill="E0E0E0"/>
            <w:vAlign w:val="bottom"/>
          </w:tcPr>
          <w:p>
            <w:pPr>
              <w:keepNext/>
              <w:jc w:val="center"/>
              <w:rPr>
                <w:b/>
                <w:bCs/>
                <w:noProof/>
                <w:sz w:val="20"/>
              </w:rPr>
            </w:pPr>
            <w:r>
              <w:rPr>
                <w:b/>
                <w:noProof/>
                <w:sz w:val="20"/>
              </w:rPr>
              <w:t>Correction britannique pour 2017 – chapitre 15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BE</w:t>
            </w:r>
          </w:p>
        </w:tc>
        <w:tc>
          <w:tcPr>
            <w:tcW w:w="1666" w:type="dxa"/>
            <w:tcBorders>
              <w:top w:val="nil"/>
              <w:left w:val="nil"/>
              <w:bottom w:val="nil"/>
              <w:right w:val="nil"/>
            </w:tcBorders>
            <w:shd w:val="clear" w:color="auto" w:fill="auto"/>
            <w:noWrap/>
          </w:tcPr>
          <w:p>
            <w:pPr>
              <w:jc w:val="right"/>
              <w:rPr>
                <w:noProof/>
                <w:sz w:val="20"/>
              </w:rPr>
            </w:pPr>
            <w:r>
              <w:rPr>
                <w:noProof/>
                <w:sz w:val="20"/>
              </w:rPr>
              <w:t>239 806 867</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LU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20 760 600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BG</w:t>
            </w:r>
          </w:p>
        </w:tc>
        <w:tc>
          <w:tcPr>
            <w:tcW w:w="1666" w:type="dxa"/>
            <w:tcBorders>
              <w:top w:val="nil"/>
              <w:left w:val="nil"/>
              <w:bottom w:val="nil"/>
              <w:right w:val="nil"/>
            </w:tcBorders>
            <w:shd w:val="clear" w:color="auto" w:fill="auto"/>
            <w:noWrap/>
          </w:tcPr>
          <w:p>
            <w:pPr>
              <w:jc w:val="right"/>
              <w:rPr>
                <w:noProof/>
                <w:sz w:val="20"/>
              </w:rPr>
            </w:pPr>
            <w:r>
              <w:rPr>
                <w:noProof/>
                <w:sz w:val="20"/>
              </w:rPr>
              <w:t xml:space="preserve"> 28 041 992</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HU</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67 255 010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CZ</w:t>
            </w:r>
          </w:p>
        </w:tc>
        <w:tc>
          <w:tcPr>
            <w:tcW w:w="1666" w:type="dxa"/>
            <w:tcBorders>
              <w:top w:val="nil"/>
              <w:left w:val="nil"/>
              <w:bottom w:val="nil"/>
              <w:right w:val="nil"/>
            </w:tcBorders>
            <w:shd w:val="clear" w:color="auto" w:fill="auto"/>
            <w:noWrap/>
          </w:tcPr>
          <w:p>
            <w:pPr>
              <w:jc w:val="right"/>
              <w:rPr>
                <w:noProof/>
                <w:sz w:val="20"/>
              </w:rPr>
            </w:pPr>
            <w:r>
              <w:rPr>
                <w:noProof/>
                <w:sz w:val="20"/>
              </w:rPr>
              <w:t>104 577 854</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MT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5 994 192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DK</w:t>
            </w:r>
          </w:p>
        </w:tc>
        <w:tc>
          <w:tcPr>
            <w:tcW w:w="1666" w:type="dxa"/>
            <w:tcBorders>
              <w:top w:val="nil"/>
              <w:left w:val="nil"/>
              <w:bottom w:val="nil"/>
              <w:right w:val="nil"/>
            </w:tcBorders>
            <w:shd w:val="clear" w:color="auto" w:fill="auto"/>
            <w:noWrap/>
          </w:tcPr>
          <w:p>
            <w:pPr>
              <w:jc w:val="right"/>
              <w:rPr>
                <w:noProof/>
                <w:sz w:val="20"/>
              </w:rPr>
            </w:pPr>
            <w:r>
              <w:rPr>
                <w:noProof/>
                <w:sz w:val="20"/>
              </w:rPr>
              <w:t>161 123 729</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NL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69 664 080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DE</w:t>
            </w:r>
          </w:p>
        </w:tc>
        <w:tc>
          <w:tcPr>
            <w:tcW w:w="1666" w:type="dxa"/>
            <w:tcBorders>
              <w:top w:val="nil"/>
              <w:left w:val="nil"/>
              <w:bottom w:val="nil"/>
              <w:right w:val="nil"/>
            </w:tcBorders>
            <w:shd w:val="clear" w:color="auto" w:fill="auto"/>
            <w:noWrap/>
          </w:tcPr>
          <w:p>
            <w:pPr>
              <w:jc w:val="right"/>
              <w:rPr>
                <w:noProof/>
                <w:sz w:val="20"/>
              </w:rPr>
            </w:pPr>
            <w:r>
              <w:rPr>
                <w:noProof/>
                <w:sz w:val="20"/>
              </w:rPr>
              <w:t>315 179 541</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AT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35 259 868</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EE</w:t>
            </w:r>
          </w:p>
        </w:tc>
        <w:tc>
          <w:tcPr>
            <w:tcW w:w="1666" w:type="dxa"/>
            <w:tcBorders>
              <w:top w:val="nil"/>
              <w:left w:val="nil"/>
              <w:bottom w:val="nil"/>
              <w:right w:val="nil"/>
            </w:tcBorders>
            <w:shd w:val="clear" w:color="auto" w:fill="auto"/>
            <w:noWrap/>
          </w:tcPr>
          <w:p>
            <w:pPr>
              <w:jc w:val="right"/>
              <w:rPr>
                <w:noProof/>
                <w:sz w:val="20"/>
              </w:rPr>
            </w:pPr>
            <w:r>
              <w:rPr>
                <w:noProof/>
                <w:sz w:val="20"/>
              </w:rPr>
              <w:t>12 843 320</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PL</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257 332 005</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IE</w:t>
            </w:r>
          </w:p>
        </w:tc>
        <w:tc>
          <w:tcPr>
            <w:tcW w:w="1666" w:type="dxa"/>
            <w:tcBorders>
              <w:top w:val="nil"/>
              <w:left w:val="nil"/>
              <w:bottom w:val="nil"/>
              <w:right w:val="nil"/>
            </w:tcBorders>
            <w:shd w:val="clear" w:color="auto" w:fill="auto"/>
            <w:noWrap/>
          </w:tcPr>
          <w:p>
            <w:pPr>
              <w:jc w:val="right"/>
              <w:rPr>
                <w:noProof/>
                <w:sz w:val="20"/>
              </w:rPr>
            </w:pPr>
            <w:r>
              <w:rPr>
                <w:noProof/>
                <w:sz w:val="20"/>
              </w:rPr>
              <w:t>135 162 127</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PT</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103 962 530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EL</w:t>
            </w:r>
          </w:p>
        </w:tc>
        <w:tc>
          <w:tcPr>
            <w:tcW w:w="1666" w:type="dxa"/>
            <w:tcBorders>
              <w:top w:val="nil"/>
              <w:left w:val="nil"/>
              <w:bottom w:val="nil"/>
              <w:right w:val="nil"/>
            </w:tcBorders>
            <w:shd w:val="clear" w:color="auto" w:fill="auto"/>
            <w:noWrap/>
          </w:tcPr>
          <w:p>
            <w:pPr>
              <w:jc w:val="right"/>
              <w:rPr>
                <w:noProof/>
                <w:sz w:val="20"/>
              </w:rPr>
            </w:pPr>
            <w:r>
              <w:rPr>
                <w:noProof/>
                <w:sz w:val="20"/>
              </w:rPr>
              <w:t>97 293 176</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RO</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104 377 516</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ES</w:t>
            </w:r>
          </w:p>
        </w:tc>
        <w:tc>
          <w:tcPr>
            <w:tcW w:w="1666" w:type="dxa"/>
            <w:tcBorders>
              <w:top w:val="nil"/>
              <w:left w:val="nil"/>
              <w:bottom w:val="nil"/>
              <w:right w:val="nil"/>
            </w:tcBorders>
            <w:shd w:val="clear" w:color="auto" w:fill="auto"/>
            <w:noWrap/>
          </w:tcPr>
          <w:p>
            <w:pPr>
              <w:jc w:val="right"/>
              <w:rPr>
                <w:noProof/>
                <w:sz w:val="20"/>
              </w:rPr>
            </w:pPr>
            <w:r>
              <w:rPr>
                <w:noProof/>
                <w:sz w:val="20"/>
              </w:rPr>
              <w:t>641 717 317</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24 113 562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 xml:space="preserve">FR </w:t>
            </w:r>
          </w:p>
        </w:tc>
        <w:tc>
          <w:tcPr>
            <w:tcW w:w="1666" w:type="dxa"/>
            <w:tcBorders>
              <w:top w:val="nil"/>
              <w:left w:val="nil"/>
              <w:bottom w:val="nil"/>
              <w:right w:val="nil"/>
            </w:tcBorders>
            <w:shd w:val="clear" w:color="auto" w:fill="auto"/>
            <w:noWrap/>
          </w:tcPr>
          <w:p>
            <w:pPr>
              <w:jc w:val="right"/>
              <w:rPr>
                <w:noProof/>
                <w:sz w:val="20"/>
              </w:rPr>
            </w:pPr>
            <w:r>
              <w:rPr>
                <w:noProof/>
                <w:sz w:val="20"/>
              </w:rPr>
              <w:t>1 276 813 669</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SK</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47 283 520</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color w:val="000000"/>
                <w:sz w:val="20"/>
              </w:rPr>
            </w:pPr>
            <w:r>
              <w:rPr>
                <w:b/>
                <w:noProof/>
                <w:color w:val="000000"/>
                <w:sz w:val="20"/>
              </w:rPr>
              <w:t>HR</w:t>
            </w:r>
          </w:p>
        </w:tc>
        <w:tc>
          <w:tcPr>
            <w:tcW w:w="1666" w:type="dxa"/>
            <w:tcBorders>
              <w:top w:val="nil"/>
              <w:left w:val="nil"/>
              <w:bottom w:val="nil"/>
              <w:right w:val="nil"/>
            </w:tcBorders>
            <w:shd w:val="clear" w:color="auto" w:fill="auto"/>
            <w:noWrap/>
          </w:tcPr>
          <w:p>
            <w:pPr>
              <w:jc w:val="right"/>
              <w:rPr>
                <w:noProof/>
                <w:sz w:val="20"/>
              </w:rPr>
            </w:pPr>
            <w:r>
              <w:rPr>
                <w:noProof/>
                <w:sz w:val="20"/>
              </w:rPr>
              <w:t>26 593 409</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FI</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124 388 332</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IT</w:t>
            </w:r>
          </w:p>
        </w:tc>
        <w:tc>
          <w:tcPr>
            <w:tcW w:w="1666" w:type="dxa"/>
            <w:tcBorders>
              <w:top w:val="nil"/>
              <w:left w:val="nil"/>
              <w:bottom w:val="nil"/>
              <w:right w:val="nil"/>
            </w:tcBorders>
            <w:shd w:val="clear" w:color="auto" w:fill="auto"/>
            <w:noWrap/>
          </w:tcPr>
          <w:p>
            <w:pPr>
              <w:jc w:val="right"/>
              <w:rPr>
                <w:noProof/>
                <w:sz w:val="20"/>
              </w:rPr>
            </w:pPr>
            <w:r>
              <w:rPr>
                <w:noProof/>
                <w:sz w:val="20"/>
              </w:rPr>
              <w:t>940 918 412</w:t>
            </w:r>
          </w:p>
        </w:tc>
        <w:tc>
          <w:tcPr>
            <w:tcW w:w="793" w:type="dxa"/>
            <w:tcBorders>
              <w:top w:val="nil"/>
              <w:left w:val="nil"/>
              <w:bottom w:val="nil"/>
              <w:right w:val="nil"/>
            </w:tcBorders>
            <w:shd w:val="clear" w:color="auto" w:fill="auto"/>
            <w:noWrap/>
            <w:vAlign w:val="center"/>
          </w:tcPr>
          <w:p>
            <w:pPr>
              <w:jc w:val="center"/>
              <w:rPr>
                <w:b/>
                <w:bCs/>
                <w:noProof/>
                <w:sz w:val="20"/>
              </w:rPr>
            </w:pPr>
            <w:r>
              <w:rPr>
                <w:b/>
                <w:noProof/>
                <w:sz w:val="20"/>
              </w:rPr>
              <w:t>SE</w:t>
            </w:r>
          </w:p>
        </w:tc>
        <w:tc>
          <w:tcPr>
            <w:tcW w:w="1532" w:type="dxa"/>
            <w:tcBorders>
              <w:top w:val="nil"/>
              <w:left w:val="nil"/>
              <w:bottom w:val="nil"/>
              <w:right w:val="single" w:sz="8" w:space="0" w:color="auto"/>
            </w:tcBorders>
            <w:shd w:val="clear" w:color="auto" w:fill="auto"/>
            <w:noWrap/>
            <w:vAlign w:val="bottom"/>
          </w:tcPr>
          <w:p>
            <w:pPr>
              <w:jc w:val="right"/>
              <w:rPr>
                <w:noProof/>
                <w:sz w:val="20"/>
              </w:rPr>
            </w:pPr>
            <w:r>
              <w:rPr>
                <w:noProof/>
                <w:sz w:val="20"/>
              </w:rPr>
              <w:t>45 300 679</w:t>
            </w:r>
          </w:p>
        </w:tc>
      </w:tr>
      <w:tr>
        <w:trPr>
          <w:trHeight w:val="255"/>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CY</w:t>
            </w:r>
          </w:p>
        </w:tc>
        <w:tc>
          <w:tcPr>
            <w:tcW w:w="1666" w:type="dxa"/>
            <w:tcBorders>
              <w:top w:val="nil"/>
              <w:left w:val="nil"/>
              <w:bottom w:val="nil"/>
              <w:right w:val="nil"/>
            </w:tcBorders>
            <w:shd w:val="clear" w:color="auto" w:fill="auto"/>
            <w:noWrap/>
          </w:tcPr>
          <w:p>
            <w:pPr>
              <w:jc w:val="right"/>
              <w:rPr>
                <w:noProof/>
                <w:sz w:val="20"/>
              </w:rPr>
            </w:pPr>
            <w:r>
              <w:rPr>
                <w:noProof/>
                <w:sz w:val="20"/>
              </w:rPr>
              <w:t>10 511 235</w:t>
            </w:r>
          </w:p>
        </w:tc>
        <w:tc>
          <w:tcPr>
            <w:tcW w:w="793" w:type="dxa"/>
            <w:vMerge w:val="restart"/>
            <w:tcBorders>
              <w:top w:val="nil"/>
              <w:left w:val="nil"/>
              <w:right w:val="nil"/>
            </w:tcBorders>
            <w:shd w:val="clear" w:color="auto" w:fill="auto"/>
            <w:noWrap/>
            <w:vAlign w:val="center"/>
          </w:tcPr>
          <w:p>
            <w:pPr>
              <w:jc w:val="center"/>
              <w:rPr>
                <w:b/>
                <w:bCs/>
                <w:noProof/>
                <w:sz w:val="20"/>
              </w:rPr>
            </w:pPr>
            <w:r>
              <w:rPr>
                <w:b/>
                <w:noProof/>
                <w:sz w:val="20"/>
              </w:rPr>
              <w:t>UK</w:t>
            </w:r>
          </w:p>
        </w:tc>
        <w:tc>
          <w:tcPr>
            <w:tcW w:w="1532" w:type="dxa"/>
            <w:vMerge w:val="restart"/>
            <w:tcBorders>
              <w:top w:val="nil"/>
              <w:left w:val="nil"/>
              <w:right w:val="single" w:sz="8" w:space="0" w:color="auto"/>
            </w:tcBorders>
            <w:shd w:val="clear" w:color="auto" w:fill="auto"/>
            <w:noWrap/>
            <w:vAlign w:val="center"/>
          </w:tcPr>
          <w:p>
            <w:pPr>
              <w:jc w:val="center"/>
              <w:rPr>
                <w:noProof/>
                <w:sz w:val="20"/>
              </w:rPr>
            </w:pPr>
            <w:r>
              <w:rPr>
                <w:noProof/>
                <w:sz w:val="20"/>
              </w:rPr>
              <w:t>- 4 933 937 643</w:t>
            </w:r>
          </w:p>
        </w:tc>
      </w:tr>
      <w:tr>
        <w:trPr>
          <w:trHeight w:val="270"/>
          <w:jc w:val="center"/>
        </w:trPr>
        <w:tc>
          <w:tcPr>
            <w:tcW w:w="549" w:type="dxa"/>
            <w:tcBorders>
              <w:top w:val="nil"/>
              <w:left w:val="single" w:sz="8" w:space="0" w:color="auto"/>
              <w:bottom w:val="nil"/>
              <w:right w:val="nil"/>
            </w:tcBorders>
            <w:shd w:val="clear" w:color="auto" w:fill="auto"/>
            <w:noWrap/>
            <w:vAlign w:val="center"/>
          </w:tcPr>
          <w:p>
            <w:pPr>
              <w:keepNext/>
              <w:jc w:val="center"/>
              <w:rPr>
                <w:b/>
                <w:noProof/>
                <w:sz w:val="20"/>
              </w:rPr>
            </w:pPr>
            <w:r>
              <w:rPr>
                <w:b/>
                <w:noProof/>
                <w:sz w:val="20"/>
              </w:rPr>
              <w:t>LV</w:t>
            </w:r>
          </w:p>
        </w:tc>
        <w:tc>
          <w:tcPr>
            <w:tcW w:w="1666" w:type="dxa"/>
            <w:tcBorders>
              <w:top w:val="nil"/>
              <w:left w:val="nil"/>
              <w:bottom w:val="nil"/>
              <w:right w:val="nil"/>
            </w:tcBorders>
            <w:shd w:val="clear" w:color="auto" w:fill="auto"/>
            <w:noWrap/>
          </w:tcPr>
          <w:p>
            <w:pPr>
              <w:jc w:val="right"/>
              <w:rPr>
                <w:noProof/>
                <w:sz w:val="20"/>
              </w:rPr>
            </w:pPr>
            <w:r>
              <w:rPr>
                <w:noProof/>
                <w:sz w:val="20"/>
              </w:rPr>
              <w:t>15 086 578</w:t>
            </w:r>
          </w:p>
        </w:tc>
        <w:tc>
          <w:tcPr>
            <w:tcW w:w="793" w:type="dxa"/>
            <w:vMerge/>
            <w:tcBorders>
              <w:left w:val="nil"/>
              <w:bottom w:val="nil"/>
              <w:right w:val="nil"/>
            </w:tcBorders>
            <w:shd w:val="clear" w:color="auto" w:fill="auto"/>
            <w:noWrap/>
            <w:vAlign w:val="center"/>
          </w:tcPr>
          <w:p>
            <w:pPr>
              <w:jc w:val="center"/>
              <w:rPr>
                <w:b/>
                <w:bCs/>
                <w:noProof/>
                <w:sz w:val="20"/>
              </w:rPr>
            </w:pPr>
          </w:p>
        </w:tc>
        <w:tc>
          <w:tcPr>
            <w:tcW w:w="1532" w:type="dxa"/>
            <w:vMerge/>
            <w:tcBorders>
              <w:left w:val="nil"/>
              <w:bottom w:val="nil"/>
              <w:right w:val="single" w:sz="8" w:space="0" w:color="auto"/>
            </w:tcBorders>
            <w:shd w:val="clear" w:color="auto" w:fill="auto"/>
            <w:noWrap/>
            <w:vAlign w:val="bottom"/>
          </w:tcPr>
          <w:p>
            <w:pPr>
              <w:jc w:val="right"/>
              <w:rPr>
                <w:noProof/>
                <w:sz w:val="20"/>
              </w:rPr>
            </w:pPr>
          </w:p>
        </w:tc>
      </w:tr>
      <w:tr>
        <w:trPr>
          <w:trHeight w:val="193"/>
          <w:jc w:val="center"/>
        </w:trPr>
        <w:tc>
          <w:tcPr>
            <w:tcW w:w="549" w:type="dxa"/>
            <w:tcBorders>
              <w:top w:val="nil"/>
              <w:left w:val="single" w:sz="8" w:space="0" w:color="auto"/>
              <w:bottom w:val="single" w:sz="8" w:space="0" w:color="auto"/>
              <w:right w:val="nil"/>
            </w:tcBorders>
            <w:shd w:val="clear" w:color="auto" w:fill="auto"/>
            <w:noWrap/>
            <w:vAlign w:val="center"/>
          </w:tcPr>
          <w:p>
            <w:pPr>
              <w:jc w:val="center"/>
              <w:rPr>
                <w:b/>
                <w:noProof/>
                <w:sz w:val="20"/>
              </w:rPr>
            </w:pPr>
            <w:r>
              <w:rPr>
                <w:b/>
                <w:noProof/>
                <w:sz w:val="20"/>
              </w:rPr>
              <w:t>LT</w:t>
            </w:r>
          </w:p>
        </w:tc>
        <w:tc>
          <w:tcPr>
            <w:tcW w:w="1666" w:type="dxa"/>
            <w:tcBorders>
              <w:top w:val="nil"/>
              <w:left w:val="nil"/>
              <w:bottom w:val="single" w:sz="8" w:space="0" w:color="auto"/>
              <w:right w:val="nil"/>
            </w:tcBorders>
            <w:shd w:val="clear" w:color="auto" w:fill="auto"/>
            <w:noWrap/>
          </w:tcPr>
          <w:p>
            <w:pPr>
              <w:jc w:val="right"/>
              <w:rPr>
                <w:noProof/>
                <w:sz w:val="20"/>
              </w:rPr>
            </w:pPr>
            <w:r>
              <w:rPr>
                <w:noProof/>
                <w:sz w:val="20"/>
              </w:rPr>
              <w:t>22 576 523</w:t>
            </w:r>
          </w:p>
        </w:tc>
        <w:tc>
          <w:tcPr>
            <w:tcW w:w="793" w:type="dxa"/>
            <w:tcBorders>
              <w:top w:val="single" w:sz="8" w:space="0" w:color="auto"/>
              <w:left w:val="single" w:sz="8" w:space="0" w:color="auto"/>
              <w:bottom w:val="single" w:sz="8" w:space="0" w:color="auto"/>
              <w:right w:val="nil"/>
            </w:tcBorders>
            <w:shd w:val="clear" w:color="auto" w:fill="auto"/>
            <w:noWrap/>
            <w:vAlign w:val="center"/>
          </w:tcPr>
          <w:p>
            <w:pPr>
              <w:jc w:val="center"/>
              <w:rPr>
                <w:b/>
                <w:bCs/>
                <w:noProof/>
                <w:sz w:val="20"/>
              </w:rPr>
            </w:pPr>
            <w:r>
              <w:rPr>
                <w:b/>
                <w:noProof/>
                <w:sz w:val="20"/>
              </w:rPr>
              <w:t xml:space="preserve">Total </w:t>
            </w:r>
          </w:p>
        </w:tc>
        <w:tc>
          <w:tcPr>
            <w:tcW w:w="1532" w:type="dxa"/>
            <w:tcBorders>
              <w:top w:val="single" w:sz="8" w:space="0" w:color="auto"/>
              <w:left w:val="nil"/>
              <w:bottom w:val="single" w:sz="8" w:space="0" w:color="auto"/>
              <w:right w:val="single" w:sz="8" w:space="0" w:color="auto"/>
            </w:tcBorders>
            <w:shd w:val="clear" w:color="auto" w:fill="auto"/>
            <w:noWrap/>
            <w:vAlign w:val="bottom"/>
          </w:tcPr>
          <w:p>
            <w:pPr>
              <w:jc w:val="right"/>
              <w:rPr>
                <w:b/>
                <w:bCs/>
                <w:noProof/>
                <w:sz w:val="20"/>
              </w:rPr>
            </w:pPr>
            <w:r>
              <w:rPr>
                <w:b/>
                <w:noProof/>
                <w:sz w:val="20"/>
              </w:rPr>
              <w:t>0</w:t>
            </w:r>
          </w:p>
        </w:tc>
      </w:tr>
      <w:bookmarkEnd w:id="51"/>
      <w:bookmarkEnd w:id="52"/>
      <w:bookmarkEnd w:id="53"/>
    </w:tbl>
    <w:p>
      <w:pPr>
        <w:autoSpaceDE w:val="0"/>
        <w:autoSpaceDN w:val="0"/>
        <w:adjustRightInd w:val="0"/>
        <w:spacing w:before="120" w:after="240"/>
        <w:jc w:val="both"/>
        <w:rPr>
          <w:noProof/>
        </w:rPr>
      </w:pPr>
    </w:p>
    <w:p>
      <w:pPr>
        <w:pStyle w:val="ManualHeading1"/>
        <w:pageBreakBefore/>
      </w:pPr>
      <w:bookmarkStart w:id="75" w:name="_Toc525202235"/>
      <w:bookmarkStart w:id="76" w:name="_Toc527368027"/>
      <w:r>
        <w:t>4.</w:t>
      </w:r>
      <w:r>
        <w:tab/>
        <w:t>Tableau récapitulatif par rubrique du CFP</w:t>
      </w:r>
      <w:bookmarkEnd w:id="75"/>
      <w:bookmarkEnd w:id="76"/>
    </w:p>
    <w:tbl>
      <w:tblPr>
        <w:tblW w:w="10980" w:type="dxa"/>
        <w:jc w:val="center"/>
        <w:tblLook w:val="04A0" w:firstRow="1" w:lastRow="0" w:firstColumn="1" w:lastColumn="0" w:noHBand="0" w:noVBand="1"/>
      </w:tblPr>
      <w:tblGrid>
        <w:gridCol w:w="357"/>
        <w:gridCol w:w="2541"/>
        <w:gridCol w:w="1347"/>
        <w:gridCol w:w="1347"/>
        <w:gridCol w:w="1347"/>
        <w:gridCol w:w="1347"/>
        <w:gridCol w:w="1347"/>
        <w:gridCol w:w="1347"/>
      </w:tblGrid>
      <w:tr>
        <w:trPr>
          <w:trHeight w:val="210"/>
          <w:jc w:val="center"/>
        </w:trPr>
        <w:tc>
          <w:tcPr>
            <w:tcW w:w="2820"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bookmarkEnd w:id="2"/>
          <w:bookmarkEnd w:id="3"/>
          <w:bookmarkEnd w:id="4"/>
          <w:bookmarkEnd w:id="5"/>
          <w:bookmarkEnd w:id="6"/>
          <w:bookmarkEnd w:id="7"/>
          <w:bookmarkEnd w:id="13"/>
          <w:bookmarkEnd w:id="14"/>
          <w:bookmarkEnd w:id="16"/>
          <w:bookmarkEnd w:id="17"/>
          <w:p>
            <w:pPr>
              <w:jc w:val="center"/>
              <w:rPr>
                <w:b/>
                <w:bCs/>
                <w:noProof/>
                <w:color w:val="000000"/>
                <w:sz w:val="14"/>
                <w:szCs w:val="14"/>
              </w:rPr>
            </w:pPr>
            <w:r>
              <w:rPr>
                <w:b/>
                <w:noProof/>
                <w:color w:val="000000"/>
                <w:sz w:val="14"/>
              </w:rPr>
              <w:t>Rubrique</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2018</w:t>
            </w:r>
          </w:p>
        </w:tc>
        <w:tc>
          <w:tcPr>
            <w:tcW w:w="2720"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Projet de budget rectificatif nº 6/2018</w:t>
            </w:r>
          </w:p>
        </w:tc>
        <w:tc>
          <w:tcPr>
            <w:tcW w:w="2720" w:type="dxa"/>
            <w:gridSpan w:val="2"/>
            <w:tcBorders>
              <w:top w:val="single" w:sz="4" w:space="0" w:color="auto"/>
              <w:left w:val="nil"/>
              <w:bottom w:val="nil"/>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Budget 2018</w:t>
            </w:r>
          </w:p>
        </w:tc>
      </w:tr>
      <w:tr>
        <w:trPr>
          <w:trHeight w:val="210"/>
          <w:jc w:val="center"/>
        </w:trPr>
        <w:tc>
          <w:tcPr>
            <w:tcW w:w="282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BR 1-5/2018)</w:t>
            </w:r>
          </w:p>
        </w:tc>
        <w:tc>
          <w:tcPr>
            <w:tcW w:w="2720" w:type="dxa"/>
            <w:gridSpan w:val="2"/>
            <w:vMerge/>
            <w:tcBorders>
              <w:top w:val="single" w:sz="4" w:space="0" w:color="auto"/>
              <w:left w:val="single" w:sz="4" w:space="0" w:color="auto"/>
              <w:bottom w:val="single" w:sz="4" w:space="0" w:color="000000"/>
              <w:right w:val="single" w:sz="4" w:space="0" w:color="000000"/>
            </w:tcBorders>
            <w:vAlign w:val="center"/>
            <w:hideMark/>
          </w:tcPr>
          <w:p>
            <w:pPr>
              <w:rPr>
                <w:b/>
                <w:bCs/>
                <w:noProof/>
                <w:color w:val="000000"/>
                <w:sz w:val="14"/>
                <w:szCs w:val="14"/>
              </w:rPr>
            </w:pPr>
          </w:p>
        </w:tc>
        <w:tc>
          <w:tcPr>
            <w:tcW w:w="2720" w:type="dxa"/>
            <w:gridSpan w:val="2"/>
            <w:tcBorders>
              <w:top w:val="nil"/>
              <w:left w:val="nil"/>
              <w:bottom w:val="single" w:sz="4" w:space="0" w:color="auto"/>
              <w:right w:val="single" w:sz="4" w:space="0" w:color="000000"/>
            </w:tcBorders>
            <w:shd w:val="clear" w:color="000000" w:fill="D9D9D9"/>
            <w:vAlign w:val="center"/>
            <w:hideMark/>
          </w:tcPr>
          <w:p>
            <w:pPr>
              <w:jc w:val="center"/>
              <w:rPr>
                <w:b/>
                <w:bCs/>
                <w:noProof/>
                <w:color w:val="000000"/>
                <w:sz w:val="14"/>
                <w:szCs w:val="14"/>
              </w:rPr>
            </w:pPr>
            <w:r>
              <w:rPr>
                <w:b/>
                <w:noProof/>
                <w:color w:val="000000"/>
                <w:sz w:val="14"/>
              </w:rPr>
              <w:t>(y compris BR 1-5 et PBR 6/2018)</w:t>
            </w:r>
          </w:p>
        </w:tc>
      </w:tr>
      <w:tr>
        <w:trPr>
          <w:trHeight w:val="210"/>
          <w:jc w:val="center"/>
        </w:trPr>
        <w:tc>
          <w:tcPr>
            <w:tcW w:w="2820" w:type="dxa"/>
            <w:gridSpan w:val="2"/>
            <w:vMerge/>
            <w:tcBorders>
              <w:top w:val="single" w:sz="4" w:space="0" w:color="auto"/>
              <w:left w:val="single" w:sz="4" w:space="0" w:color="auto"/>
              <w:bottom w:val="nil"/>
              <w:right w:val="single" w:sz="4" w:space="0" w:color="000000"/>
            </w:tcBorders>
            <w:vAlign w:val="center"/>
            <w:hideMark/>
          </w:tcPr>
          <w:p>
            <w:pPr>
              <w:rPr>
                <w:b/>
                <w:bCs/>
                <w:noProof/>
                <w:color w:val="000000"/>
                <w:sz w:val="14"/>
                <w:szCs w:val="14"/>
              </w:rPr>
            </w:pPr>
          </w:p>
        </w:tc>
        <w:tc>
          <w:tcPr>
            <w:tcW w:w="1360" w:type="dxa"/>
            <w:tcBorders>
              <w:top w:val="nil"/>
              <w:left w:val="nil"/>
              <w:bottom w:val="nil"/>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CE</w:t>
            </w:r>
          </w:p>
        </w:tc>
        <w:tc>
          <w:tcPr>
            <w:tcW w:w="1360" w:type="dxa"/>
            <w:tcBorders>
              <w:top w:val="nil"/>
              <w:left w:val="nil"/>
              <w:bottom w:val="single" w:sz="4" w:space="0" w:color="auto"/>
              <w:right w:val="single" w:sz="4" w:space="0" w:color="auto"/>
            </w:tcBorders>
            <w:shd w:val="clear" w:color="000000" w:fill="D9D9D9"/>
            <w:vAlign w:val="center"/>
            <w:hideMark/>
          </w:tcPr>
          <w:p>
            <w:pPr>
              <w:jc w:val="center"/>
              <w:rPr>
                <w:b/>
                <w:bCs/>
                <w:noProof/>
                <w:color w:val="000000"/>
                <w:sz w:val="14"/>
                <w:szCs w:val="14"/>
              </w:rPr>
            </w:pPr>
            <w:r>
              <w:rPr>
                <w:b/>
                <w:noProof/>
                <w:color w:val="000000"/>
                <w:sz w:val="14"/>
              </w:rPr>
              <w:t>CP</w:t>
            </w:r>
          </w:p>
        </w:tc>
      </w:tr>
      <w:tr>
        <w:trPr>
          <w:trHeight w:val="225"/>
          <w:jc w:val="center"/>
        </w:trPr>
        <w:tc>
          <w:tcPr>
            <w:tcW w:w="260" w:type="dxa"/>
            <w:tcBorders>
              <w:top w:val="single" w:sz="4" w:space="0" w:color="auto"/>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1.</w:t>
            </w:r>
          </w:p>
        </w:tc>
        <w:tc>
          <w:tcPr>
            <w:tcW w:w="2560" w:type="dxa"/>
            <w:tcBorders>
              <w:top w:val="single" w:sz="4" w:space="0" w:color="auto"/>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intelligente et inclusive</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66 624 486 101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77 531 797 652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66 622 586 101</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1 113 697 652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1 111 797 652</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 xml:space="preserve">Plafond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76 420 000 000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1a</w:t>
            </w:r>
          </w:p>
        </w:tc>
        <w:tc>
          <w:tcPr>
            <w:tcW w:w="256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Compétitivité pour la croissance et l’emploi</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22 001 452 724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20 097 167 844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21 999 552 724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20 095 267 844</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762 452 724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- 1 900 000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xml:space="preserve"> 760 552 724</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21 239 000 000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noProof/>
                <w:color w:val="000000"/>
                <w:sz w:val="14"/>
                <w:szCs w:val="14"/>
              </w:rPr>
            </w:pPr>
            <w:r>
              <w:rPr>
                <w:noProof/>
                <w:color w:val="000000"/>
                <w:sz w:val="14"/>
              </w:rPr>
              <w:t xml:space="preserve">1b </w:t>
            </w:r>
          </w:p>
        </w:tc>
        <w:tc>
          <w:tcPr>
            <w:tcW w:w="2560" w:type="dxa"/>
            <w:tcBorders>
              <w:top w:val="nil"/>
              <w:left w:val="nil"/>
              <w:bottom w:val="dotted" w:sz="4" w:space="0" w:color="auto"/>
              <w:right w:val="single" w:sz="4" w:space="0" w:color="auto"/>
            </w:tcBorders>
            <w:shd w:val="clear" w:color="auto" w:fill="auto"/>
            <w:vAlign w:val="center"/>
            <w:hideMark/>
          </w:tcPr>
          <w:p>
            <w:pPr>
              <w:rPr>
                <w:noProof/>
                <w:color w:val="000000"/>
                <w:sz w:val="14"/>
                <w:szCs w:val="14"/>
              </w:rPr>
            </w:pPr>
            <w:r>
              <w:rPr>
                <w:noProof/>
                <w:color w:val="000000"/>
                <w:sz w:val="14"/>
              </w:rPr>
              <w:t>Cohésion économique, sociale et territoriale</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55 532 244 928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46 527 318 257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351 244 928</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55 181 000 000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2.</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Croissance durable: ressources naturelles</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59 285 323 122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56 083 793 633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- 46 765 000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- 42 802 703</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59 238 558 122</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56 040 990 930</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60 267 000 000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981 676 878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1 028 441 878</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4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Fonds européen agricole de garantie (FEAGA) — Dépenses relatives au marché et paiements directs</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43 234 516 899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43 188 677 466</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- 1 400 000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- 1 400 000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43 233 116 899</w:t>
            </w:r>
          </w:p>
        </w:tc>
        <w:tc>
          <w:tcPr>
            <w:tcW w:w="1360" w:type="dxa"/>
            <w:tcBorders>
              <w:top w:val="nil"/>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43 187 277 466</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44 163 000 000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 du FEAGA</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927 833 101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929 233 101</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3.</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Sécurité et citoyenneté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3 493 241 199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2 980 707 175</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837 241 199</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2 656 000 000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4.</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L'Europe dans le monde</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10 068 842 411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8 906 075 154</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243 842 411</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9 825 000 000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000000" w:fill="FFFFFF"/>
            <w:vAlign w:val="center"/>
            <w:hideMark/>
          </w:tcPr>
          <w:p>
            <w:pPr>
              <w:jc w:val="right"/>
              <w:rPr>
                <w:i/>
                <w:iCs/>
                <w:noProof/>
                <w:color w:val="000000"/>
                <w:sz w:val="14"/>
                <w:szCs w:val="14"/>
              </w:rPr>
            </w:pPr>
            <w:r>
              <w:rPr>
                <w:i/>
                <w:noProof/>
                <w:color w:val="000000"/>
                <w:sz w:val="14"/>
              </w:rPr>
              <w:t xml:space="preserve">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60" w:type="dxa"/>
            <w:tcBorders>
              <w:top w:val="nil"/>
              <w:left w:val="single" w:sz="4" w:space="0" w:color="auto"/>
              <w:bottom w:val="dotted" w:sz="4" w:space="0" w:color="auto"/>
              <w:right w:val="nil"/>
            </w:tcBorders>
            <w:shd w:val="clear" w:color="auto" w:fill="auto"/>
            <w:vAlign w:val="center"/>
            <w:hideMark/>
          </w:tcPr>
          <w:p>
            <w:pPr>
              <w:rPr>
                <w:b/>
                <w:bCs/>
                <w:noProof/>
                <w:color w:val="000000"/>
                <w:sz w:val="14"/>
                <w:szCs w:val="14"/>
              </w:rPr>
            </w:pPr>
            <w:r>
              <w:rPr>
                <w:b/>
                <w:noProof/>
                <w:color w:val="000000"/>
                <w:sz w:val="14"/>
              </w:rPr>
              <w:t>5.</w:t>
            </w:r>
          </w:p>
        </w:tc>
        <w:tc>
          <w:tcPr>
            <w:tcW w:w="2560" w:type="dxa"/>
            <w:tcBorders>
              <w:top w:val="nil"/>
              <w:left w:val="nil"/>
              <w:bottom w:val="dotted"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Administration</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9 665 513 627</w:t>
            </w:r>
          </w:p>
        </w:tc>
        <w:tc>
          <w:tcPr>
            <w:tcW w:w="1360" w:type="dxa"/>
            <w:tcBorders>
              <w:top w:val="nil"/>
              <w:left w:val="nil"/>
              <w:bottom w:val="dotted"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9 666 318 627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10 346 000 000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362 486 373</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360"/>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rPr>
                <w:noProof/>
                <w:color w:val="000000"/>
                <w:sz w:val="14"/>
                <w:szCs w:val="14"/>
              </w:rPr>
            </w:pPr>
            <w:r>
              <w:rPr>
                <w:noProof/>
                <w:color w:val="000000"/>
                <w:sz w:val="14"/>
              </w:rPr>
              <w:t>dont: dépenses administratives des institutions</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 </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7 579 920 627</w:t>
            </w:r>
          </w:p>
        </w:tc>
        <w:tc>
          <w:tcPr>
            <w:tcW w:w="1360" w:type="dxa"/>
            <w:tcBorders>
              <w:top w:val="single" w:sz="4" w:space="0" w:color="auto"/>
              <w:left w:val="nil"/>
              <w:bottom w:val="dotted" w:sz="4" w:space="0" w:color="auto"/>
              <w:right w:val="single" w:sz="4" w:space="0" w:color="auto"/>
            </w:tcBorders>
            <w:shd w:val="clear" w:color="auto" w:fill="auto"/>
            <w:vAlign w:val="center"/>
            <w:hideMark/>
          </w:tcPr>
          <w:p>
            <w:pPr>
              <w:jc w:val="right"/>
              <w:rPr>
                <w:noProof/>
                <w:color w:val="000000"/>
                <w:sz w:val="14"/>
                <w:szCs w:val="14"/>
              </w:rPr>
            </w:pPr>
            <w:r>
              <w:rPr>
                <w:noProof/>
                <w:color w:val="000000"/>
                <w:sz w:val="14"/>
              </w:rPr>
              <w:t>7 580 725 627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Sous-plafond</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8 360 000 000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- 318 000 000</w:t>
            </w:r>
          </w:p>
        </w:tc>
        <w:tc>
          <w:tcPr>
            <w:tcW w:w="1360" w:type="dxa"/>
            <w:tcBorders>
              <w:top w:val="nil"/>
              <w:left w:val="nil"/>
              <w:bottom w:val="dotted"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auto" w:fill="auto"/>
            <w:vAlign w:val="center"/>
            <w:hideMark/>
          </w:tcPr>
          <w:p>
            <w:pPr>
              <w:jc w:val="right"/>
              <w:rPr>
                <w:i/>
                <w:iCs/>
                <w:noProof/>
                <w:color w:val="000000"/>
                <w:sz w:val="14"/>
                <w:szCs w:val="14"/>
              </w:rPr>
            </w:pPr>
            <w:r>
              <w:rPr>
                <w:i/>
                <w:noProof/>
                <w:color w:val="000000"/>
                <w:sz w:val="14"/>
              </w:rPr>
              <w:t>Marge</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xml:space="preserve"> 462 079 373</w:t>
            </w:r>
          </w:p>
        </w:tc>
        <w:tc>
          <w:tcPr>
            <w:tcW w:w="1360" w:type="dxa"/>
            <w:tcBorders>
              <w:top w:val="nil"/>
              <w:left w:val="nil"/>
              <w:bottom w:val="single" w:sz="4" w:space="0" w:color="auto"/>
              <w:right w:val="single" w:sz="4" w:space="0" w:color="auto"/>
            </w:tcBorders>
            <w:shd w:val="clear" w:color="auto" w:fill="auto"/>
            <w:vAlign w:val="center"/>
            <w:hideMark/>
          </w:tcPr>
          <w:p>
            <w:pPr>
              <w:jc w:val="right"/>
              <w:rPr>
                <w:i/>
                <w:iCs/>
                <w:noProof/>
                <w:color w:val="000000"/>
                <w:sz w:val="14"/>
                <w:szCs w:val="14"/>
              </w:rPr>
            </w:pPr>
            <w:r>
              <w:rPr>
                <w:i/>
                <w:noProof/>
                <w:color w:val="000000"/>
                <w:sz w:val="14"/>
              </w:rPr>
              <w:t> </w:t>
            </w:r>
          </w:p>
        </w:tc>
      </w:tr>
      <w:tr>
        <w:trPr>
          <w:trHeight w:val="225"/>
          <w:jc w:val="center"/>
        </w:trPr>
        <w:tc>
          <w:tcPr>
            <w:tcW w:w="2820" w:type="dxa"/>
            <w:gridSpan w:val="2"/>
            <w:tcBorders>
              <w:top w:val="single" w:sz="4" w:space="0" w:color="auto"/>
              <w:left w:val="single" w:sz="4" w:space="0" w:color="auto"/>
              <w:bottom w:val="dotted"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160 046 618 011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144 261 380 690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- 48 665 000</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- 44 702 703</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159 997 953 011</w:t>
            </w:r>
          </w:p>
        </w:tc>
        <w:tc>
          <w:tcPr>
            <w:tcW w:w="1360" w:type="dxa"/>
            <w:tcBorders>
              <w:top w:val="single" w:sz="4" w:space="0" w:color="auto"/>
              <w:left w:val="nil"/>
              <w:bottom w:val="dotted"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144 216 677 987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l’instrument de flexibilité</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837 241 199</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678 340 197</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relevant de la marge globale pour les engagements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1 357 540 063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- 1 900 000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1 355 640 063</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Plafond</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159 514 000 000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154 565 000 000</w:t>
            </w:r>
          </w:p>
        </w:tc>
      </w:tr>
      <w:tr>
        <w:trPr>
          <w:trHeight w:val="225"/>
          <w:jc w:val="center"/>
        </w:trPr>
        <w:tc>
          <w:tcPr>
            <w:tcW w:w="2820" w:type="dxa"/>
            <w:gridSpan w:val="2"/>
            <w:tcBorders>
              <w:top w:val="dotted" w:sz="4" w:space="0" w:color="auto"/>
              <w:left w:val="single" w:sz="4" w:space="0" w:color="auto"/>
              <w:bottom w:val="dotted" w:sz="4" w:space="0" w:color="auto"/>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dont part compensée sur la marge pour imprévus</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xml:space="preserve">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- 318 000 000</w:t>
            </w:r>
          </w:p>
        </w:tc>
        <w:tc>
          <w:tcPr>
            <w:tcW w:w="1360" w:type="dxa"/>
            <w:tcBorders>
              <w:top w:val="nil"/>
              <w:left w:val="nil"/>
              <w:bottom w:val="dotted"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r>
      <w:tr>
        <w:trPr>
          <w:trHeight w:val="225"/>
          <w:jc w:val="center"/>
        </w:trPr>
        <w:tc>
          <w:tcPr>
            <w:tcW w:w="2820" w:type="dxa"/>
            <w:gridSpan w:val="2"/>
            <w:tcBorders>
              <w:top w:val="dotted" w:sz="4" w:space="0" w:color="auto"/>
              <w:left w:val="single" w:sz="4" w:space="0" w:color="auto"/>
              <w:bottom w:val="nil"/>
              <w:right w:val="single" w:sz="4" w:space="0" w:color="000000"/>
            </w:tcBorders>
            <w:shd w:val="clear" w:color="000000" w:fill="D9D9D9"/>
            <w:vAlign w:val="center"/>
            <w:hideMark/>
          </w:tcPr>
          <w:p>
            <w:pPr>
              <w:jc w:val="right"/>
              <w:rPr>
                <w:b/>
                <w:bCs/>
                <w:i/>
                <w:iCs/>
                <w:noProof/>
                <w:color w:val="000000"/>
                <w:sz w:val="14"/>
                <w:szCs w:val="14"/>
              </w:rPr>
            </w:pPr>
            <w:r>
              <w:rPr>
                <w:b/>
                <w:i/>
                <w:noProof/>
                <w:color w:val="000000"/>
                <w:sz w:val="14"/>
              </w:rPr>
              <w:t>Marge</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1 344 163 251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10 981 959 507</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 </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1 390 928 251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i/>
                <w:iCs/>
                <w:noProof/>
                <w:color w:val="000000"/>
                <w:sz w:val="14"/>
                <w:szCs w:val="14"/>
              </w:rPr>
            </w:pPr>
            <w:r>
              <w:rPr>
                <w:b/>
                <w:i/>
                <w:noProof/>
                <w:color w:val="000000"/>
                <w:sz w:val="14"/>
              </w:rPr>
              <w:t>11 026 662 210</w:t>
            </w:r>
          </w:p>
        </w:tc>
      </w:tr>
      <w:tr>
        <w:trPr>
          <w:trHeight w:val="225"/>
          <w:jc w:val="center"/>
        </w:trPr>
        <w:tc>
          <w:tcPr>
            <w:tcW w:w="260" w:type="dxa"/>
            <w:tcBorders>
              <w:top w:val="single" w:sz="4" w:space="0" w:color="auto"/>
              <w:left w:val="single" w:sz="4" w:space="0" w:color="auto"/>
              <w:bottom w:val="single" w:sz="4" w:space="0" w:color="auto"/>
              <w:right w:val="nil"/>
            </w:tcBorders>
            <w:shd w:val="clear" w:color="auto" w:fill="auto"/>
            <w:vAlign w:val="center"/>
            <w:hideMark/>
          </w:tcPr>
          <w:p>
            <w:pPr>
              <w:rPr>
                <w:b/>
                <w:bCs/>
                <w:noProof/>
                <w:color w:val="000000"/>
                <w:sz w:val="14"/>
                <w:szCs w:val="14"/>
              </w:rPr>
            </w:pPr>
            <w:r>
              <w:rPr>
                <w:b/>
                <w:noProof/>
                <w:color w:val="000000"/>
                <w:sz w:val="14"/>
              </w:rPr>
              <w:t> </w:t>
            </w:r>
          </w:p>
        </w:tc>
        <w:tc>
          <w:tcPr>
            <w:tcW w:w="2560" w:type="dxa"/>
            <w:tcBorders>
              <w:top w:val="single" w:sz="4" w:space="0" w:color="auto"/>
              <w:left w:val="nil"/>
              <w:bottom w:val="single" w:sz="4" w:space="0" w:color="auto"/>
              <w:right w:val="single" w:sz="4" w:space="0" w:color="auto"/>
            </w:tcBorders>
            <w:shd w:val="clear" w:color="auto" w:fill="auto"/>
            <w:vAlign w:val="center"/>
            <w:hideMark/>
          </w:tcPr>
          <w:p>
            <w:pPr>
              <w:rPr>
                <w:b/>
                <w:bCs/>
                <w:noProof/>
                <w:color w:val="000000"/>
                <w:sz w:val="14"/>
                <w:szCs w:val="14"/>
              </w:rPr>
            </w:pPr>
            <w:r>
              <w:rPr>
                <w:b/>
                <w:noProof/>
                <w:color w:val="000000"/>
                <w:sz w:val="14"/>
              </w:rPr>
              <w:t>Autres instruments spéciaux</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698 540 311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551 238 311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698 540 311</w:t>
            </w:r>
          </w:p>
        </w:tc>
        <w:tc>
          <w:tcPr>
            <w:tcW w:w="1360" w:type="dxa"/>
            <w:tcBorders>
              <w:top w:val="nil"/>
              <w:left w:val="nil"/>
              <w:bottom w:val="single" w:sz="4" w:space="0" w:color="auto"/>
              <w:right w:val="single" w:sz="4" w:space="0" w:color="auto"/>
            </w:tcBorders>
            <w:shd w:val="clear" w:color="auto" w:fill="auto"/>
            <w:vAlign w:val="center"/>
            <w:hideMark/>
          </w:tcPr>
          <w:p>
            <w:pPr>
              <w:jc w:val="right"/>
              <w:rPr>
                <w:b/>
                <w:bCs/>
                <w:noProof/>
                <w:color w:val="000000"/>
                <w:sz w:val="14"/>
                <w:szCs w:val="14"/>
              </w:rPr>
            </w:pPr>
            <w:r>
              <w:rPr>
                <w:b/>
                <w:noProof/>
                <w:color w:val="000000"/>
                <w:sz w:val="14"/>
              </w:rPr>
              <w:t xml:space="preserve"> 551 238 311</w:t>
            </w:r>
          </w:p>
        </w:tc>
      </w:tr>
      <w:tr>
        <w:trPr>
          <w:trHeight w:val="225"/>
          <w:jc w:val="center"/>
        </w:trPr>
        <w:tc>
          <w:tcPr>
            <w:tcW w:w="2820" w:type="dxa"/>
            <w:gridSpan w:val="2"/>
            <w:tcBorders>
              <w:top w:val="nil"/>
              <w:left w:val="single" w:sz="4" w:space="0" w:color="auto"/>
              <w:bottom w:val="single" w:sz="4" w:space="0" w:color="auto"/>
              <w:right w:val="single" w:sz="4" w:space="0" w:color="000000"/>
            </w:tcBorders>
            <w:shd w:val="clear" w:color="000000" w:fill="D9D9D9"/>
            <w:vAlign w:val="center"/>
            <w:hideMark/>
          </w:tcPr>
          <w:p>
            <w:pPr>
              <w:jc w:val="right"/>
              <w:rPr>
                <w:b/>
                <w:bCs/>
                <w:noProof/>
                <w:color w:val="000000"/>
                <w:sz w:val="14"/>
                <w:szCs w:val="14"/>
              </w:rPr>
            </w:pPr>
            <w:r>
              <w:rPr>
                <w:b/>
                <w:noProof/>
                <w:color w:val="000000"/>
                <w:sz w:val="14"/>
              </w:rPr>
              <w:t>Total général</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160 745 158 322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144 812 619 001</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- 48 665 000</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- 44 702 703</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160 696 493 322</w:t>
            </w:r>
          </w:p>
        </w:tc>
        <w:tc>
          <w:tcPr>
            <w:tcW w:w="1360" w:type="dxa"/>
            <w:tcBorders>
              <w:top w:val="nil"/>
              <w:left w:val="nil"/>
              <w:bottom w:val="single" w:sz="4" w:space="0" w:color="auto"/>
              <w:right w:val="single" w:sz="4" w:space="0" w:color="auto"/>
            </w:tcBorders>
            <w:shd w:val="clear" w:color="000000" w:fill="D9D9D9"/>
            <w:vAlign w:val="center"/>
            <w:hideMark/>
          </w:tcPr>
          <w:p>
            <w:pPr>
              <w:jc w:val="right"/>
              <w:rPr>
                <w:b/>
                <w:bCs/>
                <w:noProof/>
                <w:color w:val="000000"/>
                <w:sz w:val="14"/>
                <w:szCs w:val="14"/>
              </w:rPr>
            </w:pPr>
            <w:r>
              <w:rPr>
                <w:b/>
                <w:noProof/>
                <w:color w:val="000000"/>
                <w:sz w:val="14"/>
              </w:rPr>
              <w:t>144 767 916 298</w:t>
            </w:r>
          </w:p>
        </w:tc>
      </w:tr>
    </w:tbl>
    <w:p>
      <w:pPr>
        <w:rPr>
          <w:noProof/>
        </w:rPr>
      </w:pPr>
    </w:p>
    <w:sectPr>
      <w:headerReference w:type="even" r:id="rId29"/>
      <w:headerReference w:type="default" r:id="rId30"/>
      <w:footerReference w:type="even" r:id="rId31"/>
      <w:footerReference w:type="default" r:id="rId32"/>
      <w:headerReference w:type="first" r:id="rId33"/>
      <w:footerReference w:type="first" r:id="rId34"/>
      <w:pgSz w:w="11907" w:h="16839"/>
      <w:pgMar w:top="1021" w:right="1347" w:bottom="1021" w:left="1021" w:header="709" w:footer="4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6067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79546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97114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pl-PL"/>
        </w:rPr>
      </w:pPr>
      <w:r>
        <w:rPr>
          <w:rStyle w:val="FootnoteReference"/>
        </w:rPr>
        <w:footnoteRef/>
      </w:r>
      <w:r>
        <w:t xml:space="preserve"> </w:t>
      </w:r>
      <w:r>
        <w:tab/>
      </w:r>
      <w:r>
        <w:rPr>
          <w:sz w:val="18"/>
        </w:rPr>
        <w:t>JO L 193 du 30.7.2018, p. 1.</w:t>
      </w:r>
    </w:p>
  </w:footnote>
  <w:footnote w:id="3">
    <w:p>
      <w:pPr>
        <w:pStyle w:val="FootnoteText"/>
        <w:rPr>
          <w:lang w:val="pl-PL"/>
        </w:rPr>
      </w:pPr>
      <w:r>
        <w:rPr>
          <w:rStyle w:val="FootnoteReference"/>
        </w:rPr>
        <w:footnoteRef/>
      </w:r>
      <w:r>
        <w:t xml:space="preserve"> </w:t>
      </w:r>
      <w:r>
        <w:tab/>
      </w:r>
      <w:r>
        <w:rPr>
          <w:sz w:val="18"/>
        </w:rPr>
        <w:t>JO L 57 du 28.2.2018, p. 1.</w:t>
      </w:r>
    </w:p>
  </w:footnote>
  <w:footnote w:id="4">
    <w:p>
      <w:pPr>
        <w:pStyle w:val="FootnoteText"/>
        <w:rPr>
          <w:lang w:val="pl-PL"/>
        </w:rPr>
      </w:pPr>
      <w:r>
        <w:rPr>
          <w:rStyle w:val="FootnoteReference"/>
        </w:rPr>
        <w:footnoteRef/>
      </w:r>
      <w:r>
        <w:t xml:space="preserve"> </w:t>
      </w:r>
      <w:r>
        <w:tab/>
      </w:r>
      <w:r>
        <w:rPr>
          <w:sz w:val="18"/>
        </w:rPr>
        <w:t>JO L 191 du 27.7.2018, p. 1.</w:t>
      </w:r>
    </w:p>
  </w:footnote>
  <w:footnote w:id="5">
    <w:p>
      <w:pPr>
        <w:pStyle w:val="FootnoteText"/>
        <w:rPr>
          <w:lang w:val="pt-PT"/>
        </w:rPr>
      </w:pPr>
      <w:r>
        <w:rPr>
          <w:rStyle w:val="FootnoteReference"/>
        </w:rPr>
        <w:footnoteRef/>
      </w:r>
      <w:r>
        <w:t xml:space="preserve"> </w:t>
      </w:r>
      <w:r>
        <w:tab/>
      </w:r>
      <w:r>
        <w:rPr>
          <w:sz w:val="18"/>
        </w:rPr>
        <w:t>JO L XXX du XX.XX.2018 [COM(2018) 227].</w:t>
      </w:r>
    </w:p>
  </w:footnote>
  <w:footnote w:id="6">
    <w:p>
      <w:pPr>
        <w:pStyle w:val="FootnoteText"/>
        <w:rPr>
          <w:lang w:val="pt-PT"/>
        </w:rPr>
      </w:pPr>
      <w:r>
        <w:rPr>
          <w:rStyle w:val="FootnoteReference"/>
        </w:rPr>
        <w:footnoteRef/>
      </w:r>
      <w:r>
        <w:t xml:space="preserve"> </w:t>
      </w:r>
      <w:r>
        <w:tab/>
      </w:r>
      <w:r>
        <w:rPr>
          <w:sz w:val="18"/>
        </w:rPr>
        <w:t>JO L XXX du XX.XX.2018 [COM(2018) 310].</w:t>
      </w:r>
    </w:p>
  </w:footnote>
  <w:footnote w:id="7">
    <w:p>
      <w:pPr>
        <w:pStyle w:val="FootnoteText"/>
        <w:rPr>
          <w:lang w:val="nb-NO"/>
        </w:rPr>
      </w:pPr>
      <w:r>
        <w:rPr>
          <w:rStyle w:val="FootnoteReference"/>
        </w:rPr>
        <w:footnoteRef/>
      </w:r>
      <w:r>
        <w:rPr>
          <w:lang w:val="nb-NO"/>
        </w:rPr>
        <w:t xml:space="preserve"> </w:t>
      </w:r>
      <w:r>
        <w:rPr>
          <w:lang w:val="nb-NO"/>
        </w:rPr>
        <w:tab/>
      </w:r>
      <w:r>
        <w:rPr>
          <w:sz w:val="18"/>
          <w:lang w:val="nb-NO"/>
        </w:rPr>
        <w:t>JO L XXX du XX.XX.2018 [COM(2018) 361].</w:t>
      </w:r>
    </w:p>
  </w:footnote>
  <w:footnote w:id="8">
    <w:p>
      <w:pPr>
        <w:pStyle w:val="FootnoteText"/>
        <w:rPr>
          <w:lang w:val="nb-NO"/>
        </w:rPr>
      </w:pPr>
      <w:r>
        <w:rPr>
          <w:rStyle w:val="FootnoteReference"/>
        </w:rPr>
        <w:footnoteRef/>
      </w:r>
      <w:r>
        <w:rPr>
          <w:lang w:val="nb-NO"/>
        </w:rPr>
        <w:t xml:space="preserve"> </w:t>
      </w:r>
      <w:r>
        <w:rPr>
          <w:lang w:val="nb-NO"/>
        </w:rPr>
        <w:tab/>
      </w:r>
      <w:r>
        <w:rPr>
          <w:sz w:val="18"/>
          <w:lang w:val="nb-NO"/>
        </w:rPr>
        <w:t>JO L XXX du XX.XX.2018 [COM(2018) 537],</w:t>
      </w:r>
    </w:p>
  </w:footnote>
  <w:footnote w:id="9">
    <w:p>
      <w:pPr>
        <w:pStyle w:val="FootnoteText"/>
      </w:pPr>
      <w:r>
        <w:rPr>
          <w:rStyle w:val="FootnoteReference"/>
        </w:rPr>
        <w:footnoteRef/>
      </w:r>
      <w:r>
        <w:t xml:space="preserve"> </w:t>
      </w:r>
      <w:r>
        <w:tab/>
        <w:t>Le budget rectificatif nº 5/2018 [COM(2018) 537] adopté par le Parlement européen le 3 octobre 2018 n'a pas d'incidence sur les recettes.</w:t>
      </w:r>
    </w:p>
  </w:footnote>
  <w:footnote w:id="10">
    <w:p>
      <w:pPr>
        <w:pStyle w:val="FootnoteText"/>
        <w:rPr>
          <w:sz w:val="18"/>
          <w:szCs w:val="18"/>
        </w:rPr>
      </w:pPr>
      <w:r>
        <w:rPr>
          <w:rStyle w:val="FootnoteReference"/>
          <w:sz w:val="18"/>
        </w:rPr>
        <w:footnoteRef/>
      </w:r>
      <w:r>
        <w:rPr>
          <w:sz w:val="18"/>
        </w:rPr>
        <w:t xml:space="preserve"> </w:t>
      </w:r>
      <w:r>
        <w:tab/>
        <w:t>Conformément à la décision 2014/335/UE, Euratom du Conseil, si l’assiette TVA d’un État membre dépasse 50 % de son RNB, elle est écrêtée à hauteur de ces 50 %. Dans le PBR nº 6/2018, quatre États membres verront leur assiette TVA écrêtée à 50 % du RNB, à savoir: Chypre, la Croatie, le Luxembourg et Malte.</w:t>
      </w:r>
    </w:p>
  </w:footnote>
  <w:footnote w:id="11">
    <w:p>
      <w:pPr>
        <w:pStyle w:val="FootnoteText"/>
        <w:rPr>
          <w:rStyle w:val="FootnoteReference"/>
          <w:sz w:val="18"/>
          <w:szCs w:val="18"/>
        </w:rPr>
      </w:pPr>
      <w:r>
        <w:rPr>
          <w:rStyle w:val="FootnoteReference"/>
          <w:sz w:val="18"/>
        </w:rPr>
        <w:footnoteRef/>
      </w:r>
      <w:r>
        <w:rPr>
          <w:rStyle w:val="FootnoteReference"/>
          <w:sz w:val="18"/>
        </w:rPr>
        <w:t>.</w:t>
      </w:r>
      <w:r>
        <w:tab/>
        <w:t>Les montants indiqués en grisé découlent de l’assiette TVA écrêtée, comme expliqué à la note de bas de page 9 ci-dessus.</w:t>
      </w:r>
    </w:p>
  </w:footnote>
  <w:footnote w:id="12">
    <w:p>
      <w:pPr>
        <w:pStyle w:val="FootnoteText"/>
        <w:rPr>
          <w:sz w:val="18"/>
          <w:szCs w:val="18"/>
        </w:rPr>
      </w:pPr>
      <w:r>
        <w:rPr>
          <w:rStyle w:val="FootnoteReference"/>
        </w:rPr>
        <w:footnoteRef/>
      </w:r>
      <w:r>
        <w:tab/>
        <w:t>JO L 168 du 7.6.2014, p. 105.</w:t>
      </w:r>
    </w:p>
  </w:footnote>
  <w:footnote w:id="13">
    <w:p>
      <w:pPr>
        <w:pStyle w:val="FootnoteText"/>
        <w:rPr>
          <w:sz w:val="18"/>
          <w:szCs w:val="18"/>
        </w:rPr>
      </w:pPr>
      <w:r>
        <w:rPr>
          <w:rStyle w:val="FootnoteReference"/>
        </w:rPr>
        <w:footnoteRef/>
      </w:r>
      <w:r>
        <w:tab/>
        <w:t>Document de travail de la Commission du 14 mai 2014 concernant le mode de calcul, le financement, le versement et la budgétisation de la correction des déséquilibres budgétaires en faveur du Royaume-Uni («la correction») conformément aux articles 4 et 5 de la décision 2014/335/UE, Euratom du Conseil relative au système des ressources propres de l’Union européenne.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4E49F88"/>
    <w:lvl w:ilvl="0">
      <w:start w:val="1"/>
      <w:numFmt w:val="decimal"/>
      <w:pStyle w:val="ListNumber5"/>
      <w:lvlText w:val="%1."/>
      <w:lvlJc w:val="left"/>
      <w:pPr>
        <w:tabs>
          <w:tab w:val="num" w:pos="1492"/>
        </w:tabs>
        <w:ind w:left="1492" w:hanging="360"/>
      </w:pPr>
    </w:lvl>
  </w:abstractNum>
  <w:abstractNum w:abstractNumId="1">
    <w:nsid w:val="FFFFFF82"/>
    <w:multiLevelType w:val="singleLevel"/>
    <w:tmpl w:val="338AC50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A1A9734"/>
    <w:lvl w:ilvl="0">
      <w:start w:val="1"/>
      <w:numFmt w:val="decimal"/>
      <w:lvlText w:val="%1."/>
      <w:lvlJc w:val="left"/>
      <w:pPr>
        <w:tabs>
          <w:tab w:val="num" w:pos="360"/>
        </w:tabs>
        <w:ind w:left="360" w:hanging="360"/>
      </w:pPr>
    </w:lvl>
  </w:abstractNum>
  <w:abstractNum w:abstractNumId="3">
    <w:nsid w:val="032265D7"/>
    <w:multiLevelType w:val="hybridMultilevel"/>
    <w:tmpl w:val="63EEF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D63873"/>
    <w:multiLevelType w:val="multilevel"/>
    <w:tmpl w:val="86FE23B4"/>
    <w:lvl w:ilvl="0">
      <w:start w:val="1"/>
      <w:numFmt w:val="decimal"/>
      <w:lvlRestart w:val="0"/>
      <w:pStyle w:val="ListNumber"/>
      <w:lvlText w:val="(%1)"/>
      <w:lvlJc w:val="left"/>
      <w:pPr>
        <w:tabs>
          <w:tab w:val="num" w:pos="709"/>
        </w:tabs>
        <w:ind w:left="709" w:hanging="709"/>
      </w:pPr>
      <w:rPr>
        <w:rFonts w:hint="default"/>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8BE211A"/>
    <w:multiLevelType w:val="hybridMultilevel"/>
    <w:tmpl w:val="31B8D126"/>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FF3F75"/>
    <w:multiLevelType w:val="hybridMultilevel"/>
    <w:tmpl w:val="A6E6743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835770"/>
    <w:multiLevelType w:val="hybridMultilevel"/>
    <w:tmpl w:val="365E0218"/>
    <w:lvl w:ilvl="0" w:tplc="8264D7DC">
      <w:start w:val="1"/>
      <w:numFmt w:val="bullet"/>
      <w:pStyle w:val="agbullets"/>
      <w:lvlText w:val=""/>
      <w:lvlJc w:val="left"/>
      <w:pPr>
        <w:ind w:left="720" w:hanging="360"/>
      </w:pPr>
      <w:rPr>
        <w:rFonts w:ascii="Symbol" w:hAnsi="Symbol" w:hint="default"/>
      </w:rPr>
    </w:lvl>
    <w:lvl w:ilvl="1" w:tplc="B8AE865E">
      <w:numFmt w:val="decimal"/>
      <w:lvlText w:val=""/>
      <w:lvlJc w:val="left"/>
    </w:lvl>
    <w:lvl w:ilvl="2" w:tplc="581813B8">
      <w:numFmt w:val="decimal"/>
      <w:lvlText w:val=""/>
      <w:lvlJc w:val="left"/>
    </w:lvl>
    <w:lvl w:ilvl="3" w:tplc="B7C81A1E">
      <w:numFmt w:val="decimal"/>
      <w:lvlText w:val=""/>
      <w:lvlJc w:val="left"/>
    </w:lvl>
    <w:lvl w:ilvl="4" w:tplc="5030D16A">
      <w:numFmt w:val="decimal"/>
      <w:lvlText w:val=""/>
      <w:lvlJc w:val="left"/>
    </w:lvl>
    <w:lvl w:ilvl="5" w:tplc="7A1E383C">
      <w:numFmt w:val="decimal"/>
      <w:lvlText w:val=""/>
      <w:lvlJc w:val="left"/>
    </w:lvl>
    <w:lvl w:ilvl="6" w:tplc="CE08976E">
      <w:numFmt w:val="decimal"/>
      <w:lvlText w:val=""/>
      <w:lvlJc w:val="left"/>
    </w:lvl>
    <w:lvl w:ilvl="7" w:tplc="D5D01BC0">
      <w:numFmt w:val="decimal"/>
      <w:lvlText w:val=""/>
      <w:lvlJc w:val="left"/>
    </w:lvl>
    <w:lvl w:ilvl="8" w:tplc="05920FDA">
      <w:numFmt w:val="decimal"/>
      <w:lvlText w:val=""/>
      <w:lvlJc w:val="left"/>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EBC3E06"/>
    <w:multiLevelType w:val="hybridMultilevel"/>
    <w:tmpl w:val="745C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642108"/>
    <w:multiLevelType w:val="multilevel"/>
    <w:tmpl w:val="33D02A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99C6FA8"/>
    <w:multiLevelType w:val="hybridMultilevel"/>
    <w:tmpl w:val="D7D82866"/>
    <w:lvl w:ilvl="0" w:tplc="70981A52">
      <w:start w:val="1"/>
      <w:numFmt w:val="bullet"/>
      <w:lvlText w:val=""/>
      <w:lvlJc w:val="left"/>
      <w:pPr>
        <w:ind w:left="525" w:hanging="52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3">
    <w:nsid w:val="2CE46741"/>
    <w:multiLevelType w:val="hybridMultilevel"/>
    <w:tmpl w:val="CF8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82309E"/>
    <w:multiLevelType w:val="hybridMultilevel"/>
    <w:tmpl w:val="C55042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6">
    <w:nsid w:val="34AF67B3"/>
    <w:multiLevelType w:val="hybridMultilevel"/>
    <w:tmpl w:val="206672F4"/>
    <w:lvl w:ilvl="0" w:tplc="5FD4A2D4">
      <w:start w:val="2"/>
      <w:numFmt w:val="bullet"/>
      <w:lvlText w:val="·"/>
      <w:lvlJc w:val="left"/>
      <w:pPr>
        <w:ind w:left="885" w:hanging="525"/>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0F25DB"/>
    <w:multiLevelType w:val="hybridMultilevel"/>
    <w:tmpl w:val="E7265104"/>
    <w:lvl w:ilvl="0" w:tplc="B0DC89EA">
      <w:start w:val="1"/>
      <w:numFmt w:val="bullet"/>
      <w:pStyle w:val="agtabbullets"/>
      <w:lvlText w:val=""/>
      <w:lvlJc w:val="left"/>
      <w:pPr>
        <w:ind w:left="1080" w:hanging="360"/>
      </w:pPr>
      <w:rPr>
        <w:rFonts w:ascii="Symbol" w:hAnsi="Symbol" w:hint="default"/>
      </w:rPr>
    </w:lvl>
    <w:lvl w:ilvl="1" w:tplc="510EFC82">
      <w:numFmt w:val="decimal"/>
      <w:lvlText w:val=""/>
      <w:lvlJc w:val="left"/>
    </w:lvl>
    <w:lvl w:ilvl="2" w:tplc="98DA8758">
      <w:numFmt w:val="decimal"/>
      <w:lvlText w:val=""/>
      <w:lvlJc w:val="left"/>
    </w:lvl>
    <w:lvl w:ilvl="3" w:tplc="A8DA21E8">
      <w:numFmt w:val="decimal"/>
      <w:lvlText w:val=""/>
      <w:lvlJc w:val="left"/>
    </w:lvl>
    <w:lvl w:ilvl="4" w:tplc="4C5E1946">
      <w:numFmt w:val="decimal"/>
      <w:lvlText w:val=""/>
      <w:lvlJc w:val="left"/>
    </w:lvl>
    <w:lvl w:ilvl="5" w:tplc="DC50A908">
      <w:numFmt w:val="decimal"/>
      <w:lvlText w:val=""/>
      <w:lvlJc w:val="left"/>
    </w:lvl>
    <w:lvl w:ilvl="6" w:tplc="277AF326">
      <w:numFmt w:val="decimal"/>
      <w:lvlText w:val=""/>
      <w:lvlJc w:val="left"/>
    </w:lvl>
    <w:lvl w:ilvl="7" w:tplc="96EC6C5E">
      <w:numFmt w:val="decimal"/>
      <w:lvlText w:val=""/>
      <w:lvlJc w:val="left"/>
    </w:lvl>
    <w:lvl w:ilvl="8" w:tplc="CF347B90">
      <w:numFmt w:val="decimal"/>
      <w:lvlText w:val=""/>
      <w:lvlJc w:val="left"/>
    </w:lvl>
  </w:abstractNum>
  <w:abstractNum w:abstractNumId="18">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nsid w:val="40315490"/>
    <w:multiLevelType w:val="singleLevel"/>
    <w:tmpl w:val="1F86C700"/>
    <w:lvl w:ilvl="0">
      <w:start w:val="1"/>
      <w:numFmt w:val="bullet"/>
      <w:lvlRestart w:val="0"/>
      <w:lvlText w:val="–"/>
      <w:lvlJc w:val="left"/>
      <w:pPr>
        <w:tabs>
          <w:tab w:val="num" w:pos="283"/>
        </w:tabs>
        <w:ind w:left="283" w:hanging="283"/>
      </w:pPr>
      <w:rPr>
        <w:rFonts w:ascii="Times New Roman" w:hAnsi="Times New Roman" w:cs="Times New Roman"/>
      </w:rPr>
    </w:lvl>
  </w:abstractNum>
  <w:abstractNum w:abstractNumId="20">
    <w:nsid w:val="42B56982"/>
    <w:multiLevelType w:val="hybridMultilevel"/>
    <w:tmpl w:val="D0D27D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69A4672"/>
    <w:multiLevelType w:val="hybridMultilevel"/>
    <w:tmpl w:val="A9FA8E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290503"/>
    <w:multiLevelType w:val="hybridMultilevel"/>
    <w:tmpl w:val="ADD2FC7E"/>
    <w:lvl w:ilvl="0" w:tplc="767E329A">
      <w:start w:val="1"/>
      <w:numFmt w:val="bullet"/>
      <w:lvlText w:val="-"/>
      <w:lvlJc w:val="left"/>
      <w:pPr>
        <w:ind w:left="720" w:hanging="360"/>
      </w:pPr>
      <w:rPr>
        <w:rFonts w:ascii="Times New Roman" w:eastAsia="Times New Roman" w:hAnsi="Times New Roman" w:cs="Times New Roman"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E76506"/>
    <w:multiLevelType w:val="hybridMultilevel"/>
    <w:tmpl w:val="9AFA166C"/>
    <w:lvl w:ilvl="0" w:tplc="49467B38">
      <w:start w:val="1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8C3B69"/>
    <w:multiLevelType w:val="multilevel"/>
    <w:tmpl w:val="C18A497C"/>
    <w:lvl w:ilvl="0">
      <w:start w:val="1"/>
      <w:numFmt w:val="decimal"/>
      <w:lvlRestart w:val="0"/>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9AD6263"/>
    <w:multiLevelType w:val="hybridMultilevel"/>
    <w:tmpl w:val="9356C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D2B5511"/>
    <w:multiLevelType w:val="singleLevel"/>
    <w:tmpl w:val="74A09970"/>
    <w:name w:val="Heading__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8">
    <w:nsid w:val="724A4950"/>
    <w:multiLevelType w:val="hybridMultilevel"/>
    <w:tmpl w:val="71D67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2796537"/>
    <w:multiLevelType w:val="hybridMultilevel"/>
    <w:tmpl w:val="30743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AC004F"/>
    <w:multiLevelType w:val="multilevel"/>
    <w:tmpl w:val="57CA7644"/>
    <w:lvl w:ilvl="0">
      <w:start w:val="1"/>
      <w:numFmt w:val="decimal"/>
      <w:lvlRestart w:val="0"/>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cs="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AC94459"/>
    <w:multiLevelType w:val="hybridMultilevel"/>
    <w:tmpl w:val="AB8E0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27"/>
  </w:num>
  <w:num w:numId="4">
    <w:abstractNumId w:val="18"/>
  </w:num>
  <w:num w:numId="5">
    <w:abstractNumId w:val="12"/>
  </w:num>
  <w:num w:numId="6">
    <w:abstractNumId w:val="24"/>
  </w:num>
  <w:num w:numId="7">
    <w:abstractNumId w:val="8"/>
  </w:num>
  <w:num w:numId="8">
    <w:abstractNumId w:val="25"/>
  </w:num>
  <w:num w:numId="9">
    <w:abstractNumId w:val="0"/>
  </w:num>
  <w:num w:numId="10">
    <w:abstractNumId w:val="1"/>
  </w:num>
  <w:num w:numId="11">
    <w:abstractNumId w:val="14"/>
  </w:num>
  <w:num w:numId="12">
    <w:abstractNumId w:val="19"/>
  </w:num>
  <w:num w:numId="13">
    <w:abstractNumId w:val="20"/>
  </w:num>
  <w:num w:numId="14">
    <w:abstractNumId w:val="19"/>
  </w:num>
  <w:num w:numId="15">
    <w:abstractNumId w:val="19"/>
  </w:num>
  <w:num w:numId="16">
    <w:abstractNumId w:val="19"/>
  </w:num>
  <w:num w:numId="17">
    <w:abstractNumId w:val="6"/>
  </w:num>
  <w:num w:numId="18">
    <w:abstractNumId w:val="21"/>
  </w:num>
  <w:num w:numId="19">
    <w:abstractNumId w:val="29"/>
  </w:num>
  <w:num w:numId="20">
    <w:abstractNumId w:val="24"/>
  </w:num>
  <w:num w:numId="21">
    <w:abstractNumId w:val="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4"/>
  </w:num>
  <w:num w:numId="25">
    <w:abstractNumId w:val="24"/>
  </w:num>
  <w:num w:numId="26">
    <w:abstractNumId w:val="24"/>
  </w:num>
  <w:num w:numId="27">
    <w:abstractNumId w:val="30"/>
  </w:num>
  <w:num w:numId="28">
    <w:abstractNumId w:val="4"/>
  </w:num>
  <w:num w:numId="29">
    <w:abstractNumId w:val="4"/>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4"/>
    <w:lvlOverride w:ilvl="0">
      <w:lvl w:ilvl="0">
        <w:start w:val="1"/>
        <w:numFmt w:val="decimal"/>
        <w:lvlRestart w:val="0"/>
        <w:pStyle w:val="ListNumber"/>
        <w:lvlText w:val="(%1)"/>
        <w:lvlJc w:val="left"/>
        <w:pPr>
          <w:tabs>
            <w:tab w:val="num" w:pos="709"/>
          </w:tabs>
          <w:ind w:left="709" w:hanging="709"/>
        </w:pPr>
        <w:rPr>
          <w:rFonts w:hint="default"/>
        </w:rPr>
      </w:lvl>
    </w:lvlOverride>
    <w:lvlOverride w:ilvl="1">
      <w:lvl w:ilvl="1">
        <w:start w:val="1"/>
        <w:numFmt w:val="lowerLetter"/>
        <w:pStyle w:val="ListNumberLevel2"/>
        <w:lvlText w:val="(%2)"/>
        <w:lvlJc w:val="left"/>
        <w:pPr>
          <w:tabs>
            <w:tab w:val="num" w:pos="1417"/>
          </w:tabs>
          <w:ind w:left="1417" w:hanging="708"/>
        </w:pPr>
        <w:rPr>
          <w:rFonts w:hint="default"/>
        </w:rPr>
      </w:lvl>
    </w:lvlOverride>
    <w:lvlOverride w:ilvl="2">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lvl w:ilvl="3">
        <w:start w:val="1"/>
        <w:numFmt w:val="bullet"/>
        <w:pStyle w:val="ListNumberLevel4"/>
        <w:lvlText w:val=""/>
        <w:lvlJc w:val="left"/>
        <w:pPr>
          <w:tabs>
            <w:tab w:val="num" w:pos="2835"/>
          </w:tabs>
          <w:ind w:left="2835" w:hanging="709"/>
        </w:pPr>
        <w:rPr>
          <w:rFonts w:ascii="Symbol" w:hAnsi="Symbol"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4"/>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2">
    <w:abstractNumId w:val="4"/>
    <w:lvlOverride w:ilvl="0">
      <w:startOverride w:val="1"/>
      <w:lvl w:ilvl="0">
        <w:start w:val="1"/>
        <w:numFmt w:val="decimal"/>
        <w:lvlRestart w:val="0"/>
        <w:pStyle w:val="ListNumber"/>
        <w:lvlText w:val="(%1)"/>
        <w:lvlJc w:val="left"/>
        <w:pPr>
          <w:tabs>
            <w:tab w:val="num" w:pos="709"/>
          </w:tabs>
          <w:ind w:left="709" w:hanging="709"/>
        </w:pPr>
        <w:rPr>
          <w:rFonts w:hint="default"/>
        </w:rPr>
      </w:lvl>
    </w:lvlOverride>
    <w:lvlOverride w:ilvl="1">
      <w:startOverride w:val="1"/>
      <w:lvl w:ilvl="1">
        <w:start w:val="1"/>
        <w:numFmt w:val="lowerLetter"/>
        <w:pStyle w:val="ListNumberLevel2"/>
        <w:lvlText w:val="(%2)"/>
        <w:lvlJc w:val="left"/>
        <w:pPr>
          <w:tabs>
            <w:tab w:val="num" w:pos="1417"/>
          </w:tabs>
          <w:ind w:left="1417" w:hanging="708"/>
        </w:pPr>
        <w:rPr>
          <w:rFonts w:hint="default"/>
        </w:rPr>
      </w:lvl>
    </w:lvlOverride>
    <w:lvlOverride w:ilvl="2">
      <w:startOverride w:val="1"/>
      <w:lvl w:ilvl="2">
        <w:start w:val="1"/>
        <w:numFmt w:val="bullet"/>
        <w:pStyle w:val="ListNumberLevel3"/>
        <w:lvlText w:val="–"/>
        <w:lvlJc w:val="left"/>
        <w:pPr>
          <w:tabs>
            <w:tab w:val="num" w:pos="2126"/>
          </w:tabs>
          <w:ind w:left="2126" w:hanging="709"/>
        </w:pPr>
        <w:rPr>
          <w:rFonts w:ascii="Times New Roman" w:hAnsi="Times New Roman" w:cs="Times New Roman" w:hint="default"/>
        </w:rPr>
      </w:lvl>
    </w:lvlOverride>
    <w:lvlOverride w:ilvl="3">
      <w:startOverride w:val="1"/>
      <w:lvl w:ilvl="3">
        <w:start w:val="1"/>
        <w:numFmt w:val="bullet"/>
        <w:pStyle w:val="ListNumberLevel4"/>
        <w:lvlText w:val=""/>
        <w:lvlJc w:val="left"/>
        <w:pPr>
          <w:tabs>
            <w:tab w:val="num" w:pos="2835"/>
          </w:tabs>
          <w:ind w:left="2835" w:hanging="709"/>
        </w:pPr>
        <w:rPr>
          <w:rFonts w:ascii="Symbol" w:hAnsi="Symbol" w:hint="default"/>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3">
    <w:abstractNumId w:val="22"/>
  </w:num>
  <w:num w:numId="34">
    <w:abstractNumId w:val="5"/>
  </w:num>
  <w:num w:numId="35">
    <w:abstractNumId w:val="13"/>
  </w:num>
  <w:num w:numId="36">
    <w:abstractNumId w:val="15"/>
  </w:num>
  <w:num w:numId="37">
    <w:abstractNumId w:val="23"/>
  </w:num>
  <w:num w:numId="38">
    <w:abstractNumId w:val="31"/>
  </w:num>
  <w:num w:numId="39">
    <w:abstractNumId w:val="16"/>
  </w:num>
  <w:num w:numId="40">
    <w:abstractNumId w:val="11"/>
  </w:num>
  <w:num w:numId="41">
    <w:abstractNumId w:val="9"/>
  </w:num>
  <w:num w:numId="42">
    <w:abstractNumId w:val="26"/>
  </w:num>
  <w:num w:numId="43">
    <w:abstractNumId w:val="28"/>
  </w:num>
  <w:num w:numId="44">
    <w:abstractNumId w:val="3"/>
  </w:num>
  <w:num w:numId="45">
    <w:abstractNumId w:val="15"/>
  </w:num>
  <w:num w:numId="46">
    <w:abstractNumId w:val="15"/>
  </w:num>
  <w:num w:numId="47">
    <w:abstractNumId w:val="10"/>
  </w:num>
  <w:num w:numId="48">
    <w:abstractNumId w:val="7"/>
  </w:num>
  <w:num w:numId="4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53B980B-365D-4FAE-9470-052519B2B88F"/>
    <w:docVar w:name="LW_COVERPAGE_TYPE" w:val="1"/>
    <w:docVar w:name="LW_CROSSREFERENCE" w:val="&lt;UNUSED&gt;"/>
    <w:docVar w:name="LW_DocType" w:val="NORMAL"/>
    <w:docVar w:name="LW_EMISSION" w:val="12.10.2018"/>
    <w:docVar w:name="LW_EMISSION_ISODATE" w:val="2018-10-12"/>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éduction des crédits de paiement et d'engagement en fonction des prévisions actualisées en matière de dépenses et de l'actualisation des recettes (ressources propres)"/>
    <w:docVar w:name="LW_TITRE.OBJ.CP_PREVIOUS" w:val="&lt;UNUSED&gt;"/>
    <w:docVar w:name="LW_TYPE.DOC.CP" w:val="PROJET DE BUDGET RECTIFICATIF Nº 6_x000b_AU BUDGET GÉNÉRAL  2018"/>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rPr>
      <w:rFonts w:eastAsiaTheme="minorHAnsi"/>
      <w:sz w:val="24"/>
      <w:szCs w:val="22"/>
      <w:lang w:eastAsia="fr-FR"/>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fr-FR"/>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fr-FR"/>
    </w:rPr>
  </w:style>
  <w:style w:type="character" w:customStyle="1" w:styleId="Heading7Char">
    <w:name w:val="Heading 7 Char"/>
    <w:basedOn w:val="DefaultParagraphFont"/>
    <w:link w:val="Heading7"/>
    <w:uiPriority w:val="99"/>
    <w:rPr>
      <w:rFonts w:ascii="Arial" w:eastAsiaTheme="majorEastAsia" w:hAnsi="Arial" w:cs="Arial"/>
      <w:sz w:val="22"/>
      <w:lang w:eastAsia="fr-FR"/>
    </w:rPr>
  </w:style>
  <w:style w:type="character" w:customStyle="1" w:styleId="Heading8Char">
    <w:name w:val="Heading 8 Char"/>
    <w:basedOn w:val="DefaultParagraphFont"/>
    <w:link w:val="Heading8"/>
    <w:uiPriority w:val="99"/>
    <w:rPr>
      <w:rFonts w:ascii="Arial" w:eastAsiaTheme="majorEastAsia" w:hAnsi="Arial" w:cs="Arial"/>
      <w:i/>
      <w:iCs/>
      <w:sz w:val="22"/>
      <w:lang w:eastAsia="fr-FR"/>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fr-FR"/>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fr-FR"/>
    </w:rPr>
  </w:style>
  <w:style w:type="paragraph" w:styleId="Caption">
    <w:name w:val="caption"/>
    <w:basedOn w:val="Normal"/>
    <w:next w:val="Normal"/>
    <w:semiHidden/>
    <w:unhideWhenUsed/>
    <w:qFormat/>
    <w:pPr>
      <w:spacing w:after="200"/>
    </w:pPr>
    <w:rPr>
      <w:b/>
      <w:bCs/>
      <w:color w:val="4F81BD" w:themeColor="accent1"/>
      <w:sz w:val="18"/>
      <w:szCs w:val="18"/>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fr-FR"/>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fr-FR"/>
    </w:rPr>
  </w:style>
  <w:style w:type="paragraph" w:customStyle="1" w:styleId="agbullets">
    <w:name w:val="ag_bullets"/>
    <w:basedOn w:val="Normal"/>
    <w:qFormat/>
    <w:pPr>
      <w:numPr>
        <w:numId w:val="48"/>
      </w:numPr>
    </w:pPr>
    <w:rPr>
      <w:sz w:val="22"/>
      <w:szCs w:val="20"/>
    </w:rPr>
  </w:style>
  <w:style w:type="paragraph" w:customStyle="1" w:styleId="agtabbullets">
    <w:name w:val="ag_tab_bullets"/>
    <w:basedOn w:val="Normal"/>
    <w:qFormat/>
    <w:pPr>
      <w:numPr>
        <w:numId w:val="49"/>
      </w:numPr>
      <w:jc w:val="both"/>
    </w:pPr>
    <w:rPr>
      <w:sz w:val="18"/>
      <w:szCs w:val="20"/>
    </w:rPr>
  </w:style>
  <w:style w:type="paragraph" w:customStyle="1" w:styleId="agfootnote">
    <w:name w:val="ag_footnote"/>
    <w:basedOn w:val="Normal"/>
    <w:qFormat/>
    <w:pPr>
      <w:spacing w:after="120"/>
      <w:jc w:val="both"/>
    </w:pPr>
    <w:rPr>
      <w:sz w:val="16"/>
      <w:szCs w:val="20"/>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qFormat="1"/>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qFormat/>
    <w:pPr>
      <w:keepNext/>
      <w:spacing w:before="240" w:after="120"/>
      <w:outlineLvl w:val="0"/>
    </w:pPr>
    <w:rPr>
      <w:rFonts w:ascii="Arial" w:hAnsi="Arial" w:cs="Arial"/>
      <w:b/>
      <w:bCs/>
      <w:kern w:val="32"/>
      <w:sz w:val="32"/>
      <w:szCs w:val="32"/>
    </w:rPr>
  </w:style>
  <w:style w:type="paragraph" w:styleId="Heading2">
    <w:name w:val="heading 2"/>
    <w:aliases w:val="Char, Char,Abschnitt"/>
    <w:basedOn w:val="Normal"/>
    <w:next w:val="Normal"/>
    <w:link w:val="Heading2Char"/>
    <w:autoRedefine/>
    <w:qFormat/>
    <w:pPr>
      <w:keepNext/>
      <w:spacing w:before="240" w:after="120"/>
      <w:ind w:left="720" w:hanging="720"/>
      <w:outlineLvl w:val="1"/>
    </w:pPr>
    <w:rPr>
      <w:rFonts w:ascii="Arial" w:hAnsi="Arial" w:cs="Arial"/>
      <w:b/>
      <w:bCs/>
      <w:i/>
      <w:iCs/>
      <w:sz w:val="28"/>
      <w:szCs w:val="28"/>
    </w:rPr>
  </w:style>
  <w:style w:type="paragraph" w:styleId="Heading3">
    <w:name w:val="heading 3"/>
    <w:aliases w:val="Heading 3 Auto"/>
    <w:basedOn w:val="Normal"/>
    <w:next w:val="Normal"/>
    <w:link w:val="Heading3Char"/>
    <w:autoRedefine/>
    <w:qFormat/>
    <w:pPr>
      <w:keepNext/>
      <w:numPr>
        <w:ilvl w:val="2"/>
      </w:numPr>
      <w:tabs>
        <w:tab w:val="num" w:pos="850"/>
      </w:tabs>
      <w:spacing w:before="120" w:after="120"/>
      <w:ind w:left="850" w:hanging="850"/>
      <w:jc w:val="both"/>
      <w:outlineLvl w:val="2"/>
    </w:pPr>
    <w:rPr>
      <w:rFonts w:ascii="Arial" w:hAnsi="Arial" w:cs="Arial"/>
      <w:b/>
      <w:bCs/>
      <w:i/>
      <w:sz w:val="26"/>
      <w:szCs w:val="26"/>
    </w:rPr>
  </w:style>
  <w:style w:type="paragraph" w:styleId="Heading4">
    <w:name w:val="heading 4"/>
    <w:basedOn w:val="Normal"/>
    <w:next w:val="Normal"/>
    <w:link w:val="Heading4Char"/>
    <w:qFormat/>
    <w:pPr>
      <w:keepNext/>
      <w:numPr>
        <w:ilvl w:val="3"/>
      </w:numPr>
      <w:tabs>
        <w:tab w:val="num" w:pos="1030"/>
      </w:tabs>
      <w:spacing w:before="120" w:after="120"/>
      <w:ind w:left="1030" w:hanging="850"/>
      <w:jc w:val="both"/>
      <w:outlineLvl w:val="3"/>
    </w:pPr>
    <w:rPr>
      <w:b/>
      <w:bCs/>
      <w:szCs w:val="28"/>
    </w:rPr>
  </w:style>
  <w:style w:type="paragraph" w:styleId="Heading5">
    <w:name w:val="heading 5"/>
    <w:basedOn w:val="Normal"/>
    <w:next w:val="Normal"/>
    <w:link w:val="Heading5Char"/>
    <w:uiPriority w:val="99"/>
    <w:qFormat/>
    <w:pPr>
      <w:spacing w:before="240" w:after="60"/>
      <w:jc w:val="both"/>
      <w:outlineLvl w:val="4"/>
    </w:pPr>
    <w:rPr>
      <w:rFonts w:ascii="Arial" w:eastAsiaTheme="majorEastAsia" w:hAnsi="Arial" w:cs="Arial"/>
      <w:sz w:val="22"/>
      <w:szCs w:val="22"/>
    </w:rPr>
  </w:style>
  <w:style w:type="paragraph" w:styleId="Heading6">
    <w:name w:val="heading 6"/>
    <w:basedOn w:val="Normal"/>
    <w:next w:val="Normal"/>
    <w:link w:val="Heading6Char"/>
    <w:uiPriority w:val="99"/>
    <w:qFormat/>
    <w:pPr>
      <w:spacing w:before="240" w:after="60"/>
      <w:jc w:val="both"/>
      <w:outlineLvl w:val="5"/>
    </w:pPr>
    <w:rPr>
      <w:rFonts w:ascii="Arial" w:eastAsiaTheme="majorEastAsia" w:hAnsi="Arial" w:cs="Arial"/>
      <w:i/>
      <w:iCs/>
      <w:sz w:val="22"/>
      <w:szCs w:val="22"/>
    </w:rPr>
  </w:style>
  <w:style w:type="paragraph" w:styleId="Heading7">
    <w:name w:val="heading 7"/>
    <w:basedOn w:val="Normal"/>
    <w:next w:val="Normal"/>
    <w:link w:val="Heading7Char"/>
    <w:uiPriority w:val="99"/>
    <w:qFormat/>
    <w:pPr>
      <w:spacing w:before="240" w:after="60"/>
      <w:jc w:val="both"/>
      <w:outlineLvl w:val="6"/>
    </w:pPr>
    <w:rPr>
      <w:rFonts w:ascii="Arial" w:eastAsiaTheme="majorEastAsia" w:hAnsi="Arial" w:cs="Arial"/>
      <w:sz w:val="22"/>
      <w:szCs w:val="20"/>
    </w:rPr>
  </w:style>
  <w:style w:type="paragraph" w:styleId="Heading8">
    <w:name w:val="heading 8"/>
    <w:basedOn w:val="Normal"/>
    <w:next w:val="Normal"/>
    <w:link w:val="Heading8Char"/>
    <w:uiPriority w:val="99"/>
    <w:qFormat/>
    <w:pPr>
      <w:spacing w:before="240" w:after="60"/>
      <w:jc w:val="both"/>
      <w:outlineLvl w:val="7"/>
    </w:pPr>
    <w:rPr>
      <w:rFonts w:ascii="Arial" w:eastAsiaTheme="majorEastAsia" w:hAnsi="Arial" w:cs="Arial"/>
      <w:i/>
      <w:iCs/>
      <w:sz w:val="22"/>
      <w:szCs w:val="20"/>
    </w:rPr>
  </w:style>
  <w:style w:type="paragraph" w:styleId="Heading9">
    <w:name w:val="heading 9"/>
    <w:basedOn w:val="Normal"/>
    <w:next w:val="Normal"/>
    <w:link w:val="Heading9Char"/>
    <w:uiPriority w:val="99"/>
    <w:qFormat/>
    <w:pPr>
      <w:spacing w:before="240" w:after="60"/>
      <w:jc w:val="both"/>
      <w:outlineLvl w:val="8"/>
    </w:pPr>
    <w:rPr>
      <w:rFonts w:ascii="Arial" w:eastAsiaTheme="majorEastAsia"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535"/>
        <w:tab w:val="right" w:pos="9071"/>
        <w:tab w:val="right" w:pos="9921"/>
      </w:tabs>
      <w:spacing w:before="360"/>
      <w:ind w:left="-850" w:right="-850"/>
    </w:pPr>
    <w:rPr>
      <w:rFonts w:eastAsiaTheme="minorHAnsi"/>
      <w:szCs w:val="22"/>
    </w:rPr>
  </w:style>
  <w:style w:type="paragraph" w:styleId="FootnoteText">
    <w:name w:val="footnote text"/>
    <w:basedOn w:val="Normal"/>
    <w:link w:val="FootnoteTextChar"/>
    <w:pPr>
      <w:ind w:left="720" w:hanging="720"/>
      <w:jc w:val="both"/>
    </w:pPr>
    <w:rPr>
      <w:sz w:val="20"/>
      <w:szCs w:val="20"/>
    </w:rPr>
  </w:style>
  <w:style w:type="paragraph" w:styleId="TOC1">
    <w:name w:val="toc 1"/>
    <w:basedOn w:val="Normal"/>
    <w:next w:val="Normal"/>
    <w:uiPriority w:val="39"/>
    <w:qFormat/>
    <w:pPr>
      <w:spacing w:before="120" w:after="120"/>
    </w:pPr>
    <w:rPr>
      <w:b/>
      <w:bCs/>
      <w:caps/>
      <w:sz w:val="20"/>
      <w:szCs w:val="20"/>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rPr>
      <w:vertAlign w:val="superscript"/>
    </w:rPr>
  </w:style>
  <w:style w:type="paragraph" w:customStyle="1" w:styleId="Text1">
    <w:name w:val="Text 1"/>
    <w:basedOn w:val="Normal"/>
    <w:pPr>
      <w:spacing w:before="120" w:after="120"/>
      <w:ind w:left="850"/>
      <w:jc w:val="both"/>
    </w:pPr>
  </w:style>
  <w:style w:type="paragraph" w:customStyle="1" w:styleId="Tiret0">
    <w:name w:val="Tiret 0"/>
    <w:basedOn w:val="Normal"/>
    <w:pPr>
      <w:numPr>
        <w:numId w:val="1"/>
      </w:numPr>
      <w:spacing w:before="120" w:after="120"/>
      <w:jc w:val="both"/>
    </w:pPr>
  </w:style>
  <w:style w:type="paragraph" w:customStyle="1" w:styleId="ManualHeading1">
    <w:name w:val="Manual Heading 1"/>
    <w:basedOn w:val="Normal"/>
    <w:next w:val="Text1"/>
    <w:pPr>
      <w:keepNext/>
      <w:tabs>
        <w:tab w:val="left" w:pos="850"/>
      </w:tabs>
      <w:spacing w:before="240" w:after="120"/>
      <w:ind w:left="851" w:hanging="851"/>
      <w:jc w:val="both"/>
      <w:outlineLvl w:val="0"/>
    </w:pPr>
    <w:rPr>
      <w:b/>
      <w:smallCaps/>
      <w:noProof/>
    </w:rPr>
  </w:style>
  <w:style w:type="paragraph" w:customStyle="1" w:styleId="ManualHeading2">
    <w:name w:val="Manual Heading 2"/>
    <w:basedOn w:val="Normal"/>
    <w:next w:val="Normal"/>
    <w:pPr>
      <w:keepNext/>
      <w:tabs>
        <w:tab w:val="left" w:pos="850"/>
      </w:tabs>
      <w:spacing w:before="360" w:after="120"/>
      <w:ind w:left="850" w:hanging="850"/>
      <w:jc w:val="both"/>
      <w:outlineLvl w:val="1"/>
    </w:pPr>
    <w:rPr>
      <w:rFonts w:eastAsia="Calibri"/>
      <w:b/>
      <w:noProof/>
    </w:rPr>
  </w:style>
  <w:style w:type="paragraph" w:customStyle="1" w:styleId="ListDash">
    <w:name w:val="List Dash"/>
    <w:basedOn w:val="Normal"/>
    <w:link w:val="ListDashChar"/>
    <w:pPr>
      <w:spacing w:before="120" w:after="120"/>
      <w:jc w:val="both"/>
    </w:pPr>
  </w:style>
  <w:style w:type="paragraph" w:styleId="TOCHeading">
    <w:name w:val="TOC Heading"/>
    <w:basedOn w:val="Normal"/>
    <w:next w:val="Normal"/>
    <w:uiPriority w:val="39"/>
    <w:qFormat/>
    <w:pPr>
      <w:spacing w:before="120" w:after="240"/>
      <w:jc w:val="center"/>
    </w:pPr>
    <w:rPr>
      <w:b/>
      <w:sz w:val="28"/>
    </w:r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jc w:val="center"/>
    </w:pPr>
    <w:rPr>
      <w:b/>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120" w:after="120"/>
      <w:jc w:val="both"/>
    </w:pPr>
  </w:style>
  <w:style w:type="paragraph" w:styleId="Header">
    <w:name w:val="header"/>
    <w:basedOn w:val="Normal"/>
    <w:link w:val="HeaderChar"/>
    <w:unhideWhenUsed/>
    <w:pPr>
      <w:tabs>
        <w:tab w:val="center" w:pos="4535"/>
        <w:tab w:val="right" w:pos="9071"/>
      </w:tabs>
      <w:spacing w:after="120"/>
      <w:jc w:val="both"/>
    </w:pPr>
    <w:rPr>
      <w:rFonts w:eastAsiaTheme="minorHAnsi"/>
      <w:szCs w:val="22"/>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HeaderCoverPage">
    <w:name w:val="Header Cover Page"/>
    <w:basedOn w:val="Normal"/>
    <w:pPr>
      <w:tabs>
        <w:tab w:val="center" w:pos="4535"/>
        <w:tab w:val="right" w:pos="9071"/>
      </w:tabs>
      <w:spacing w:after="120"/>
      <w:jc w:val="both"/>
    </w:pPr>
  </w:style>
  <w:style w:type="paragraph" w:styleId="TOC2">
    <w:name w:val="toc 2"/>
    <w:basedOn w:val="Normal"/>
    <w:next w:val="Normal"/>
    <w:autoRedefine/>
    <w:uiPriority w:val="39"/>
    <w:qFormat/>
    <w:pPr>
      <w:tabs>
        <w:tab w:val="left" w:pos="720"/>
        <w:tab w:val="right" w:leader="dot" w:pos="9061"/>
      </w:tabs>
      <w:ind w:left="709" w:hanging="469"/>
    </w:pPr>
    <w:rPr>
      <w:smallCaps/>
      <w:sz w:val="20"/>
      <w:szCs w:val="20"/>
    </w:rPr>
  </w:style>
  <w:style w:type="paragraph" w:styleId="TOC3">
    <w:name w:val="toc 3"/>
    <w:basedOn w:val="Normal"/>
    <w:next w:val="Normal"/>
    <w:autoRedefine/>
    <w:qFormat/>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styleId="ListBullet">
    <w:name w:val="List Bullet"/>
    <w:basedOn w:val="Normal"/>
    <w:pPr>
      <w:numPr>
        <w:numId w:val="3"/>
      </w:numPr>
      <w:spacing w:before="120" w:after="120"/>
      <w:jc w:val="both"/>
    </w:pPr>
  </w:style>
  <w:style w:type="paragraph" w:customStyle="1" w:styleId="ListDash2">
    <w:name w:val="List Dash 2"/>
    <w:basedOn w:val="Normal"/>
    <w:pPr>
      <w:tabs>
        <w:tab w:val="num" w:pos="1134"/>
      </w:tabs>
      <w:spacing w:before="120" w:after="120"/>
      <w:ind w:left="1134" w:hanging="283"/>
      <w:jc w:val="both"/>
    </w:pPr>
  </w:style>
  <w:style w:type="paragraph" w:customStyle="1" w:styleId="ListBullet1">
    <w:name w:val="List Bullet 1"/>
    <w:basedOn w:val="Text1"/>
    <w:pPr>
      <w:numPr>
        <w:numId w:val="4"/>
      </w:numPr>
      <w:spacing w:before="0" w:after="240"/>
    </w:pPr>
    <w:rPr>
      <w:szCs w:val="20"/>
    </w:rPr>
  </w:style>
  <w:style w:type="paragraph" w:styleId="ListBullet2">
    <w:name w:val="List Bullet 2"/>
    <w:basedOn w:val="Normal"/>
    <w:pPr>
      <w:numPr>
        <w:numId w:val="5"/>
      </w:numPr>
      <w:spacing w:after="240"/>
      <w:jc w:val="both"/>
    </w:pPr>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customStyle="1" w:styleId="Typedudocument">
    <w:name w:val="Type du document"/>
    <w:basedOn w:val="Normal"/>
    <w:next w:val="Titreobjet"/>
    <w:pPr>
      <w:spacing w:before="360"/>
      <w:jc w:val="center"/>
    </w:pPr>
    <w:rPr>
      <w:b/>
    </w:rPr>
  </w:style>
  <w:style w:type="paragraph" w:customStyle="1" w:styleId="Titreobjet">
    <w:name w:val="Titre objet"/>
    <w:basedOn w:val="Normal"/>
    <w:next w:val="Normal"/>
    <w:pPr>
      <w:spacing w:before="360" w:after="360"/>
      <w:jc w:val="center"/>
    </w:pPr>
    <w:rPr>
      <w:b/>
    </w:rPr>
  </w:style>
  <w:style w:type="character" w:styleId="Emphasis">
    <w:name w:val="Emphasis"/>
    <w:qFormat/>
    <w:rPr>
      <w:i/>
      <w:iCs/>
    </w:rPr>
  </w:style>
  <w:style w:type="paragraph" w:styleId="NormalWeb">
    <w:name w:val="Normal (Web)"/>
    <w:basedOn w:val="Normal"/>
    <w:pPr>
      <w:spacing w:before="100" w:beforeAutospacing="1" w:after="100" w:afterAutospacing="1"/>
    </w:pPr>
  </w:style>
  <w:style w:type="paragraph" w:customStyle="1" w:styleId="Text2">
    <w:name w:val="Text 2"/>
    <w:basedOn w:val="Normal"/>
    <w:pPr>
      <w:spacing w:before="120" w:after="120"/>
      <w:ind w:left="850"/>
      <w:jc w:val="both"/>
    </w:pPr>
  </w:style>
  <w:style w:type="paragraph" w:styleId="BalloonText">
    <w:name w:val="Balloon Text"/>
    <w:basedOn w:val="Normal"/>
    <w:link w:val="BalloonTextChar"/>
    <w:semiHidden/>
    <w:rPr>
      <w:rFonts w:ascii="Tahoma" w:hAnsi="Tahoma" w:cs="Tahoma"/>
      <w:sz w:val="16"/>
      <w:szCs w:val="16"/>
    </w:rPr>
  </w:style>
  <w:style w:type="paragraph" w:styleId="ListNumber">
    <w:name w:val="List Number"/>
    <w:basedOn w:val="Normal"/>
    <w:pPr>
      <w:numPr>
        <w:numId w:val="28"/>
      </w:numPr>
      <w:spacing w:before="120" w:after="120"/>
      <w:jc w:val="both"/>
    </w:pPr>
  </w:style>
  <w:style w:type="paragraph" w:customStyle="1" w:styleId="ListNumberLevel2">
    <w:name w:val="List Number (Level 2)"/>
    <w:basedOn w:val="Normal"/>
    <w:pPr>
      <w:numPr>
        <w:ilvl w:val="1"/>
        <w:numId w:val="28"/>
      </w:numPr>
      <w:spacing w:before="120" w:after="120"/>
      <w:jc w:val="both"/>
    </w:pPr>
  </w:style>
  <w:style w:type="paragraph" w:customStyle="1" w:styleId="ListNumberLevel3">
    <w:name w:val="List Number (Level 3)"/>
    <w:basedOn w:val="Normal"/>
    <w:pPr>
      <w:numPr>
        <w:ilvl w:val="2"/>
        <w:numId w:val="28"/>
      </w:numPr>
      <w:spacing w:before="120" w:after="120"/>
      <w:jc w:val="both"/>
    </w:pPr>
  </w:style>
  <w:style w:type="paragraph" w:customStyle="1" w:styleId="ListNumberLevel4">
    <w:name w:val="List Number (Level 4)"/>
    <w:basedOn w:val="Normal"/>
    <w:pPr>
      <w:numPr>
        <w:ilvl w:val="3"/>
        <w:numId w:val="28"/>
      </w:numPr>
      <w:tabs>
        <w:tab w:val="clear" w:pos="2835"/>
        <w:tab w:val="num" w:pos="360"/>
      </w:tabs>
      <w:spacing w:before="120" w:after="120"/>
      <w:ind w:left="0" w:firstLine="0"/>
      <w:jc w:val="both"/>
    </w:pPr>
  </w:style>
  <w:style w:type="character" w:customStyle="1" w:styleId="ListDashChar">
    <w:name w:val="List Dash Char"/>
    <w:link w:val="ListDash"/>
    <w:rPr>
      <w:sz w:val="24"/>
      <w:szCs w:val="24"/>
      <w:lang w:eastAsia="fr-FR"/>
    </w:rPr>
  </w:style>
  <w:style w:type="paragraph" w:customStyle="1" w:styleId="StyleManualHeading2Italic">
    <w:name w:val="Style Manual Heading 2 + Italic"/>
    <w:basedOn w:val="ManualHeading2"/>
    <w:autoRedefine/>
    <w:pPr>
      <w:spacing w:before="160" w:after="160"/>
      <w:ind w:left="851" w:hanging="851"/>
    </w:pPr>
    <w:rPr>
      <w:bCs/>
      <w:i/>
      <w:iCs/>
    </w:rPr>
  </w:style>
  <w:style w:type="character" w:customStyle="1" w:styleId="FootnoteTextChar">
    <w:name w:val="Footnote Text Char"/>
    <w:link w:val="FootnoteText"/>
    <w:rPr>
      <w:lang w:eastAsia="fr-FR"/>
    </w:rPr>
  </w:style>
  <w:style w:type="paragraph" w:customStyle="1" w:styleId="NormalCentered">
    <w:name w:val="Normal Centered"/>
    <w:basedOn w:val="Normal"/>
    <w:uiPriority w:val="99"/>
    <w:pPr>
      <w:spacing w:before="120" w:after="120"/>
      <w:jc w:val="center"/>
    </w:pPr>
  </w:style>
  <w:style w:type="paragraph" w:customStyle="1" w:styleId="NormalRight">
    <w:name w:val="Normal Right"/>
    <w:basedOn w:val="Normal"/>
    <w:uiPriority w:val="99"/>
    <w:pPr>
      <w:spacing w:before="120" w:after="120"/>
      <w:jc w:val="right"/>
    </w:pPr>
  </w:style>
  <w:style w:type="paragraph" w:customStyle="1" w:styleId="NormalLeft">
    <w:name w:val="Normal Left"/>
    <w:basedOn w:val="Normal"/>
    <w:uiPriority w:val="99"/>
    <w:pPr>
      <w:spacing w:before="120" w:after="120"/>
    </w:pPr>
  </w:style>
  <w:style w:type="paragraph" w:styleId="Revision">
    <w:name w:val="Revision"/>
    <w:hidden/>
    <w:uiPriority w:val="99"/>
    <w:semiHidden/>
    <w:rPr>
      <w:sz w:val="24"/>
      <w:szCs w:val="24"/>
    </w:rPr>
  </w:style>
  <w:style w:type="paragraph" w:customStyle="1" w:styleId="Statut">
    <w:name w:val="Statut"/>
    <w:basedOn w:val="Normal"/>
    <w:next w:val="Typedudocument"/>
    <w:pPr>
      <w:spacing w:before="360"/>
      <w:jc w:val="center"/>
    </w:pPr>
    <w:rPr>
      <w:rFonts w:eastAsia="Calibri"/>
      <w:szCs w:val="22"/>
    </w:rPr>
  </w:style>
  <w:style w:type="paragraph" w:customStyle="1" w:styleId="Footnoter">
    <w:name w:val="Footnote r"/>
    <w:basedOn w:val="Normal"/>
    <w:pPr>
      <w:shd w:val="clear" w:color="auto" w:fill="F2F8FB"/>
      <w:spacing w:before="100" w:beforeAutospacing="1" w:after="100" w:afterAutospacing="1"/>
    </w:pPr>
    <w:rPr>
      <w:szCs w:val="22"/>
    </w:rPr>
  </w:style>
  <w:style w:type="character" w:customStyle="1" w:styleId="hps">
    <w:name w:val="hps"/>
  </w:style>
  <w:style w:type="paragraph" w:customStyle="1" w:styleId="Point0number">
    <w:name w:val="Point 0 (number)"/>
    <w:basedOn w:val="Normal"/>
    <w:pPr>
      <w:numPr>
        <w:numId w:val="7"/>
      </w:numPr>
      <w:spacing w:before="120" w:after="120"/>
      <w:jc w:val="both"/>
    </w:pPr>
    <w:rPr>
      <w:szCs w:val="22"/>
    </w:rPr>
  </w:style>
  <w:style w:type="paragraph" w:customStyle="1" w:styleId="Point1number">
    <w:name w:val="Point 1 (number)"/>
    <w:basedOn w:val="Normal"/>
    <w:pPr>
      <w:numPr>
        <w:ilvl w:val="2"/>
        <w:numId w:val="7"/>
      </w:numPr>
      <w:spacing w:before="120" w:after="120"/>
      <w:jc w:val="both"/>
    </w:pPr>
    <w:rPr>
      <w:szCs w:val="22"/>
    </w:rPr>
  </w:style>
  <w:style w:type="paragraph" w:customStyle="1" w:styleId="Point2number">
    <w:name w:val="Point 2 (number)"/>
    <w:basedOn w:val="Normal"/>
    <w:pPr>
      <w:numPr>
        <w:ilvl w:val="4"/>
        <w:numId w:val="7"/>
      </w:numPr>
      <w:spacing w:before="120" w:after="120"/>
      <w:jc w:val="both"/>
    </w:pPr>
    <w:rPr>
      <w:szCs w:val="22"/>
    </w:rPr>
  </w:style>
  <w:style w:type="paragraph" w:customStyle="1" w:styleId="Point3number">
    <w:name w:val="Point 3 (number)"/>
    <w:basedOn w:val="Normal"/>
    <w:pPr>
      <w:numPr>
        <w:ilvl w:val="6"/>
        <w:numId w:val="7"/>
      </w:numPr>
      <w:spacing w:before="120" w:after="120"/>
      <w:jc w:val="both"/>
    </w:pPr>
    <w:rPr>
      <w:szCs w:val="22"/>
    </w:rPr>
  </w:style>
  <w:style w:type="paragraph" w:customStyle="1" w:styleId="Point0letter">
    <w:name w:val="Point 0 (letter)"/>
    <w:basedOn w:val="Normal"/>
    <w:pPr>
      <w:numPr>
        <w:ilvl w:val="1"/>
        <w:numId w:val="7"/>
      </w:numPr>
      <w:spacing w:before="120" w:after="120"/>
      <w:jc w:val="both"/>
    </w:pPr>
    <w:rPr>
      <w:szCs w:val="22"/>
    </w:rPr>
  </w:style>
  <w:style w:type="paragraph" w:customStyle="1" w:styleId="Point1letter">
    <w:name w:val="Point 1 (letter)"/>
    <w:basedOn w:val="Normal"/>
    <w:pPr>
      <w:numPr>
        <w:ilvl w:val="3"/>
        <w:numId w:val="7"/>
      </w:numPr>
      <w:spacing w:before="120" w:after="120"/>
      <w:jc w:val="both"/>
    </w:pPr>
    <w:rPr>
      <w:szCs w:val="22"/>
    </w:rPr>
  </w:style>
  <w:style w:type="paragraph" w:customStyle="1" w:styleId="Point2letter">
    <w:name w:val="Point 2 (letter)"/>
    <w:basedOn w:val="Normal"/>
    <w:pPr>
      <w:numPr>
        <w:ilvl w:val="5"/>
        <w:numId w:val="7"/>
      </w:numPr>
      <w:spacing w:before="120" w:after="120"/>
      <w:jc w:val="both"/>
    </w:pPr>
    <w:rPr>
      <w:szCs w:val="22"/>
    </w:rPr>
  </w:style>
  <w:style w:type="paragraph" w:customStyle="1" w:styleId="Point3letter">
    <w:name w:val="Point 3 (letter)"/>
    <w:basedOn w:val="Normal"/>
    <w:pPr>
      <w:numPr>
        <w:ilvl w:val="7"/>
        <w:numId w:val="7"/>
      </w:numPr>
      <w:spacing w:before="120" w:after="120"/>
      <w:jc w:val="both"/>
    </w:pPr>
    <w:rPr>
      <w:szCs w:val="22"/>
    </w:rPr>
  </w:style>
  <w:style w:type="paragraph" w:customStyle="1" w:styleId="Point4letter">
    <w:name w:val="Point 4 (letter)"/>
    <w:basedOn w:val="Normal"/>
    <w:pPr>
      <w:numPr>
        <w:ilvl w:val="8"/>
        <w:numId w:val="7"/>
      </w:numPr>
      <w:spacing w:before="120" w:after="120"/>
      <w:jc w:val="both"/>
    </w:pPr>
    <w:rPr>
      <w:szCs w:val="22"/>
    </w:rPr>
  </w:style>
  <w:style w:type="paragraph" w:customStyle="1" w:styleId="Tiret2">
    <w:name w:val="Tiret 2"/>
    <w:basedOn w:val="Normal"/>
    <w:pPr>
      <w:numPr>
        <w:numId w:val="8"/>
      </w:numPr>
      <w:spacing w:before="120" w:after="120"/>
      <w:jc w:val="both"/>
    </w:pPr>
    <w:rPr>
      <w:szCs w:val="22"/>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spacing w:after="200" w:line="276" w:lineRule="auto"/>
      <w:ind w:left="720"/>
      <w:contextualSpacing/>
    </w:pPr>
    <w:rPr>
      <w:rFonts w:ascii="Calibri" w:eastAsia="MS Mincho" w:hAnsi="Calibri"/>
      <w:sz w:val="22"/>
      <w:szCs w:val="22"/>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Calibri" w:eastAsia="MS Mincho" w:hAnsi="Calibri"/>
      <w:sz w:val="22"/>
      <w:szCs w:val="22"/>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styleId="ListNumber5">
    <w:name w:val="List Number 5"/>
    <w:basedOn w:val="Normal"/>
    <w:pPr>
      <w:numPr>
        <w:numId w:val="9"/>
      </w:numPr>
      <w:contextualSpacing/>
    </w:pPr>
  </w:style>
  <w:style w:type="character" w:styleId="Strong">
    <w:name w:val="Strong"/>
    <w:basedOn w:val="DefaultParagraphFont"/>
    <w:qFormat/>
    <w:rPr>
      <w:b/>
      <w:bCs/>
    </w:rPr>
  </w:style>
  <w:style w:type="paragraph" w:styleId="ListBullet3">
    <w:name w:val="List Bullet 3"/>
    <w:basedOn w:val="Normal"/>
    <w:uiPriority w:val="99"/>
    <w:unhideWhenUsed/>
    <w:pPr>
      <w:numPr>
        <w:numId w:val="10"/>
      </w:numPr>
      <w:spacing w:before="120" w:after="120"/>
      <w:contextualSpacing/>
      <w:jc w:val="both"/>
    </w:pPr>
    <w:rPr>
      <w:rFonts w:eastAsia="Calibri"/>
      <w:szCs w:val="22"/>
    </w:rPr>
  </w:style>
  <w:style w:type="paragraph" w:customStyle="1" w:styleId="Default">
    <w:name w:val="Default"/>
    <w:pPr>
      <w:autoSpaceDE w:val="0"/>
      <w:autoSpaceDN w:val="0"/>
      <w:adjustRightInd w:val="0"/>
    </w:pPr>
    <w:rPr>
      <w:color w:val="000000"/>
      <w:sz w:val="24"/>
      <w:szCs w:val="24"/>
    </w:rPr>
  </w:style>
  <w:style w:type="paragraph" w:customStyle="1" w:styleId="CM4">
    <w:name w:val="CM4"/>
    <w:basedOn w:val="Normal"/>
    <w:next w:val="Normal"/>
    <w:uiPriority w:val="99"/>
    <w:pPr>
      <w:autoSpaceDE w:val="0"/>
      <w:autoSpaceDN w:val="0"/>
      <w:adjustRightInd w:val="0"/>
    </w:pPr>
    <w:rPr>
      <w:rFonts w:ascii="EUAlbertina" w:hAnsi="EUAlbertina"/>
    </w:rPr>
  </w:style>
  <w:style w:type="character" w:customStyle="1" w:styleId="FooterChar">
    <w:name w:val="Footer Char"/>
    <w:basedOn w:val="DefaultParagraphFont"/>
    <w:link w:val="Footer"/>
    <w:rPr>
      <w:rFonts w:eastAsiaTheme="minorHAnsi"/>
      <w:sz w:val="24"/>
      <w:szCs w:val="22"/>
      <w:lang w:eastAsia="fr-FR"/>
    </w:rPr>
  </w:style>
  <w:style w:type="paragraph" w:customStyle="1" w:styleId="Declassification">
    <w:name w:val="Declassification"/>
    <w:basedOn w:val="Normal"/>
    <w:next w:val="Normal"/>
    <w:pPr>
      <w:jc w:val="both"/>
    </w:pPr>
    <w:rPr>
      <w:rFonts w:eastAsiaTheme="minorHAnsi"/>
      <w:szCs w:val="22"/>
    </w:rPr>
  </w:style>
  <w:style w:type="character" w:customStyle="1" w:styleId="HeaderChar">
    <w:name w:val="Header Char"/>
    <w:basedOn w:val="DefaultParagraphFont"/>
    <w:link w:val="Header"/>
    <w:rPr>
      <w:rFonts w:eastAsiaTheme="minorHAnsi"/>
      <w:sz w:val="24"/>
      <w:szCs w:val="22"/>
      <w:lang w:eastAsia="fr-FR"/>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customStyle="1" w:styleId="doc-ti">
    <w:name w:val="doc-ti"/>
    <w:basedOn w:val="Normal"/>
    <w:pPr>
      <w:spacing w:before="240" w:after="120"/>
      <w:jc w:val="center"/>
    </w:pPr>
    <w:rPr>
      <w:b/>
      <w:bCs/>
    </w:rPr>
  </w:style>
  <w:style w:type="character" w:customStyle="1" w:styleId="Heading5Char">
    <w:name w:val="Heading 5 Char"/>
    <w:basedOn w:val="DefaultParagraphFont"/>
    <w:link w:val="Heading5"/>
    <w:uiPriority w:val="99"/>
    <w:rPr>
      <w:rFonts w:ascii="Arial" w:eastAsiaTheme="majorEastAsia" w:hAnsi="Arial" w:cs="Arial"/>
      <w:sz w:val="22"/>
      <w:szCs w:val="22"/>
      <w:lang w:eastAsia="fr-FR"/>
    </w:rPr>
  </w:style>
  <w:style w:type="character" w:customStyle="1" w:styleId="Heading6Char">
    <w:name w:val="Heading 6 Char"/>
    <w:basedOn w:val="DefaultParagraphFont"/>
    <w:link w:val="Heading6"/>
    <w:uiPriority w:val="99"/>
    <w:rPr>
      <w:rFonts w:ascii="Arial" w:eastAsiaTheme="majorEastAsia" w:hAnsi="Arial" w:cs="Arial"/>
      <w:i/>
      <w:iCs/>
      <w:sz w:val="22"/>
      <w:szCs w:val="22"/>
      <w:lang w:eastAsia="fr-FR"/>
    </w:rPr>
  </w:style>
  <w:style w:type="character" w:customStyle="1" w:styleId="Heading7Char">
    <w:name w:val="Heading 7 Char"/>
    <w:basedOn w:val="DefaultParagraphFont"/>
    <w:link w:val="Heading7"/>
    <w:uiPriority w:val="99"/>
    <w:rPr>
      <w:rFonts w:ascii="Arial" w:eastAsiaTheme="majorEastAsia" w:hAnsi="Arial" w:cs="Arial"/>
      <w:sz w:val="22"/>
      <w:lang w:eastAsia="fr-FR"/>
    </w:rPr>
  </w:style>
  <w:style w:type="character" w:customStyle="1" w:styleId="Heading8Char">
    <w:name w:val="Heading 8 Char"/>
    <w:basedOn w:val="DefaultParagraphFont"/>
    <w:link w:val="Heading8"/>
    <w:uiPriority w:val="99"/>
    <w:rPr>
      <w:rFonts w:ascii="Arial" w:eastAsiaTheme="majorEastAsia" w:hAnsi="Arial" w:cs="Arial"/>
      <w:i/>
      <w:iCs/>
      <w:sz w:val="22"/>
      <w:lang w:eastAsia="fr-FR"/>
    </w:rPr>
  </w:style>
  <w:style w:type="character" w:customStyle="1" w:styleId="Heading9Char">
    <w:name w:val="Heading 9 Char"/>
    <w:basedOn w:val="DefaultParagraphFont"/>
    <w:link w:val="Heading9"/>
    <w:uiPriority w:val="99"/>
    <w:rPr>
      <w:rFonts w:ascii="Arial" w:eastAsiaTheme="majorEastAsia" w:hAnsi="Arial" w:cs="Arial"/>
      <w:i/>
      <w:iCs/>
      <w:sz w:val="18"/>
      <w:szCs w:val="18"/>
      <w:lang w:eastAsia="fr-FR"/>
    </w:rPr>
  </w:style>
  <w:style w:type="character" w:customStyle="1" w:styleId="SubtleEmphasis1">
    <w:name w:val="Subtle Emphasis1"/>
    <w:rPr>
      <w:i/>
      <w:iCs/>
      <w:color w:val="808080"/>
    </w:rPr>
  </w:style>
  <w:style w:type="character" w:customStyle="1" w:styleId="IntenseEmphasis1">
    <w:name w:val="Intense Emphasis1"/>
    <w:rPr>
      <w:b/>
      <w:bCs/>
      <w:i/>
      <w:iCs/>
      <w:color w:val="4F81BD"/>
    </w:rPr>
  </w:style>
  <w:style w:type="character" w:customStyle="1" w:styleId="SubtleReference1">
    <w:name w:val="Subtle Reference1"/>
    <w:rPr>
      <w:smallCaps/>
      <w:color w:val="C0504D"/>
      <w:u w:val="single"/>
    </w:rPr>
  </w:style>
  <w:style w:type="character" w:customStyle="1" w:styleId="IntenseReference1">
    <w:name w:val="Intense Reference1"/>
    <w:rPr>
      <w:b/>
      <w:bCs/>
      <w:smallCaps/>
      <w:color w:val="C0504D"/>
      <w:spacing w:val="5"/>
      <w:u w:val="single"/>
    </w:rPr>
  </w:style>
  <w:style w:type="character" w:customStyle="1" w:styleId="BookTitle1">
    <w:name w:val="Book Title1"/>
    <w:rPr>
      <w:b/>
      <w:bCs/>
      <w:smallCaps/>
      <w:spacing w:val="5"/>
    </w:rPr>
  </w:style>
  <w:style w:type="paragraph" w:customStyle="1" w:styleId="TOCHeading1">
    <w:name w:val="TOC Heading1"/>
    <w:basedOn w:val="Heading1"/>
    <w:next w:val="Normal"/>
    <w:uiPriority w:val="39"/>
    <w:pPr>
      <w:keepNext w:val="0"/>
      <w:keepLines/>
      <w:spacing w:before="480" w:after="0"/>
      <w:jc w:val="both"/>
      <w:outlineLvl w:val="9"/>
    </w:pPr>
    <w:rPr>
      <w:rFonts w:ascii="Cambria" w:hAnsi="Cambria" w:cs="Times New Roman"/>
      <w:color w:val="365F91"/>
      <w:kern w:val="0"/>
      <w:sz w:val="28"/>
      <w:szCs w:val="28"/>
    </w:rPr>
  </w:style>
  <w:style w:type="character" w:customStyle="1" w:styleId="Heading1Char">
    <w:name w:val="Heading 1 Char"/>
    <w:basedOn w:val="DefaultParagraphFont"/>
    <w:link w:val="Heading1"/>
    <w:rPr>
      <w:rFonts w:ascii="Arial" w:hAnsi="Arial" w:cs="Arial"/>
      <w:b/>
      <w:bCs/>
      <w:kern w:val="32"/>
      <w:sz w:val="32"/>
      <w:szCs w:val="32"/>
    </w:rPr>
  </w:style>
  <w:style w:type="character" w:customStyle="1" w:styleId="SubtleEmphasis2">
    <w:name w:val="Subtle Emphasis2"/>
    <w:rPr>
      <w:i/>
      <w:iCs/>
      <w:color w:val="808080"/>
    </w:rPr>
  </w:style>
  <w:style w:type="character" w:customStyle="1" w:styleId="IntenseEmphasis2">
    <w:name w:val="Intense Emphasis2"/>
    <w:rPr>
      <w:b/>
      <w:bCs/>
      <w:i/>
      <w:iCs/>
      <w:color w:val="4F81BD"/>
    </w:rPr>
  </w:style>
  <w:style w:type="character" w:customStyle="1" w:styleId="SubtleReference2">
    <w:name w:val="Subtle Reference2"/>
    <w:rPr>
      <w:smallCaps/>
      <w:color w:val="C0504D"/>
      <w:u w:val="single"/>
    </w:rPr>
  </w:style>
  <w:style w:type="character" w:customStyle="1" w:styleId="IntenseReference2">
    <w:name w:val="Intense Reference2"/>
    <w:rPr>
      <w:b/>
      <w:bCs/>
      <w:smallCaps/>
      <w:color w:val="C0504D"/>
      <w:spacing w:val="5"/>
      <w:u w:val="single"/>
    </w:rPr>
  </w:style>
  <w:style w:type="character" w:customStyle="1" w:styleId="BookTitle2">
    <w:name w:val="Book Title2"/>
    <w:rPr>
      <w:b/>
      <w:bCs/>
      <w:smallCaps/>
      <w:spacing w:val="5"/>
    </w:rPr>
  </w:style>
  <w:style w:type="paragraph" w:customStyle="1" w:styleId="TOCHeading2">
    <w:name w:val="TOC Heading2"/>
    <w:basedOn w:val="Heading1"/>
    <w:next w:val="Normal"/>
    <w:uiPriority w:val="39"/>
    <w:pPr>
      <w:keepNext w:val="0"/>
      <w:keepLines/>
      <w:spacing w:before="480" w:after="0"/>
      <w:jc w:val="both"/>
      <w:outlineLvl w:val="9"/>
    </w:pPr>
    <w:rPr>
      <w:rFonts w:ascii="Cambria" w:hAnsi="Cambria" w:cs="Times New Roman"/>
      <w:color w:val="365F91"/>
      <w:kern w:val="0"/>
      <w:sz w:val="28"/>
      <w:szCs w:val="28"/>
    </w:rPr>
  </w:style>
  <w:style w:type="character" w:customStyle="1" w:styleId="Heading2Char">
    <w:name w:val="Heading 2 Char"/>
    <w:aliases w:val="Char Char, Char Char,Abschnitt Char"/>
    <w:link w:val="Heading2"/>
    <w:rPr>
      <w:rFonts w:ascii="Arial" w:hAnsi="Arial" w:cs="Arial"/>
      <w:b/>
      <w:bCs/>
      <w:i/>
      <w:iCs/>
      <w:sz w:val="28"/>
      <w:szCs w:val="28"/>
    </w:rPr>
  </w:style>
  <w:style w:type="character" w:customStyle="1" w:styleId="Heading3Char">
    <w:name w:val="Heading 3 Char"/>
    <w:aliases w:val="Heading 3 Auto Char"/>
    <w:basedOn w:val="DefaultParagraphFont"/>
    <w:link w:val="Heading3"/>
    <w:rPr>
      <w:rFonts w:ascii="Arial" w:hAnsi="Arial" w:cs="Arial"/>
      <w:b/>
      <w:bCs/>
      <w:i/>
      <w:sz w:val="26"/>
      <w:szCs w:val="26"/>
    </w:rPr>
  </w:style>
  <w:style w:type="character" w:customStyle="1" w:styleId="Heading4Char">
    <w:name w:val="Heading 4 Char"/>
    <w:basedOn w:val="DefaultParagraphFont"/>
    <w:link w:val="Heading4"/>
    <w:rPr>
      <w:b/>
      <w:bCs/>
      <w:sz w:val="24"/>
      <w:szCs w:val="28"/>
      <w:lang w:eastAsia="fr-FR"/>
    </w:rPr>
  </w:style>
  <w:style w:type="paragraph" w:styleId="Caption">
    <w:name w:val="caption"/>
    <w:basedOn w:val="Normal"/>
    <w:next w:val="Normal"/>
    <w:semiHidden/>
    <w:unhideWhenUsed/>
    <w:qFormat/>
    <w:pPr>
      <w:spacing w:after="200"/>
    </w:pPr>
    <w:rPr>
      <w:b/>
      <w:bCs/>
      <w:color w:val="4F81BD" w:themeColor="accent1"/>
      <w:sz w:val="18"/>
      <w:szCs w:val="18"/>
    </w:rPr>
  </w:style>
  <w:style w:type="paragraph" w:styleId="Title">
    <w:name w:val="Title"/>
    <w:basedOn w:val="Normal"/>
    <w:link w:val="TitleChar"/>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fr-FR"/>
    </w:rPr>
  </w:style>
  <w:style w:type="paragraph" w:styleId="Subtitle">
    <w:name w:val="Subtitle"/>
    <w:basedOn w:val="Normal"/>
    <w:link w:val="SubtitleChar"/>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fr-FR"/>
    </w:rPr>
  </w:style>
  <w:style w:type="paragraph" w:customStyle="1" w:styleId="agbullets">
    <w:name w:val="ag_bullets"/>
    <w:basedOn w:val="Normal"/>
    <w:qFormat/>
    <w:pPr>
      <w:numPr>
        <w:numId w:val="48"/>
      </w:numPr>
    </w:pPr>
    <w:rPr>
      <w:sz w:val="22"/>
      <w:szCs w:val="20"/>
    </w:rPr>
  </w:style>
  <w:style w:type="paragraph" w:customStyle="1" w:styleId="agtabbullets">
    <w:name w:val="ag_tab_bullets"/>
    <w:basedOn w:val="Normal"/>
    <w:qFormat/>
    <w:pPr>
      <w:numPr>
        <w:numId w:val="49"/>
      </w:numPr>
      <w:jc w:val="both"/>
    </w:pPr>
    <w:rPr>
      <w:sz w:val="18"/>
      <w:szCs w:val="20"/>
    </w:rPr>
  </w:style>
  <w:style w:type="paragraph" w:customStyle="1" w:styleId="agfootnote">
    <w:name w:val="ag_footnote"/>
    <w:basedOn w:val="Normal"/>
    <w:qFormat/>
    <w:pPr>
      <w:spacing w:after="120"/>
      <w:jc w:val="both"/>
    </w:pPr>
    <w:rPr>
      <w:sz w:val="16"/>
      <w:szCs w:val="20"/>
    </w:rPr>
  </w:style>
  <w:style w:type="numbering" w:customStyle="1" w:styleId="NoList1">
    <w:name w:val="No List1"/>
    <w:next w:val="NoList"/>
    <w:uiPriority w:val="99"/>
    <w:semiHidden/>
    <w:unhideWhenUsed/>
  </w:style>
  <w:style w:type="character" w:customStyle="1" w:styleId="BalloonTextChar">
    <w:name w:val="Balloon Text Char"/>
    <w:basedOn w:val="DefaultParagraphFont"/>
    <w:link w:val="BalloonText"/>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5918">
      <w:bodyDiv w:val="1"/>
      <w:marLeft w:val="0"/>
      <w:marRight w:val="0"/>
      <w:marTop w:val="0"/>
      <w:marBottom w:val="0"/>
      <w:divBdr>
        <w:top w:val="none" w:sz="0" w:space="0" w:color="auto"/>
        <w:left w:val="none" w:sz="0" w:space="0" w:color="auto"/>
        <w:bottom w:val="none" w:sz="0" w:space="0" w:color="auto"/>
        <w:right w:val="none" w:sz="0" w:space="0" w:color="auto"/>
      </w:divBdr>
    </w:div>
    <w:div w:id="53091381">
      <w:bodyDiv w:val="1"/>
      <w:marLeft w:val="0"/>
      <w:marRight w:val="0"/>
      <w:marTop w:val="0"/>
      <w:marBottom w:val="0"/>
      <w:divBdr>
        <w:top w:val="none" w:sz="0" w:space="0" w:color="auto"/>
        <w:left w:val="none" w:sz="0" w:space="0" w:color="auto"/>
        <w:bottom w:val="none" w:sz="0" w:space="0" w:color="auto"/>
        <w:right w:val="none" w:sz="0" w:space="0" w:color="auto"/>
      </w:divBdr>
    </w:div>
    <w:div w:id="65807294">
      <w:bodyDiv w:val="1"/>
      <w:marLeft w:val="0"/>
      <w:marRight w:val="0"/>
      <w:marTop w:val="0"/>
      <w:marBottom w:val="0"/>
      <w:divBdr>
        <w:top w:val="none" w:sz="0" w:space="0" w:color="auto"/>
        <w:left w:val="none" w:sz="0" w:space="0" w:color="auto"/>
        <w:bottom w:val="none" w:sz="0" w:space="0" w:color="auto"/>
        <w:right w:val="none" w:sz="0" w:space="0" w:color="auto"/>
      </w:divBdr>
    </w:div>
    <w:div w:id="77798609">
      <w:bodyDiv w:val="1"/>
      <w:marLeft w:val="0"/>
      <w:marRight w:val="0"/>
      <w:marTop w:val="0"/>
      <w:marBottom w:val="0"/>
      <w:divBdr>
        <w:top w:val="none" w:sz="0" w:space="0" w:color="auto"/>
        <w:left w:val="none" w:sz="0" w:space="0" w:color="auto"/>
        <w:bottom w:val="none" w:sz="0" w:space="0" w:color="auto"/>
        <w:right w:val="none" w:sz="0" w:space="0" w:color="auto"/>
      </w:divBdr>
    </w:div>
    <w:div w:id="127286090">
      <w:bodyDiv w:val="1"/>
      <w:marLeft w:val="0"/>
      <w:marRight w:val="0"/>
      <w:marTop w:val="0"/>
      <w:marBottom w:val="0"/>
      <w:divBdr>
        <w:top w:val="none" w:sz="0" w:space="0" w:color="auto"/>
        <w:left w:val="none" w:sz="0" w:space="0" w:color="auto"/>
        <w:bottom w:val="none" w:sz="0" w:space="0" w:color="auto"/>
        <w:right w:val="none" w:sz="0" w:space="0" w:color="auto"/>
      </w:divBdr>
      <w:divsChild>
        <w:div w:id="1952855758">
          <w:marLeft w:val="0"/>
          <w:marRight w:val="0"/>
          <w:marTop w:val="0"/>
          <w:marBottom w:val="0"/>
          <w:divBdr>
            <w:top w:val="none" w:sz="0" w:space="0" w:color="auto"/>
            <w:left w:val="none" w:sz="0" w:space="0" w:color="auto"/>
            <w:bottom w:val="none" w:sz="0" w:space="0" w:color="auto"/>
            <w:right w:val="none" w:sz="0" w:space="0" w:color="auto"/>
          </w:divBdr>
          <w:divsChild>
            <w:div w:id="1936203364">
              <w:marLeft w:val="0"/>
              <w:marRight w:val="0"/>
              <w:marTop w:val="0"/>
              <w:marBottom w:val="0"/>
              <w:divBdr>
                <w:top w:val="none" w:sz="0" w:space="0" w:color="auto"/>
                <w:left w:val="none" w:sz="0" w:space="0" w:color="auto"/>
                <w:bottom w:val="none" w:sz="0" w:space="0" w:color="auto"/>
                <w:right w:val="none" w:sz="0" w:space="0" w:color="auto"/>
              </w:divBdr>
              <w:divsChild>
                <w:div w:id="1099984863">
                  <w:marLeft w:val="0"/>
                  <w:marRight w:val="0"/>
                  <w:marTop w:val="0"/>
                  <w:marBottom w:val="0"/>
                  <w:divBdr>
                    <w:top w:val="none" w:sz="0" w:space="0" w:color="auto"/>
                    <w:left w:val="none" w:sz="0" w:space="0" w:color="auto"/>
                    <w:bottom w:val="none" w:sz="0" w:space="0" w:color="auto"/>
                    <w:right w:val="none" w:sz="0" w:space="0" w:color="auto"/>
                  </w:divBdr>
                  <w:divsChild>
                    <w:div w:id="1203328141">
                      <w:marLeft w:val="1"/>
                      <w:marRight w:val="1"/>
                      <w:marTop w:val="0"/>
                      <w:marBottom w:val="0"/>
                      <w:divBdr>
                        <w:top w:val="none" w:sz="0" w:space="0" w:color="auto"/>
                        <w:left w:val="none" w:sz="0" w:space="0" w:color="auto"/>
                        <w:bottom w:val="none" w:sz="0" w:space="0" w:color="auto"/>
                        <w:right w:val="none" w:sz="0" w:space="0" w:color="auto"/>
                      </w:divBdr>
                      <w:divsChild>
                        <w:div w:id="1936546657">
                          <w:marLeft w:val="0"/>
                          <w:marRight w:val="0"/>
                          <w:marTop w:val="0"/>
                          <w:marBottom w:val="0"/>
                          <w:divBdr>
                            <w:top w:val="none" w:sz="0" w:space="0" w:color="auto"/>
                            <w:left w:val="none" w:sz="0" w:space="0" w:color="auto"/>
                            <w:bottom w:val="none" w:sz="0" w:space="0" w:color="auto"/>
                            <w:right w:val="none" w:sz="0" w:space="0" w:color="auto"/>
                          </w:divBdr>
                          <w:divsChild>
                            <w:div w:id="1022240160">
                              <w:marLeft w:val="0"/>
                              <w:marRight w:val="0"/>
                              <w:marTop w:val="0"/>
                              <w:marBottom w:val="360"/>
                              <w:divBdr>
                                <w:top w:val="none" w:sz="0" w:space="0" w:color="auto"/>
                                <w:left w:val="none" w:sz="0" w:space="0" w:color="auto"/>
                                <w:bottom w:val="none" w:sz="0" w:space="0" w:color="auto"/>
                                <w:right w:val="none" w:sz="0" w:space="0" w:color="auto"/>
                              </w:divBdr>
                              <w:divsChild>
                                <w:div w:id="1375350455">
                                  <w:marLeft w:val="0"/>
                                  <w:marRight w:val="0"/>
                                  <w:marTop w:val="0"/>
                                  <w:marBottom w:val="0"/>
                                  <w:divBdr>
                                    <w:top w:val="none" w:sz="0" w:space="0" w:color="auto"/>
                                    <w:left w:val="none" w:sz="0" w:space="0" w:color="auto"/>
                                    <w:bottom w:val="none" w:sz="0" w:space="0" w:color="auto"/>
                                    <w:right w:val="none" w:sz="0" w:space="0" w:color="auto"/>
                                  </w:divBdr>
                                  <w:divsChild>
                                    <w:div w:id="15473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3713">
      <w:bodyDiv w:val="1"/>
      <w:marLeft w:val="0"/>
      <w:marRight w:val="0"/>
      <w:marTop w:val="0"/>
      <w:marBottom w:val="0"/>
      <w:divBdr>
        <w:top w:val="none" w:sz="0" w:space="0" w:color="auto"/>
        <w:left w:val="none" w:sz="0" w:space="0" w:color="auto"/>
        <w:bottom w:val="none" w:sz="0" w:space="0" w:color="auto"/>
        <w:right w:val="none" w:sz="0" w:space="0" w:color="auto"/>
      </w:divBdr>
    </w:div>
    <w:div w:id="168838071">
      <w:bodyDiv w:val="1"/>
      <w:marLeft w:val="0"/>
      <w:marRight w:val="0"/>
      <w:marTop w:val="0"/>
      <w:marBottom w:val="0"/>
      <w:divBdr>
        <w:top w:val="none" w:sz="0" w:space="0" w:color="auto"/>
        <w:left w:val="none" w:sz="0" w:space="0" w:color="auto"/>
        <w:bottom w:val="none" w:sz="0" w:space="0" w:color="auto"/>
        <w:right w:val="none" w:sz="0" w:space="0" w:color="auto"/>
      </w:divBdr>
    </w:div>
    <w:div w:id="203250459">
      <w:bodyDiv w:val="1"/>
      <w:marLeft w:val="0"/>
      <w:marRight w:val="0"/>
      <w:marTop w:val="0"/>
      <w:marBottom w:val="0"/>
      <w:divBdr>
        <w:top w:val="none" w:sz="0" w:space="0" w:color="auto"/>
        <w:left w:val="none" w:sz="0" w:space="0" w:color="auto"/>
        <w:bottom w:val="none" w:sz="0" w:space="0" w:color="auto"/>
        <w:right w:val="none" w:sz="0" w:space="0" w:color="auto"/>
      </w:divBdr>
    </w:div>
    <w:div w:id="217861079">
      <w:bodyDiv w:val="1"/>
      <w:marLeft w:val="0"/>
      <w:marRight w:val="0"/>
      <w:marTop w:val="0"/>
      <w:marBottom w:val="0"/>
      <w:divBdr>
        <w:top w:val="none" w:sz="0" w:space="0" w:color="auto"/>
        <w:left w:val="none" w:sz="0" w:space="0" w:color="auto"/>
        <w:bottom w:val="none" w:sz="0" w:space="0" w:color="auto"/>
        <w:right w:val="none" w:sz="0" w:space="0" w:color="auto"/>
      </w:divBdr>
    </w:div>
    <w:div w:id="238367012">
      <w:bodyDiv w:val="1"/>
      <w:marLeft w:val="0"/>
      <w:marRight w:val="0"/>
      <w:marTop w:val="0"/>
      <w:marBottom w:val="0"/>
      <w:divBdr>
        <w:top w:val="none" w:sz="0" w:space="0" w:color="auto"/>
        <w:left w:val="none" w:sz="0" w:space="0" w:color="auto"/>
        <w:bottom w:val="none" w:sz="0" w:space="0" w:color="auto"/>
        <w:right w:val="none" w:sz="0" w:space="0" w:color="auto"/>
      </w:divBdr>
    </w:div>
    <w:div w:id="280889594">
      <w:bodyDiv w:val="1"/>
      <w:marLeft w:val="0"/>
      <w:marRight w:val="0"/>
      <w:marTop w:val="0"/>
      <w:marBottom w:val="0"/>
      <w:divBdr>
        <w:top w:val="none" w:sz="0" w:space="0" w:color="auto"/>
        <w:left w:val="none" w:sz="0" w:space="0" w:color="auto"/>
        <w:bottom w:val="none" w:sz="0" w:space="0" w:color="auto"/>
        <w:right w:val="none" w:sz="0" w:space="0" w:color="auto"/>
      </w:divBdr>
    </w:div>
    <w:div w:id="330136016">
      <w:bodyDiv w:val="1"/>
      <w:marLeft w:val="0"/>
      <w:marRight w:val="0"/>
      <w:marTop w:val="0"/>
      <w:marBottom w:val="0"/>
      <w:divBdr>
        <w:top w:val="none" w:sz="0" w:space="0" w:color="auto"/>
        <w:left w:val="none" w:sz="0" w:space="0" w:color="auto"/>
        <w:bottom w:val="none" w:sz="0" w:space="0" w:color="auto"/>
        <w:right w:val="none" w:sz="0" w:space="0" w:color="auto"/>
      </w:divBdr>
    </w:div>
    <w:div w:id="354623949">
      <w:bodyDiv w:val="1"/>
      <w:marLeft w:val="0"/>
      <w:marRight w:val="0"/>
      <w:marTop w:val="0"/>
      <w:marBottom w:val="0"/>
      <w:divBdr>
        <w:top w:val="none" w:sz="0" w:space="0" w:color="auto"/>
        <w:left w:val="none" w:sz="0" w:space="0" w:color="auto"/>
        <w:bottom w:val="none" w:sz="0" w:space="0" w:color="auto"/>
        <w:right w:val="none" w:sz="0" w:space="0" w:color="auto"/>
      </w:divBdr>
    </w:div>
    <w:div w:id="369914543">
      <w:bodyDiv w:val="1"/>
      <w:marLeft w:val="0"/>
      <w:marRight w:val="0"/>
      <w:marTop w:val="0"/>
      <w:marBottom w:val="0"/>
      <w:divBdr>
        <w:top w:val="none" w:sz="0" w:space="0" w:color="auto"/>
        <w:left w:val="none" w:sz="0" w:space="0" w:color="auto"/>
        <w:bottom w:val="none" w:sz="0" w:space="0" w:color="auto"/>
        <w:right w:val="none" w:sz="0" w:space="0" w:color="auto"/>
      </w:divBdr>
    </w:div>
    <w:div w:id="370612037">
      <w:bodyDiv w:val="1"/>
      <w:marLeft w:val="0"/>
      <w:marRight w:val="0"/>
      <w:marTop w:val="0"/>
      <w:marBottom w:val="0"/>
      <w:divBdr>
        <w:top w:val="none" w:sz="0" w:space="0" w:color="auto"/>
        <w:left w:val="none" w:sz="0" w:space="0" w:color="auto"/>
        <w:bottom w:val="none" w:sz="0" w:space="0" w:color="auto"/>
        <w:right w:val="none" w:sz="0" w:space="0" w:color="auto"/>
      </w:divBdr>
    </w:div>
    <w:div w:id="383987845">
      <w:bodyDiv w:val="1"/>
      <w:marLeft w:val="0"/>
      <w:marRight w:val="0"/>
      <w:marTop w:val="0"/>
      <w:marBottom w:val="0"/>
      <w:divBdr>
        <w:top w:val="none" w:sz="0" w:space="0" w:color="auto"/>
        <w:left w:val="none" w:sz="0" w:space="0" w:color="auto"/>
        <w:bottom w:val="none" w:sz="0" w:space="0" w:color="auto"/>
        <w:right w:val="none" w:sz="0" w:space="0" w:color="auto"/>
      </w:divBdr>
    </w:div>
    <w:div w:id="390540002">
      <w:bodyDiv w:val="1"/>
      <w:marLeft w:val="0"/>
      <w:marRight w:val="0"/>
      <w:marTop w:val="0"/>
      <w:marBottom w:val="0"/>
      <w:divBdr>
        <w:top w:val="none" w:sz="0" w:space="0" w:color="auto"/>
        <w:left w:val="none" w:sz="0" w:space="0" w:color="auto"/>
        <w:bottom w:val="none" w:sz="0" w:space="0" w:color="auto"/>
        <w:right w:val="none" w:sz="0" w:space="0" w:color="auto"/>
      </w:divBdr>
    </w:div>
    <w:div w:id="397410386">
      <w:bodyDiv w:val="1"/>
      <w:marLeft w:val="0"/>
      <w:marRight w:val="0"/>
      <w:marTop w:val="0"/>
      <w:marBottom w:val="0"/>
      <w:divBdr>
        <w:top w:val="none" w:sz="0" w:space="0" w:color="auto"/>
        <w:left w:val="none" w:sz="0" w:space="0" w:color="auto"/>
        <w:bottom w:val="none" w:sz="0" w:space="0" w:color="auto"/>
        <w:right w:val="none" w:sz="0" w:space="0" w:color="auto"/>
      </w:divBdr>
    </w:div>
    <w:div w:id="405998438">
      <w:bodyDiv w:val="1"/>
      <w:marLeft w:val="0"/>
      <w:marRight w:val="0"/>
      <w:marTop w:val="0"/>
      <w:marBottom w:val="0"/>
      <w:divBdr>
        <w:top w:val="none" w:sz="0" w:space="0" w:color="auto"/>
        <w:left w:val="none" w:sz="0" w:space="0" w:color="auto"/>
        <w:bottom w:val="none" w:sz="0" w:space="0" w:color="auto"/>
        <w:right w:val="none" w:sz="0" w:space="0" w:color="auto"/>
      </w:divBdr>
    </w:div>
    <w:div w:id="471752386">
      <w:bodyDiv w:val="1"/>
      <w:marLeft w:val="0"/>
      <w:marRight w:val="0"/>
      <w:marTop w:val="0"/>
      <w:marBottom w:val="0"/>
      <w:divBdr>
        <w:top w:val="none" w:sz="0" w:space="0" w:color="auto"/>
        <w:left w:val="none" w:sz="0" w:space="0" w:color="auto"/>
        <w:bottom w:val="none" w:sz="0" w:space="0" w:color="auto"/>
        <w:right w:val="none" w:sz="0" w:space="0" w:color="auto"/>
      </w:divBdr>
    </w:div>
    <w:div w:id="476648652">
      <w:bodyDiv w:val="1"/>
      <w:marLeft w:val="0"/>
      <w:marRight w:val="0"/>
      <w:marTop w:val="0"/>
      <w:marBottom w:val="0"/>
      <w:divBdr>
        <w:top w:val="none" w:sz="0" w:space="0" w:color="auto"/>
        <w:left w:val="none" w:sz="0" w:space="0" w:color="auto"/>
        <w:bottom w:val="none" w:sz="0" w:space="0" w:color="auto"/>
        <w:right w:val="none" w:sz="0" w:space="0" w:color="auto"/>
      </w:divBdr>
    </w:div>
    <w:div w:id="531504382">
      <w:bodyDiv w:val="1"/>
      <w:marLeft w:val="0"/>
      <w:marRight w:val="0"/>
      <w:marTop w:val="0"/>
      <w:marBottom w:val="0"/>
      <w:divBdr>
        <w:top w:val="none" w:sz="0" w:space="0" w:color="auto"/>
        <w:left w:val="none" w:sz="0" w:space="0" w:color="auto"/>
        <w:bottom w:val="none" w:sz="0" w:space="0" w:color="auto"/>
        <w:right w:val="none" w:sz="0" w:space="0" w:color="auto"/>
      </w:divBdr>
    </w:div>
    <w:div w:id="631600828">
      <w:bodyDiv w:val="1"/>
      <w:marLeft w:val="0"/>
      <w:marRight w:val="0"/>
      <w:marTop w:val="0"/>
      <w:marBottom w:val="0"/>
      <w:divBdr>
        <w:top w:val="none" w:sz="0" w:space="0" w:color="auto"/>
        <w:left w:val="none" w:sz="0" w:space="0" w:color="auto"/>
        <w:bottom w:val="none" w:sz="0" w:space="0" w:color="auto"/>
        <w:right w:val="none" w:sz="0" w:space="0" w:color="auto"/>
      </w:divBdr>
    </w:div>
    <w:div w:id="671955280">
      <w:bodyDiv w:val="1"/>
      <w:marLeft w:val="0"/>
      <w:marRight w:val="0"/>
      <w:marTop w:val="0"/>
      <w:marBottom w:val="0"/>
      <w:divBdr>
        <w:top w:val="none" w:sz="0" w:space="0" w:color="auto"/>
        <w:left w:val="none" w:sz="0" w:space="0" w:color="auto"/>
        <w:bottom w:val="none" w:sz="0" w:space="0" w:color="auto"/>
        <w:right w:val="none" w:sz="0" w:space="0" w:color="auto"/>
      </w:divBdr>
    </w:div>
    <w:div w:id="693187629">
      <w:bodyDiv w:val="1"/>
      <w:marLeft w:val="0"/>
      <w:marRight w:val="0"/>
      <w:marTop w:val="0"/>
      <w:marBottom w:val="0"/>
      <w:divBdr>
        <w:top w:val="none" w:sz="0" w:space="0" w:color="auto"/>
        <w:left w:val="none" w:sz="0" w:space="0" w:color="auto"/>
        <w:bottom w:val="none" w:sz="0" w:space="0" w:color="auto"/>
        <w:right w:val="none" w:sz="0" w:space="0" w:color="auto"/>
      </w:divBdr>
    </w:div>
    <w:div w:id="703360353">
      <w:bodyDiv w:val="1"/>
      <w:marLeft w:val="0"/>
      <w:marRight w:val="0"/>
      <w:marTop w:val="0"/>
      <w:marBottom w:val="0"/>
      <w:divBdr>
        <w:top w:val="none" w:sz="0" w:space="0" w:color="auto"/>
        <w:left w:val="none" w:sz="0" w:space="0" w:color="auto"/>
        <w:bottom w:val="none" w:sz="0" w:space="0" w:color="auto"/>
        <w:right w:val="none" w:sz="0" w:space="0" w:color="auto"/>
      </w:divBdr>
    </w:div>
    <w:div w:id="778990717">
      <w:bodyDiv w:val="1"/>
      <w:marLeft w:val="0"/>
      <w:marRight w:val="0"/>
      <w:marTop w:val="0"/>
      <w:marBottom w:val="0"/>
      <w:divBdr>
        <w:top w:val="none" w:sz="0" w:space="0" w:color="auto"/>
        <w:left w:val="none" w:sz="0" w:space="0" w:color="auto"/>
        <w:bottom w:val="none" w:sz="0" w:space="0" w:color="auto"/>
        <w:right w:val="none" w:sz="0" w:space="0" w:color="auto"/>
      </w:divBdr>
    </w:div>
    <w:div w:id="788663921">
      <w:bodyDiv w:val="1"/>
      <w:marLeft w:val="0"/>
      <w:marRight w:val="0"/>
      <w:marTop w:val="0"/>
      <w:marBottom w:val="0"/>
      <w:divBdr>
        <w:top w:val="none" w:sz="0" w:space="0" w:color="auto"/>
        <w:left w:val="none" w:sz="0" w:space="0" w:color="auto"/>
        <w:bottom w:val="none" w:sz="0" w:space="0" w:color="auto"/>
        <w:right w:val="none" w:sz="0" w:space="0" w:color="auto"/>
      </w:divBdr>
    </w:div>
    <w:div w:id="794904518">
      <w:bodyDiv w:val="1"/>
      <w:marLeft w:val="0"/>
      <w:marRight w:val="0"/>
      <w:marTop w:val="0"/>
      <w:marBottom w:val="0"/>
      <w:divBdr>
        <w:top w:val="none" w:sz="0" w:space="0" w:color="auto"/>
        <w:left w:val="none" w:sz="0" w:space="0" w:color="auto"/>
        <w:bottom w:val="none" w:sz="0" w:space="0" w:color="auto"/>
        <w:right w:val="none" w:sz="0" w:space="0" w:color="auto"/>
      </w:divBdr>
    </w:div>
    <w:div w:id="831144332">
      <w:bodyDiv w:val="1"/>
      <w:marLeft w:val="0"/>
      <w:marRight w:val="0"/>
      <w:marTop w:val="0"/>
      <w:marBottom w:val="0"/>
      <w:divBdr>
        <w:top w:val="none" w:sz="0" w:space="0" w:color="auto"/>
        <w:left w:val="none" w:sz="0" w:space="0" w:color="auto"/>
        <w:bottom w:val="none" w:sz="0" w:space="0" w:color="auto"/>
        <w:right w:val="none" w:sz="0" w:space="0" w:color="auto"/>
      </w:divBdr>
    </w:div>
    <w:div w:id="864634236">
      <w:bodyDiv w:val="1"/>
      <w:marLeft w:val="0"/>
      <w:marRight w:val="0"/>
      <w:marTop w:val="0"/>
      <w:marBottom w:val="0"/>
      <w:divBdr>
        <w:top w:val="none" w:sz="0" w:space="0" w:color="auto"/>
        <w:left w:val="none" w:sz="0" w:space="0" w:color="auto"/>
        <w:bottom w:val="none" w:sz="0" w:space="0" w:color="auto"/>
        <w:right w:val="none" w:sz="0" w:space="0" w:color="auto"/>
      </w:divBdr>
    </w:div>
    <w:div w:id="890001833">
      <w:bodyDiv w:val="1"/>
      <w:marLeft w:val="0"/>
      <w:marRight w:val="0"/>
      <w:marTop w:val="0"/>
      <w:marBottom w:val="0"/>
      <w:divBdr>
        <w:top w:val="none" w:sz="0" w:space="0" w:color="auto"/>
        <w:left w:val="none" w:sz="0" w:space="0" w:color="auto"/>
        <w:bottom w:val="none" w:sz="0" w:space="0" w:color="auto"/>
        <w:right w:val="none" w:sz="0" w:space="0" w:color="auto"/>
      </w:divBdr>
    </w:div>
    <w:div w:id="898131723">
      <w:bodyDiv w:val="1"/>
      <w:marLeft w:val="0"/>
      <w:marRight w:val="0"/>
      <w:marTop w:val="0"/>
      <w:marBottom w:val="0"/>
      <w:divBdr>
        <w:top w:val="none" w:sz="0" w:space="0" w:color="auto"/>
        <w:left w:val="none" w:sz="0" w:space="0" w:color="auto"/>
        <w:bottom w:val="none" w:sz="0" w:space="0" w:color="auto"/>
        <w:right w:val="none" w:sz="0" w:space="0" w:color="auto"/>
      </w:divBdr>
    </w:div>
    <w:div w:id="932513043">
      <w:bodyDiv w:val="1"/>
      <w:marLeft w:val="0"/>
      <w:marRight w:val="0"/>
      <w:marTop w:val="0"/>
      <w:marBottom w:val="0"/>
      <w:divBdr>
        <w:top w:val="none" w:sz="0" w:space="0" w:color="auto"/>
        <w:left w:val="none" w:sz="0" w:space="0" w:color="auto"/>
        <w:bottom w:val="none" w:sz="0" w:space="0" w:color="auto"/>
        <w:right w:val="none" w:sz="0" w:space="0" w:color="auto"/>
      </w:divBdr>
    </w:div>
    <w:div w:id="941377147">
      <w:bodyDiv w:val="1"/>
      <w:marLeft w:val="0"/>
      <w:marRight w:val="0"/>
      <w:marTop w:val="0"/>
      <w:marBottom w:val="0"/>
      <w:divBdr>
        <w:top w:val="none" w:sz="0" w:space="0" w:color="auto"/>
        <w:left w:val="none" w:sz="0" w:space="0" w:color="auto"/>
        <w:bottom w:val="none" w:sz="0" w:space="0" w:color="auto"/>
        <w:right w:val="none" w:sz="0" w:space="0" w:color="auto"/>
      </w:divBdr>
    </w:div>
    <w:div w:id="963854170">
      <w:bodyDiv w:val="1"/>
      <w:marLeft w:val="0"/>
      <w:marRight w:val="0"/>
      <w:marTop w:val="0"/>
      <w:marBottom w:val="0"/>
      <w:divBdr>
        <w:top w:val="none" w:sz="0" w:space="0" w:color="auto"/>
        <w:left w:val="none" w:sz="0" w:space="0" w:color="auto"/>
        <w:bottom w:val="none" w:sz="0" w:space="0" w:color="auto"/>
        <w:right w:val="none" w:sz="0" w:space="0" w:color="auto"/>
      </w:divBdr>
    </w:div>
    <w:div w:id="967663377">
      <w:bodyDiv w:val="1"/>
      <w:marLeft w:val="0"/>
      <w:marRight w:val="0"/>
      <w:marTop w:val="0"/>
      <w:marBottom w:val="0"/>
      <w:divBdr>
        <w:top w:val="none" w:sz="0" w:space="0" w:color="auto"/>
        <w:left w:val="none" w:sz="0" w:space="0" w:color="auto"/>
        <w:bottom w:val="none" w:sz="0" w:space="0" w:color="auto"/>
        <w:right w:val="none" w:sz="0" w:space="0" w:color="auto"/>
      </w:divBdr>
    </w:div>
    <w:div w:id="1012269513">
      <w:bodyDiv w:val="1"/>
      <w:marLeft w:val="0"/>
      <w:marRight w:val="0"/>
      <w:marTop w:val="0"/>
      <w:marBottom w:val="0"/>
      <w:divBdr>
        <w:top w:val="none" w:sz="0" w:space="0" w:color="auto"/>
        <w:left w:val="none" w:sz="0" w:space="0" w:color="auto"/>
        <w:bottom w:val="none" w:sz="0" w:space="0" w:color="auto"/>
        <w:right w:val="none" w:sz="0" w:space="0" w:color="auto"/>
      </w:divBdr>
    </w:div>
    <w:div w:id="1012801597">
      <w:bodyDiv w:val="1"/>
      <w:marLeft w:val="0"/>
      <w:marRight w:val="0"/>
      <w:marTop w:val="0"/>
      <w:marBottom w:val="0"/>
      <w:divBdr>
        <w:top w:val="none" w:sz="0" w:space="0" w:color="auto"/>
        <w:left w:val="none" w:sz="0" w:space="0" w:color="auto"/>
        <w:bottom w:val="none" w:sz="0" w:space="0" w:color="auto"/>
        <w:right w:val="none" w:sz="0" w:space="0" w:color="auto"/>
      </w:divBdr>
    </w:div>
    <w:div w:id="1019045255">
      <w:bodyDiv w:val="1"/>
      <w:marLeft w:val="0"/>
      <w:marRight w:val="0"/>
      <w:marTop w:val="0"/>
      <w:marBottom w:val="0"/>
      <w:divBdr>
        <w:top w:val="none" w:sz="0" w:space="0" w:color="auto"/>
        <w:left w:val="none" w:sz="0" w:space="0" w:color="auto"/>
        <w:bottom w:val="none" w:sz="0" w:space="0" w:color="auto"/>
        <w:right w:val="none" w:sz="0" w:space="0" w:color="auto"/>
      </w:divBdr>
    </w:div>
    <w:div w:id="1058623561">
      <w:bodyDiv w:val="1"/>
      <w:marLeft w:val="0"/>
      <w:marRight w:val="0"/>
      <w:marTop w:val="0"/>
      <w:marBottom w:val="0"/>
      <w:divBdr>
        <w:top w:val="none" w:sz="0" w:space="0" w:color="auto"/>
        <w:left w:val="none" w:sz="0" w:space="0" w:color="auto"/>
        <w:bottom w:val="none" w:sz="0" w:space="0" w:color="auto"/>
        <w:right w:val="none" w:sz="0" w:space="0" w:color="auto"/>
      </w:divBdr>
    </w:div>
    <w:div w:id="1073502690">
      <w:bodyDiv w:val="1"/>
      <w:marLeft w:val="0"/>
      <w:marRight w:val="0"/>
      <w:marTop w:val="0"/>
      <w:marBottom w:val="0"/>
      <w:divBdr>
        <w:top w:val="none" w:sz="0" w:space="0" w:color="auto"/>
        <w:left w:val="none" w:sz="0" w:space="0" w:color="auto"/>
        <w:bottom w:val="none" w:sz="0" w:space="0" w:color="auto"/>
        <w:right w:val="none" w:sz="0" w:space="0" w:color="auto"/>
      </w:divBdr>
    </w:div>
    <w:div w:id="1083726096">
      <w:bodyDiv w:val="1"/>
      <w:marLeft w:val="0"/>
      <w:marRight w:val="0"/>
      <w:marTop w:val="0"/>
      <w:marBottom w:val="0"/>
      <w:divBdr>
        <w:top w:val="none" w:sz="0" w:space="0" w:color="auto"/>
        <w:left w:val="none" w:sz="0" w:space="0" w:color="auto"/>
        <w:bottom w:val="none" w:sz="0" w:space="0" w:color="auto"/>
        <w:right w:val="none" w:sz="0" w:space="0" w:color="auto"/>
      </w:divBdr>
    </w:div>
    <w:div w:id="1092891715">
      <w:bodyDiv w:val="1"/>
      <w:marLeft w:val="0"/>
      <w:marRight w:val="0"/>
      <w:marTop w:val="0"/>
      <w:marBottom w:val="0"/>
      <w:divBdr>
        <w:top w:val="none" w:sz="0" w:space="0" w:color="auto"/>
        <w:left w:val="none" w:sz="0" w:space="0" w:color="auto"/>
        <w:bottom w:val="none" w:sz="0" w:space="0" w:color="auto"/>
        <w:right w:val="none" w:sz="0" w:space="0" w:color="auto"/>
      </w:divBdr>
    </w:div>
    <w:div w:id="1094671900">
      <w:bodyDiv w:val="1"/>
      <w:marLeft w:val="0"/>
      <w:marRight w:val="0"/>
      <w:marTop w:val="0"/>
      <w:marBottom w:val="0"/>
      <w:divBdr>
        <w:top w:val="none" w:sz="0" w:space="0" w:color="auto"/>
        <w:left w:val="none" w:sz="0" w:space="0" w:color="auto"/>
        <w:bottom w:val="none" w:sz="0" w:space="0" w:color="auto"/>
        <w:right w:val="none" w:sz="0" w:space="0" w:color="auto"/>
      </w:divBdr>
    </w:div>
    <w:div w:id="1098478650">
      <w:bodyDiv w:val="1"/>
      <w:marLeft w:val="0"/>
      <w:marRight w:val="0"/>
      <w:marTop w:val="0"/>
      <w:marBottom w:val="0"/>
      <w:divBdr>
        <w:top w:val="none" w:sz="0" w:space="0" w:color="auto"/>
        <w:left w:val="none" w:sz="0" w:space="0" w:color="auto"/>
        <w:bottom w:val="none" w:sz="0" w:space="0" w:color="auto"/>
        <w:right w:val="none" w:sz="0" w:space="0" w:color="auto"/>
      </w:divBdr>
    </w:div>
    <w:div w:id="1205606241">
      <w:bodyDiv w:val="1"/>
      <w:marLeft w:val="0"/>
      <w:marRight w:val="0"/>
      <w:marTop w:val="0"/>
      <w:marBottom w:val="0"/>
      <w:divBdr>
        <w:top w:val="none" w:sz="0" w:space="0" w:color="auto"/>
        <w:left w:val="none" w:sz="0" w:space="0" w:color="auto"/>
        <w:bottom w:val="none" w:sz="0" w:space="0" w:color="auto"/>
        <w:right w:val="none" w:sz="0" w:space="0" w:color="auto"/>
      </w:divBdr>
    </w:div>
    <w:div w:id="1237476849">
      <w:bodyDiv w:val="1"/>
      <w:marLeft w:val="0"/>
      <w:marRight w:val="0"/>
      <w:marTop w:val="0"/>
      <w:marBottom w:val="0"/>
      <w:divBdr>
        <w:top w:val="none" w:sz="0" w:space="0" w:color="auto"/>
        <w:left w:val="none" w:sz="0" w:space="0" w:color="auto"/>
        <w:bottom w:val="none" w:sz="0" w:space="0" w:color="auto"/>
        <w:right w:val="none" w:sz="0" w:space="0" w:color="auto"/>
      </w:divBdr>
    </w:div>
    <w:div w:id="1288586908">
      <w:bodyDiv w:val="1"/>
      <w:marLeft w:val="0"/>
      <w:marRight w:val="0"/>
      <w:marTop w:val="0"/>
      <w:marBottom w:val="0"/>
      <w:divBdr>
        <w:top w:val="none" w:sz="0" w:space="0" w:color="auto"/>
        <w:left w:val="none" w:sz="0" w:space="0" w:color="auto"/>
        <w:bottom w:val="none" w:sz="0" w:space="0" w:color="auto"/>
        <w:right w:val="none" w:sz="0" w:space="0" w:color="auto"/>
      </w:divBdr>
    </w:div>
    <w:div w:id="1291863010">
      <w:bodyDiv w:val="1"/>
      <w:marLeft w:val="0"/>
      <w:marRight w:val="0"/>
      <w:marTop w:val="0"/>
      <w:marBottom w:val="0"/>
      <w:divBdr>
        <w:top w:val="none" w:sz="0" w:space="0" w:color="auto"/>
        <w:left w:val="none" w:sz="0" w:space="0" w:color="auto"/>
        <w:bottom w:val="none" w:sz="0" w:space="0" w:color="auto"/>
        <w:right w:val="none" w:sz="0" w:space="0" w:color="auto"/>
      </w:divBdr>
    </w:div>
    <w:div w:id="1314526834">
      <w:bodyDiv w:val="1"/>
      <w:marLeft w:val="0"/>
      <w:marRight w:val="0"/>
      <w:marTop w:val="0"/>
      <w:marBottom w:val="0"/>
      <w:divBdr>
        <w:top w:val="none" w:sz="0" w:space="0" w:color="auto"/>
        <w:left w:val="none" w:sz="0" w:space="0" w:color="auto"/>
        <w:bottom w:val="none" w:sz="0" w:space="0" w:color="auto"/>
        <w:right w:val="none" w:sz="0" w:space="0" w:color="auto"/>
      </w:divBdr>
    </w:div>
    <w:div w:id="1331906149">
      <w:bodyDiv w:val="1"/>
      <w:marLeft w:val="0"/>
      <w:marRight w:val="0"/>
      <w:marTop w:val="0"/>
      <w:marBottom w:val="0"/>
      <w:divBdr>
        <w:top w:val="none" w:sz="0" w:space="0" w:color="auto"/>
        <w:left w:val="none" w:sz="0" w:space="0" w:color="auto"/>
        <w:bottom w:val="none" w:sz="0" w:space="0" w:color="auto"/>
        <w:right w:val="none" w:sz="0" w:space="0" w:color="auto"/>
      </w:divBdr>
    </w:div>
    <w:div w:id="1358434127">
      <w:bodyDiv w:val="1"/>
      <w:marLeft w:val="0"/>
      <w:marRight w:val="0"/>
      <w:marTop w:val="0"/>
      <w:marBottom w:val="0"/>
      <w:divBdr>
        <w:top w:val="none" w:sz="0" w:space="0" w:color="auto"/>
        <w:left w:val="none" w:sz="0" w:space="0" w:color="auto"/>
        <w:bottom w:val="none" w:sz="0" w:space="0" w:color="auto"/>
        <w:right w:val="none" w:sz="0" w:space="0" w:color="auto"/>
      </w:divBdr>
    </w:div>
    <w:div w:id="1383212917">
      <w:bodyDiv w:val="1"/>
      <w:marLeft w:val="0"/>
      <w:marRight w:val="0"/>
      <w:marTop w:val="0"/>
      <w:marBottom w:val="0"/>
      <w:divBdr>
        <w:top w:val="none" w:sz="0" w:space="0" w:color="auto"/>
        <w:left w:val="none" w:sz="0" w:space="0" w:color="auto"/>
        <w:bottom w:val="none" w:sz="0" w:space="0" w:color="auto"/>
        <w:right w:val="none" w:sz="0" w:space="0" w:color="auto"/>
      </w:divBdr>
    </w:div>
    <w:div w:id="1420981910">
      <w:bodyDiv w:val="1"/>
      <w:marLeft w:val="0"/>
      <w:marRight w:val="0"/>
      <w:marTop w:val="0"/>
      <w:marBottom w:val="0"/>
      <w:divBdr>
        <w:top w:val="none" w:sz="0" w:space="0" w:color="auto"/>
        <w:left w:val="none" w:sz="0" w:space="0" w:color="auto"/>
        <w:bottom w:val="none" w:sz="0" w:space="0" w:color="auto"/>
        <w:right w:val="none" w:sz="0" w:space="0" w:color="auto"/>
      </w:divBdr>
    </w:div>
    <w:div w:id="1433477716">
      <w:bodyDiv w:val="1"/>
      <w:marLeft w:val="0"/>
      <w:marRight w:val="0"/>
      <w:marTop w:val="0"/>
      <w:marBottom w:val="0"/>
      <w:divBdr>
        <w:top w:val="none" w:sz="0" w:space="0" w:color="auto"/>
        <w:left w:val="none" w:sz="0" w:space="0" w:color="auto"/>
        <w:bottom w:val="none" w:sz="0" w:space="0" w:color="auto"/>
        <w:right w:val="none" w:sz="0" w:space="0" w:color="auto"/>
      </w:divBdr>
    </w:div>
    <w:div w:id="1481313754">
      <w:bodyDiv w:val="1"/>
      <w:marLeft w:val="0"/>
      <w:marRight w:val="0"/>
      <w:marTop w:val="0"/>
      <w:marBottom w:val="0"/>
      <w:divBdr>
        <w:top w:val="none" w:sz="0" w:space="0" w:color="auto"/>
        <w:left w:val="none" w:sz="0" w:space="0" w:color="auto"/>
        <w:bottom w:val="none" w:sz="0" w:space="0" w:color="auto"/>
        <w:right w:val="none" w:sz="0" w:space="0" w:color="auto"/>
      </w:divBdr>
    </w:div>
    <w:div w:id="1507015720">
      <w:bodyDiv w:val="1"/>
      <w:marLeft w:val="0"/>
      <w:marRight w:val="0"/>
      <w:marTop w:val="0"/>
      <w:marBottom w:val="0"/>
      <w:divBdr>
        <w:top w:val="none" w:sz="0" w:space="0" w:color="auto"/>
        <w:left w:val="none" w:sz="0" w:space="0" w:color="auto"/>
        <w:bottom w:val="none" w:sz="0" w:space="0" w:color="auto"/>
        <w:right w:val="none" w:sz="0" w:space="0" w:color="auto"/>
      </w:divBdr>
    </w:div>
    <w:div w:id="1536893397">
      <w:bodyDiv w:val="1"/>
      <w:marLeft w:val="0"/>
      <w:marRight w:val="0"/>
      <w:marTop w:val="0"/>
      <w:marBottom w:val="0"/>
      <w:divBdr>
        <w:top w:val="none" w:sz="0" w:space="0" w:color="auto"/>
        <w:left w:val="none" w:sz="0" w:space="0" w:color="auto"/>
        <w:bottom w:val="none" w:sz="0" w:space="0" w:color="auto"/>
        <w:right w:val="none" w:sz="0" w:space="0" w:color="auto"/>
      </w:divBdr>
    </w:div>
    <w:div w:id="1550796095">
      <w:bodyDiv w:val="1"/>
      <w:marLeft w:val="0"/>
      <w:marRight w:val="0"/>
      <w:marTop w:val="0"/>
      <w:marBottom w:val="0"/>
      <w:divBdr>
        <w:top w:val="none" w:sz="0" w:space="0" w:color="auto"/>
        <w:left w:val="none" w:sz="0" w:space="0" w:color="auto"/>
        <w:bottom w:val="none" w:sz="0" w:space="0" w:color="auto"/>
        <w:right w:val="none" w:sz="0" w:space="0" w:color="auto"/>
      </w:divBdr>
    </w:div>
    <w:div w:id="1570267285">
      <w:bodyDiv w:val="1"/>
      <w:marLeft w:val="0"/>
      <w:marRight w:val="0"/>
      <w:marTop w:val="0"/>
      <w:marBottom w:val="0"/>
      <w:divBdr>
        <w:top w:val="none" w:sz="0" w:space="0" w:color="auto"/>
        <w:left w:val="none" w:sz="0" w:space="0" w:color="auto"/>
        <w:bottom w:val="none" w:sz="0" w:space="0" w:color="auto"/>
        <w:right w:val="none" w:sz="0" w:space="0" w:color="auto"/>
      </w:divBdr>
    </w:div>
    <w:div w:id="1576627459">
      <w:bodyDiv w:val="1"/>
      <w:marLeft w:val="0"/>
      <w:marRight w:val="0"/>
      <w:marTop w:val="0"/>
      <w:marBottom w:val="0"/>
      <w:divBdr>
        <w:top w:val="none" w:sz="0" w:space="0" w:color="auto"/>
        <w:left w:val="none" w:sz="0" w:space="0" w:color="auto"/>
        <w:bottom w:val="none" w:sz="0" w:space="0" w:color="auto"/>
        <w:right w:val="none" w:sz="0" w:space="0" w:color="auto"/>
      </w:divBdr>
    </w:div>
    <w:div w:id="1625425999">
      <w:bodyDiv w:val="1"/>
      <w:marLeft w:val="0"/>
      <w:marRight w:val="0"/>
      <w:marTop w:val="0"/>
      <w:marBottom w:val="0"/>
      <w:divBdr>
        <w:top w:val="none" w:sz="0" w:space="0" w:color="auto"/>
        <w:left w:val="none" w:sz="0" w:space="0" w:color="auto"/>
        <w:bottom w:val="none" w:sz="0" w:space="0" w:color="auto"/>
        <w:right w:val="none" w:sz="0" w:space="0" w:color="auto"/>
      </w:divBdr>
    </w:div>
    <w:div w:id="1626277762">
      <w:bodyDiv w:val="1"/>
      <w:marLeft w:val="0"/>
      <w:marRight w:val="0"/>
      <w:marTop w:val="0"/>
      <w:marBottom w:val="0"/>
      <w:divBdr>
        <w:top w:val="none" w:sz="0" w:space="0" w:color="auto"/>
        <w:left w:val="none" w:sz="0" w:space="0" w:color="auto"/>
        <w:bottom w:val="none" w:sz="0" w:space="0" w:color="auto"/>
        <w:right w:val="none" w:sz="0" w:space="0" w:color="auto"/>
      </w:divBdr>
    </w:div>
    <w:div w:id="1656564208">
      <w:bodyDiv w:val="1"/>
      <w:marLeft w:val="0"/>
      <w:marRight w:val="0"/>
      <w:marTop w:val="0"/>
      <w:marBottom w:val="0"/>
      <w:divBdr>
        <w:top w:val="none" w:sz="0" w:space="0" w:color="auto"/>
        <w:left w:val="none" w:sz="0" w:space="0" w:color="auto"/>
        <w:bottom w:val="none" w:sz="0" w:space="0" w:color="auto"/>
        <w:right w:val="none" w:sz="0" w:space="0" w:color="auto"/>
      </w:divBdr>
    </w:div>
    <w:div w:id="1713536956">
      <w:bodyDiv w:val="1"/>
      <w:marLeft w:val="0"/>
      <w:marRight w:val="0"/>
      <w:marTop w:val="0"/>
      <w:marBottom w:val="0"/>
      <w:divBdr>
        <w:top w:val="none" w:sz="0" w:space="0" w:color="auto"/>
        <w:left w:val="none" w:sz="0" w:space="0" w:color="auto"/>
        <w:bottom w:val="none" w:sz="0" w:space="0" w:color="auto"/>
        <w:right w:val="none" w:sz="0" w:space="0" w:color="auto"/>
      </w:divBdr>
    </w:div>
    <w:div w:id="1725518721">
      <w:bodyDiv w:val="1"/>
      <w:marLeft w:val="0"/>
      <w:marRight w:val="0"/>
      <w:marTop w:val="0"/>
      <w:marBottom w:val="0"/>
      <w:divBdr>
        <w:top w:val="none" w:sz="0" w:space="0" w:color="auto"/>
        <w:left w:val="none" w:sz="0" w:space="0" w:color="auto"/>
        <w:bottom w:val="none" w:sz="0" w:space="0" w:color="auto"/>
        <w:right w:val="none" w:sz="0" w:space="0" w:color="auto"/>
      </w:divBdr>
    </w:div>
    <w:div w:id="1777287212">
      <w:bodyDiv w:val="1"/>
      <w:marLeft w:val="0"/>
      <w:marRight w:val="0"/>
      <w:marTop w:val="0"/>
      <w:marBottom w:val="0"/>
      <w:divBdr>
        <w:top w:val="none" w:sz="0" w:space="0" w:color="auto"/>
        <w:left w:val="none" w:sz="0" w:space="0" w:color="auto"/>
        <w:bottom w:val="none" w:sz="0" w:space="0" w:color="auto"/>
        <w:right w:val="none" w:sz="0" w:space="0" w:color="auto"/>
      </w:divBdr>
    </w:div>
    <w:div w:id="1796096263">
      <w:bodyDiv w:val="1"/>
      <w:marLeft w:val="0"/>
      <w:marRight w:val="0"/>
      <w:marTop w:val="0"/>
      <w:marBottom w:val="0"/>
      <w:divBdr>
        <w:top w:val="none" w:sz="0" w:space="0" w:color="auto"/>
        <w:left w:val="none" w:sz="0" w:space="0" w:color="auto"/>
        <w:bottom w:val="none" w:sz="0" w:space="0" w:color="auto"/>
        <w:right w:val="none" w:sz="0" w:space="0" w:color="auto"/>
      </w:divBdr>
    </w:div>
    <w:div w:id="1801417984">
      <w:bodyDiv w:val="1"/>
      <w:marLeft w:val="0"/>
      <w:marRight w:val="0"/>
      <w:marTop w:val="0"/>
      <w:marBottom w:val="0"/>
      <w:divBdr>
        <w:top w:val="none" w:sz="0" w:space="0" w:color="auto"/>
        <w:left w:val="none" w:sz="0" w:space="0" w:color="auto"/>
        <w:bottom w:val="none" w:sz="0" w:space="0" w:color="auto"/>
        <w:right w:val="none" w:sz="0" w:space="0" w:color="auto"/>
      </w:divBdr>
    </w:div>
    <w:div w:id="1804348720">
      <w:bodyDiv w:val="1"/>
      <w:marLeft w:val="0"/>
      <w:marRight w:val="0"/>
      <w:marTop w:val="0"/>
      <w:marBottom w:val="0"/>
      <w:divBdr>
        <w:top w:val="none" w:sz="0" w:space="0" w:color="auto"/>
        <w:left w:val="none" w:sz="0" w:space="0" w:color="auto"/>
        <w:bottom w:val="none" w:sz="0" w:space="0" w:color="auto"/>
        <w:right w:val="none" w:sz="0" w:space="0" w:color="auto"/>
      </w:divBdr>
    </w:div>
    <w:div w:id="1805272530">
      <w:bodyDiv w:val="1"/>
      <w:marLeft w:val="0"/>
      <w:marRight w:val="0"/>
      <w:marTop w:val="0"/>
      <w:marBottom w:val="0"/>
      <w:divBdr>
        <w:top w:val="none" w:sz="0" w:space="0" w:color="auto"/>
        <w:left w:val="none" w:sz="0" w:space="0" w:color="auto"/>
        <w:bottom w:val="none" w:sz="0" w:space="0" w:color="auto"/>
        <w:right w:val="none" w:sz="0" w:space="0" w:color="auto"/>
      </w:divBdr>
    </w:div>
    <w:div w:id="1809590868">
      <w:bodyDiv w:val="1"/>
      <w:marLeft w:val="0"/>
      <w:marRight w:val="0"/>
      <w:marTop w:val="0"/>
      <w:marBottom w:val="0"/>
      <w:divBdr>
        <w:top w:val="none" w:sz="0" w:space="0" w:color="auto"/>
        <w:left w:val="none" w:sz="0" w:space="0" w:color="auto"/>
        <w:bottom w:val="none" w:sz="0" w:space="0" w:color="auto"/>
        <w:right w:val="none" w:sz="0" w:space="0" w:color="auto"/>
      </w:divBdr>
    </w:div>
    <w:div w:id="1809738884">
      <w:bodyDiv w:val="1"/>
      <w:marLeft w:val="0"/>
      <w:marRight w:val="0"/>
      <w:marTop w:val="0"/>
      <w:marBottom w:val="0"/>
      <w:divBdr>
        <w:top w:val="none" w:sz="0" w:space="0" w:color="auto"/>
        <w:left w:val="none" w:sz="0" w:space="0" w:color="auto"/>
        <w:bottom w:val="none" w:sz="0" w:space="0" w:color="auto"/>
        <w:right w:val="none" w:sz="0" w:space="0" w:color="auto"/>
      </w:divBdr>
    </w:div>
    <w:div w:id="1885487168">
      <w:bodyDiv w:val="1"/>
      <w:marLeft w:val="0"/>
      <w:marRight w:val="0"/>
      <w:marTop w:val="0"/>
      <w:marBottom w:val="0"/>
      <w:divBdr>
        <w:top w:val="none" w:sz="0" w:space="0" w:color="auto"/>
        <w:left w:val="none" w:sz="0" w:space="0" w:color="auto"/>
        <w:bottom w:val="none" w:sz="0" w:space="0" w:color="auto"/>
        <w:right w:val="none" w:sz="0" w:space="0" w:color="auto"/>
      </w:divBdr>
    </w:div>
    <w:div w:id="1899397083">
      <w:bodyDiv w:val="1"/>
      <w:marLeft w:val="0"/>
      <w:marRight w:val="0"/>
      <w:marTop w:val="0"/>
      <w:marBottom w:val="0"/>
      <w:divBdr>
        <w:top w:val="none" w:sz="0" w:space="0" w:color="auto"/>
        <w:left w:val="none" w:sz="0" w:space="0" w:color="auto"/>
        <w:bottom w:val="none" w:sz="0" w:space="0" w:color="auto"/>
        <w:right w:val="none" w:sz="0" w:space="0" w:color="auto"/>
      </w:divBdr>
    </w:div>
    <w:div w:id="1906259906">
      <w:bodyDiv w:val="1"/>
      <w:marLeft w:val="0"/>
      <w:marRight w:val="0"/>
      <w:marTop w:val="0"/>
      <w:marBottom w:val="0"/>
      <w:divBdr>
        <w:top w:val="none" w:sz="0" w:space="0" w:color="auto"/>
        <w:left w:val="none" w:sz="0" w:space="0" w:color="auto"/>
        <w:bottom w:val="none" w:sz="0" w:space="0" w:color="auto"/>
        <w:right w:val="none" w:sz="0" w:space="0" w:color="auto"/>
      </w:divBdr>
    </w:div>
    <w:div w:id="1914198131">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2005208242">
      <w:bodyDiv w:val="1"/>
      <w:marLeft w:val="0"/>
      <w:marRight w:val="0"/>
      <w:marTop w:val="0"/>
      <w:marBottom w:val="0"/>
      <w:divBdr>
        <w:top w:val="none" w:sz="0" w:space="0" w:color="auto"/>
        <w:left w:val="none" w:sz="0" w:space="0" w:color="auto"/>
        <w:bottom w:val="none" w:sz="0" w:space="0" w:color="auto"/>
        <w:right w:val="none" w:sz="0" w:space="0" w:color="auto"/>
      </w:divBdr>
    </w:div>
    <w:div w:id="2053576692">
      <w:bodyDiv w:val="1"/>
      <w:marLeft w:val="0"/>
      <w:marRight w:val="0"/>
      <w:marTop w:val="0"/>
      <w:marBottom w:val="0"/>
      <w:divBdr>
        <w:top w:val="none" w:sz="0" w:space="0" w:color="auto"/>
        <w:left w:val="none" w:sz="0" w:space="0" w:color="auto"/>
        <w:bottom w:val="none" w:sz="0" w:space="0" w:color="auto"/>
        <w:right w:val="none" w:sz="0" w:space="0" w:color="auto"/>
      </w:divBdr>
    </w:div>
    <w:div w:id="2054231704">
      <w:bodyDiv w:val="1"/>
      <w:marLeft w:val="0"/>
      <w:marRight w:val="0"/>
      <w:marTop w:val="0"/>
      <w:marBottom w:val="0"/>
      <w:divBdr>
        <w:top w:val="none" w:sz="0" w:space="0" w:color="auto"/>
        <w:left w:val="none" w:sz="0" w:space="0" w:color="auto"/>
        <w:bottom w:val="none" w:sz="0" w:space="0" w:color="auto"/>
        <w:right w:val="none" w:sz="0" w:space="0" w:color="auto"/>
      </w:divBdr>
    </w:div>
    <w:div w:id="2089960601">
      <w:bodyDiv w:val="1"/>
      <w:marLeft w:val="0"/>
      <w:marRight w:val="0"/>
      <w:marTop w:val="0"/>
      <w:marBottom w:val="0"/>
      <w:divBdr>
        <w:top w:val="none" w:sz="0" w:space="0" w:color="auto"/>
        <w:left w:val="none" w:sz="0" w:space="0" w:color="auto"/>
        <w:bottom w:val="none" w:sz="0" w:space="0" w:color="auto"/>
        <w:right w:val="none" w:sz="0" w:space="0" w:color="auto"/>
      </w:divBdr>
    </w:div>
    <w:div w:id="2120029748">
      <w:bodyDiv w:val="1"/>
      <w:marLeft w:val="0"/>
      <w:marRight w:val="0"/>
      <w:marTop w:val="0"/>
      <w:marBottom w:val="0"/>
      <w:divBdr>
        <w:top w:val="none" w:sz="0" w:space="0" w:color="auto"/>
        <w:left w:val="none" w:sz="0" w:space="0" w:color="auto"/>
        <w:bottom w:val="none" w:sz="0" w:space="0" w:color="auto"/>
        <w:right w:val="none" w:sz="0" w:space="0" w:color="auto"/>
      </w:divBdr>
    </w:div>
    <w:div w:id="2125686423">
      <w:bodyDiv w:val="1"/>
      <w:marLeft w:val="0"/>
      <w:marRight w:val="0"/>
      <w:marTop w:val="0"/>
      <w:marBottom w:val="0"/>
      <w:divBdr>
        <w:top w:val="none" w:sz="0" w:space="0" w:color="auto"/>
        <w:left w:val="none" w:sz="0" w:space="0" w:color="auto"/>
        <w:bottom w:val="none" w:sz="0" w:space="0" w:color="auto"/>
        <w:right w:val="none" w:sz="0" w:space="0" w:color="auto"/>
      </w:divBdr>
    </w:div>
    <w:div w:id="2134711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eur-lex.europa.eu/budget/www/index-fr.htm"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3B78A-A641-4506-908F-1821229A0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5159</Words>
  <Characters>23427</Characters>
  <Application>Microsoft Office Word</Application>
  <DocSecurity>0</DocSecurity>
  <Lines>1378</Lines>
  <Paragraphs>1143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27443</CharactersWithSpaces>
  <SharedDoc>false</SharedDoc>
  <HLinks>
    <vt:vector size="72" baseType="variant">
      <vt:variant>
        <vt:i4>1245239</vt:i4>
      </vt:variant>
      <vt:variant>
        <vt:i4>59</vt:i4>
      </vt:variant>
      <vt:variant>
        <vt:i4>0</vt:i4>
      </vt:variant>
      <vt:variant>
        <vt:i4>5</vt:i4>
      </vt:variant>
      <vt:variant>
        <vt:lpwstr/>
      </vt:variant>
      <vt:variant>
        <vt:lpwstr>_Toc421700214</vt:lpwstr>
      </vt:variant>
      <vt:variant>
        <vt:i4>1245239</vt:i4>
      </vt:variant>
      <vt:variant>
        <vt:i4>53</vt:i4>
      </vt:variant>
      <vt:variant>
        <vt:i4>0</vt:i4>
      </vt:variant>
      <vt:variant>
        <vt:i4>5</vt:i4>
      </vt:variant>
      <vt:variant>
        <vt:lpwstr/>
      </vt:variant>
      <vt:variant>
        <vt:lpwstr>_Toc421700213</vt:lpwstr>
      </vt:variant>
      <vt:variant>
        <vt:i4>1245239</vt:i4>
      </vt:variant>
      <vt:variant>
        <vt:i4>47</vt:i4>
      </vt:variant>
      <vt:variant>
        <vt:i4>0</vt:i4>
      </vt:variant>
      <vt:variant>
        <vt:i4>5</vt:i4>
      </vt:variant>
      <vt:variant>
        <vt:lpwstr/>
      </vt:variant>
      <vt:variant>
        <vt:lpwstr>_Toc421700212</vt:lpwstr>
      </vt:variant>
      <vt:variant>
        <vt:i4>1245239</vt:i4>
      </vt:variant>
      <vt:variant>
        <vt:i4>41</vt:i4>
      </vt:variant>
      <vt:variant>
        <vt:i4>0</vt:i4>
      </vt:variant>
      <vt:variant>
        <vt:i4>5</vt:i4>
      </vt:variant>
      <vt:variant>
        <vt:lpwstr/>
      </vt:variant>
      <vt:variant>
        <vt:lpwstr>_Toc421700211</vt:lpwstr>
      </vt:variant>
      <vt:variant>
        <vt:i4>1245239</vt:i4>
      </vt:variant>
      <vt:variant>
        <vt:i4>35</vt:i4>
      </vt:variant>
      <vt:variant>
        <vt:i4>0</vt:i4>
      </vt:variant>
      <vt:variant>
        <vt:i4>5</vt:i4>
      </vt:variant>
      <vt:variant>
        <vt:lpwstr/>
      </vt:variant>
      <vt:variant>
        <vt:lpwstr>_Toc421700210</vt:lpwstr>
      </vt:variant>
      <vt:variant>
        <vt:i4>1179703</vt:i4>
      </vt:variant>
      <vt:variant>
        <vt:i4>29</vt:i4>
      </vt:variant>
      <vt:variant>
        <vt:i4>0</vt:i4>
      </vt:variant>
      <vt:variant>
        <vt:i4>5</vt:i4>
      </vt:variant>
      <vt:variant>
        <vt:lpwstr/>
      </vt:variant>
      <vt:variant>
        <vt:lpwstr>_Toc421700209</vt:lpwstr>
      </vt:variant>
      <vt:variant>
        <vt:i4>1179703</vt:i4>
      </vt:variant>
      <vt:variant>
        <vt:i4>23</vt:i4>
      </vt:variant>
      <vt:variant>
        <vt:i4>0</vt:i4>
      </vt:variant>
      <vt:variant>
        <vt:i4>5</vt:i4>
      </vt:variant>
      <vt:variant>
        <vt:lpwstr/>
      </vt:variant>
      <vt:variant>
        <vt:lpwstr>_Toc421700208</vt:lpwstr>
      </vt:variant>
      <vt:variant>
        <vt:i4>1179703</vt:i4>
      </vt:variant>
      <vt:variant>
        <vt:i4>17</vt:i4>
      </vt:variant>
      <vt:variant>
        <vt:i4>0</vt:i4>
      </vt:variant>
      <vt:variant>
        <vt:i4>5</vt:i4>
      </vt:variant>
      <vt:variant>
        <vt:lpwstr/>
      </vt:variant>
      <vt:variant>
        <vt:lpwstr>_Toc421700207</vt:lpwstr>
      </vt:variant>
      <vt:variant>
        <vt:i4>1179703</vt:i4>
      </vt:variant>
      <vt:variant>
        <vt:i4>11</vt:i4>
      </vt:variant>
      <vt:variant>
        <vt:i4>0</vt:i4>
      </vt:variant>
      <vt:variant>
        <vt:i4>5</vt:i4>
      </vt:variant>
      <vt:variant>
        <vt:lpwstr/>
      </vt:variant>
      <vt:variant>
        <vt:lpwstr>_Toc421700206</vt:lpwstr>
      </vt:variant>
      <vt:variant>
        <vt:i4>1179703</vt:i4>
      </vt:variant>
      <vt:variant>
        <vt:i4>5</vt:i4>
      </vt:variant>
      <vt:variant>
        <vt:i4>0</vt:i4>
      </vt:variant>
      <vt:variant>
        <vt:i4>5</vt:i4>
      </vt:variant>
      <vt:variant>
        <vt:lpwstr/>
      </vt:variant>
      <vt:variant>
        <vt:lpwstr>_Toc421700205</vt:lpwstr>
      </vt:variant>
      <vt:variant>
        <vt:i4>5046279</vt:i4>
      </vt:variant>
      <vt:variant>
        <vt:i4>0</vt:i4>
      </vt:variant>
      <vt:variant>
        <vt:i4>0</vt:i4>
      </vt:variant>
      <vt:variant>
        <vt:i4>5</vt:i4>
      </vt:variant>
      <vt:variant>
        <vt:lpwstr>http://eur-lex.europa.eu/budget/www/index-en.htm</vt:lpwstr>
      </vt:variant>
      <vt:variant>
        <vt:lpwstr/>
      </vt:variant>
      <vt:variant>
        <vt:i4>5111875</vt:i4>
      </vt:variant>
      <vt:variant>
        <vt:i4>0</vt:i4>
      </vt:variant>
      <vt:variant>
        <vt:i4>0</vt:i4>
      </vt:variant>
      <vt:variant>
        <vt:i4>5</vt:i4>
      </vt:variant>
      <vt:variant>
        <vt:lpwstr>http://ec.europa.eu/budget/library/biblio/documents/financing/calc_own_res_2007_en.pdf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2018-09-21T13:21:00Z</dcterms:created>
  <dcterms:modified xsi:type="dcterms:W3CDTF">2018-10-16T08:40:00Z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