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261C3117-E7B8-4481-AA60-E2965BE18D46"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Като взе предвид:</w:t>
      </w:r>
    </w:p>
    <w:p>
      <w:pPr>
        <w:pStyle w:val="Tiret0"/>
        <w:tabs>
          <w:tab w:val="clear" w:pos="850"/>
          <w:tab w:val="num" w:pos="1004"/>
        </w:tabs>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2"/>
      </w:r>
      <w:r>
        <w:rPr>
          <w:noProof/>
        </w:rPr>
        <w:t>, и по-специално член 44 от него,</w:t>
      </w:r>
    </w:p>
    <w:p>
      <w:pPr>
        <w:pStyle w:val="Tiret0"/>
        <w:tabs>
          <w:tab w:val="clear" w:pos="850"/>
          <w:tab w:val="num" w:pos="927"/>
        </w:tabs>
        <w:rPr>
          <w:noProof/>
        </w:rPr>
      </w:pPr>
      <w:r>
        <w:rPr>
          <w:noProof/>
        </w:rPr>
        <w:t>общия бюджет на Европейския съюз за 2018 финансова година, приет на 30 ноември 2017 г.</w:t>
      </w:r>
      <w:r>
        <w:rPr>
          <w:rStyle w:val="FootnoteReference"/>
          <w:noProof/>
        </w:rPr>
        <w:footnoteReference w:id="3"/>
      </w:r>
      <w:r>
        <w:rPr>
          <w:noProof/>
        </w:rPr>
        <w:t>,</w:t>
      </w:r>
    </w:p>
    <w:p>
      <w:pPr>
        <w:pStyle w:val="Tiret0"/>
        <w:tabs>
          <w:tab w:val="clear" w:pos="850"/>
          <w:tab w:val="num" w:pos="927"/>
        </w:tabs>
        <w:rPr>
          <w:noProof/>
        </w:rPr>
      </w:pPr>
      <w:r>
        <w:rPr>
          <w:noProof/>
        </w:rPr>
        <w:t>коригиращ бюджет № 1/2018</w:t>
      </w:r>
      <w:r>
        <w:rPr>
          <w:rStyle w:val="FootnoteReference"/>
          <w:noProof/>
        </w:rPr>
        <w:footnoteReference w:id="4"/>
      </w:r>
      <w:r>
        <w:rPr>
          <w:noProof/>
        </w:rPr>
        <w:t>, приет на 30 май 2018 г.,</w:t>
      </w:r>
    </w:p>
    <w:p>
      <w:pPr>
        <w:pStyle w:val="Tiret0"/>
        <w:tabs>
          <w:tab w:val="clear" w:pos="850"/>
          <w:tab w:val="num" w:pos="927"/>
        </w:tabs>
        <w:rPr>
          <w:noProof/>
        </w:rPr>
      </w:pPr>
      <w:r>
        <w:rPr>
          <w:noProof/>
        </w:rPr>
        <w:t>коригиращ бюджет № 2/2018</w:t>
      </w:r>
      <w:r>
        <w:rPr>
          <w:rStyle w:val="FootnoteReference"/>
          <w:noProof/>
        </w:rPr>
        <w:footnoteReference w:id="5"/>
      </w:r>
      <w:r>
        <w:rPr>
          <w:noProof/>
        </w:rPr>
        <w:t>, приет на 4 юли 2018 г.,</w:t>
      </w:r>
    </w:p>
    <w:p>
      <w:pPr>
        <w:pStyle w:val="Tiret0"/>
        <w:tabs>
          <w:tab w:val="clear" w:pos="850"/>
          <w:tab w:val="num" w:pos="927"/>
        </w:tabs>
        <w:rPr>
          <w:noProof/>
        </w:rPr>
      </w:pPr>
      <w:r>
        <w:rPr>
          <w:noProof/>
        </w:rPr>
        <w:t>коригиращ бюджет № 3/2018</w:t>
      </w:r>
      <w:r>
        <w:rPr>
          <w:rStyle w:val="FootnoteReference"/>
          <w:noProof/>
        </w:rPr>
        <w:footnoteReference w:id="6"/>
      </w:r>
      <w:r>
        <w:rPr>
          <w:noProof/>
        </w:rPr>
        <w:t>, приет на 4 юли 2018 г.,</w:t>
      </w:r>
    </w:p>
    <w:p>
      <w:pPr>
        <w:pStyle w:val="Tiret0"/>
        <w:tabs>
          <w:tab w:val="clear" w:pos="850"/>
          <w:tab w:val="num" w:pos="927"/>
        </w:tabs>
        <w:rPr>
          <w:noProof/>
        </w:rPr>
      </w:pPr>
      <w:r>
        <w:rPr>
          <w:noProof/>
        </w:rPr>
        <w:t>коригиращ бюджет № 4/2018</w:t>
      </w:r>
      <w:r>
        <w:rPr>
          <w:rStyle w:val="FootnoteReference"/>
          <w:noProof/>
        </w:rPr>
        <w:footnoteReference w:id="7"/>
      </w:r>
      <w:r>
        <w:rPr>
          <w:noProof/>
        </w:rPr>
        <w:t>, приет на 11 септември 2018 г.,</w:t>
      </w:r>
    </w:p>
    <w:p>
      <w:pPr>
        <w:pStyle w:val="Tiret0"/>
        <w:tabs>
          <w:tab w:val="clear" w:pos="850"/>
          <w:tab w:val="num" w:pos="927"/>
        </w:tabs>
        <w:rPr>
          <w:noProof/>
        </w:rPr>
      </w:pPr>
      <w:r>
        <w:rPr>
          <w:noProof/>
        </w:rPr>
        <w:t>коригиращ бюджет № 5/2018</w:t>
      </w:r>
      <w:r>
        <w:rPr>
          <w:rStyle w:val="FootnoteReference"/>
          <w:noProof/>
        </w:rPr>
        <w:footnoteReference w:id="8"/>
      </w:r>
      <w:r>
        <w:rPr>
          <w:noProof/>
        </w:rPr>
        <w:t>, приет на [3 октомври 2018 г.].</w:t>
      </w:r>
    </w:p>
    <w:p>
      <w:pPr>
        <w:pStyle w:val="Tiret0"/>
        <w:numPr>
          <w:ilvl w:val="0"/>
          <w:numId w:val="0"/>
        </w:numPr>
        <w:spacing w:after="600"/>
        <w:rPr>
          <w:noProof/>
        </w:rPr>
      </w:pPr>
      <w:r>
        <w:rPr>
          <w:noProof/>
        </w:rPr>
        <w:t>С настоящото Европейската комисия представя на Европейския парламент и на Съвета проект на коригиращ бюджет № 6 към общия бюджет за 2018 г.</w:t>
      </w:r>
    </w:p>
    <w:p>
      <w:pPr>
        <w:spacing w:after="240"/>
        <w:jc w:val="both"/>
        <w:rPr>
          <w:b/>
          <w:noProof/>
          <w:u w:val="single"/>
        </w:rPr>
      </w:pPr>
      <w:r>
        <w:rPr>
          <w:b/>
          <w:noProof/>
          <w:u w:val="single"/>
        </w:rPr>
        <w:t>ПРОМЕНИ В ПРИХОДНАТА И РАЗХОДНАТА ЧАСТ НА БЮДЖЕТА ПО РАЗДЕЛИ</w:t>
      </w:r>
    </w:p>
    <w:p>
      <w:pPr>
        <w:jc w:val="both"/>
        <w:rPr>
          <w:noProof/>
        </w:rPr>
      </w:pPr>
      <w:r>
        <w:rPr>
          <w:noProof/>
        </w:rPr>
        <w:t>Промените в приходната и разходната част на бюджета по раздели са достъпни в EUR-Lex (</w:t>
      </w:r>
      <w:hyperlink r:id="rId16" w:history="1">
        <w:r>
          <w:rPr>
            <w:rStyle w:val="Hyperlink"/>
            <w:noProof/>
            <w:color w:val="auto"/>
          </w:rPr>
          <w:t>https://eur-lex.europa.eu/budget/www/index-bg.htm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1"/>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СЪДЪРЖАНИЕ</w:t>
      </w:r>
    </w:p>
    <w:sdt>
      <w:sdtPr>
        <w:rPr>
          <w:b w:val="0"/>
          <w:bCs w:val="0"/>
          <w:caps w:val="0"/>
          <w:noProof/>
          <w:sz w:val="24"/>
          <w:szCs w:val="24"/>
        </w:rPr>
        <w:id w:val="2029912794"/>
        <w:docPartObj>
          <w:docPartGallery w:val="Table of Contents"/>
          <w:docPartUnique/>
        </w:docPartObj>
      </w:sdtPr>
      <w:sdtEndPr>
        <w:rPr>
          <w:bCs/>
        </w:rPr>
      </w:sdtEndPr>
      <w:sdtContent>
        <w:p>
          <w:pPr>
            <w:pStyle w:val="TOC1"/>
            <w:tabs>
              <w:tab w:val="left" w:pos="709"/>
              <w:tab w:val="right" w:leader="dot" w:pos="9061"/>
            </w:tabs>
            <w:rPr>
              <w:rFonts w:asciiTheme="minorHAnsi" w:eastAsiaTheme="minorEastAsia" w:hAnsiTheme="minorHAnsi" w:cstheme="minorBidi"/>
              <w:b w:val="0"/>
              <w:bCs w:val="0"/>
              <w:caps w:val="0"/>
              <w:noProof/>
              <w:sz w:val="22"/>
              <w:szCs w:val="22"/>
              <w:lang w:val="en-GB"/>
            </w:rPr>
          </w:pPr>
          <w:r>
            <w:rPr>
              <w:noProof/>
            </w:rPr>
            <w:fldChar w:fldCharType="begin"/>
          </w:r>
          <w:r>
            <w:rPr>
              <w:noProof/>
            </w:rPr>
            <w:instrText xml:space="preserve"> TOC \o "1-3" \h \z \u </w:instrText>
          </w:r>
          <w:r>
            <w:rPr>
              <w:noProof/>
            </w:rPr>
            <w:fldChar w:fldCharType="separate"/>
          </w:r>
          <w:hyperlink w:anchor="_Toc527208351" w:history="1">
            <w:r>
              <w:rPr>
                <w:rStyle w:val="Hyperlink"/>
                <w:noProof/>
              </w:rPr>
              <w:t>1.</w:t>
            </w:r>
            <w:r>
              <w:rPr>
                <w:rFonts w:asciiTheme="minorHAnsi" w:eastAsiaTheme="minorEastAsia" w:hAnsiTheme="minorHAnsi" w:cstheme="minorBidi"/>
                <w:b w:val="0"/>
                <w:bCs w:val="0"/>
                <w:caps w:val="0"/>
                <w:noProof/>
                <w:sz w:val="22"/>
                <w:szCs w:val="22"/>
                <w:lang w:val="en-GB"/>
              </w:rPr>
              <w:tab/>
            </w:r>
            <w:r>
              <w:rPr>
                <w:rStyle w:val="Hyperlink"/>
                <w:noProof/>
              </w:rPr>
              <w:t>Въведение</w:t>
            </w:r>
            <w:r>
              <w:rPr>
                <w:noProof/>
                <w:webHidden/>
              </w:rPr>
              <w:tab/>
            </w:r>
            <w:r>
              <w:rPr>
                <w:noProof/>
                <w:webHidden/>
              </w:rPr>
              <w:fldChar w:fldCharType="begin"/>
            </w:r>
            <w:r>
              <w:rPr>
                <w:noProof/>
                <w:webHidden/>
              </w:rPr>
              <w:instrText xml:space="preserve"> PAGEREF _Toc527208351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rPr>
          </w:pPr>
          <w:hyperlink w:anchor="_Toc527208352" w:history="1">
            <w:r>
              <w:rPr>
                <w:rStyle w:val="Hyperlink"/>
                <w:smallCaps/>
                <w:noProof/>
              </w:rPr>
              <w:t>2.</w:t>
            </w:r>
            <w:r>
              <w:rPr>
                <w:rFonts w:asciiTheme="minorHAnsi" w:eastAsiaTheme="minorEastAsia" w:hAnsiTheme="minorHAnsi" w:cstheme="minorBidi"/>
                <w:b w:val="0"/>
                <w:bCs w:val="0"/>
                <w:caps w:val="0"/>
                <w:noProof/>
                <w:sz w:val="22"/>
                <w:szCs w:val="22"/>
                <w:lang w:val="en-GB"/>
              </w:rPr>
              <w:tab/>
            </w:r>
            <w:r>
              <w:rPr>
                <w:rStyle w:val="Hyperlink"/>
                <w:smallCaps/>
                <w:noProof/>
              </w:rPr>
              <w:t>Намаление на бюджетните кредити за плащания и за поети задължения</w:t>
            </w:r>
            <w:r>
              <w:rPr>
                <w:noProof/>
                <w:webHidden/>
              </w:rPr>
              <w:tab/>
            </w:r>
            <w:r>
              <w:rPr>
                <w:noProof/>
                <w:webHidden/>
              </w:rPr>
              <w:fldChar w:fldCharType="begin"/>
            </w:r>
            <w:r>
              <w:rPr>
                <w:noProof/>
                <w:webHidden/>
              </w:rPr>
              <w:instrText xml:space="preserve"> PAGEREF _Toc527208352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lang w:val="en-GB"/>
            </w:rPr>
          </w:pPr>
          <w:hyperlink w:anchor="_Toc527208353" w:history="1">
            <w:r>
              <w:rPr>
                <w:rStyle w:val="Hyperlink"/>
                <w:b/>
                <w:noProof/>
              </w:rPr>
              <w:t>2.1</w:t>
            </w:r>
            <w:r>
              <w:rPr>
                <w:rFonts w:asciiTheme="minorHAnsi" w:eastAsiaTheme="minorEastAsia" w:hAnsiTheme="minorHAnsi" w:cstheme="minorBidi"/>
                <w:smallCaps w:val="0"/>
                <w:noProof/>
                <w:sz w:val="22"/>
                <w:szCs w:val="22"/>
                <w:lang w:val="en-GB"/>
              </w:rPr>
              <w:tab/>
            </w:r>
            <w:r>
              <w:rPr>
                <w:rStyle w:val="Hyperlink"/>
                <w:b/>
                <w:noProof/>
              </w:rPr>
              <w:t>Споразумения за устойчиво рибарство</w:t>
            </w:r>
            <w:r>
              <w:rPr>
                <w:noProof/>
                <w:webHidden/>
              </w:rPr>
              <w:tab/>
            </w:r>
            <w:r>
              <w:rPr>
                <w:noProof/>
                <w:webHidden/>
              </w:rPr>
              <w:fldChar w:fldCharType="begin"/>
            </w:r>
            <w:r>
              <w:rPr>
                <w:noProof/>
                <w:webHidden/>
              </w:rPr>
              <w:instrText xml:space="preserve"> PAGEREF _Toc527208353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lang w:val="en-GB"/>
            </w:rPr>
          </w:pPr>
          <w:hyperlink w:anchor="_Toc527208354" w:history="1">
            <w:r>
              <w:rPr>
                <w:rStyle w:val="Hyperlink"/>
                <w:b/>
                <w:noProof/>
              </w:rPr>
              <w:t>2.2</w:t>
            </w:r>
            <w:r>
              <w:rPr>
                <w:rFonts w:asciiTheme="minorHAnsi" w:eastAsiaTheme="minorEastAsia" w:hAnsiTheme="minorHAnsi" w:cstheme="minorBidi"/>
                <w:smallCaps w:val="0"/>
                <w:noProof/>
                <w:sz w:val="22"/>
                <w:szCs w:val="22"/>
                <w:lang w:val="en-GB"/>
              </w:rPr>
              <w:tab/>
            </w:r>
            <w:r>
              <w:rPr>
                <w:rStyle w:val="Hyperlink"/>
                <w:b/>
                <w:noProof/>
              </w:rPr>
              <w:t>Децентрализирана агенция — Европейска агенция по химикали (ECHA)</w:t>
            </w:r>
            <w:r>
              <w:rPr>
                <w:noProof/>
                <w:webHidden/>
              </w:rPr>
              <w:tab/>
            </w:r>
            <w:r>
              <w:rPr>
                <w:noProof/>
                <w:webHidden/>
              </w:rPr>
              <w:fldChar w:fldCharType="begin"/>
            </w:r>
            <w:r>
              <w:rPr>
                <w:noProof/>
                <w:webHidden/>
              </w:rPr>
              <w:instrText xml:space="preserve"> PAGEREF _Toc527208354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lang w:val="en-GB"/>
            </w:rPr>
          </w:pPr>
          <w:hyperlink w:anchor="_Toc527208355" w:history="1">
            <w:r>
              <w:rPr>
                <w:rStyle w:val="Hyperlink"/>
                <w:b/>
                <w:noProof/>
              </w:rPr>
              <w:t>2.3</w:t>
            </w:r>
            <w:r>
              <w:rPr>
                <w:rFonts w:asciiTheme="minorHAnsi" w:eastAsiaTheme="minorEastAsia" w:hAnsiTheme="minorHAnsi" w:cstheme="minorBidi"/>
                <w:smallCaps w:val="0"/>
                <w:noProof/>
                <w:sz w:val="22"/>
                <w:szCs w:val="22"/>
                <w:lang w:val="en-GB"/>
              </w:rPr>
              <w:tab/>
            </w:r>
            <w:r>
              <w:rPr>
                <w:rStyle w:val="Hyperlink"/>
                <w:b/>
                <w:noProof/>
              </w:rPr>
              <w:t>Европейски фонд за гарантиране на земеделието (ЕФГЗ)</w:t>
            </w:r>
            <w:r>
              <w:rPr>
                <w:noProof/>
                <w:webHidden/>
              </w:rPr>
              <w:tab/>
            </w:r>
            <w:r>
              <w:rPr>
                <w:noProof/>
                <w:webHidden/>
              </w:rPr>
              <w:fldChar w:fldCharType="begin"/>
            </w:r>
            <w:r>
              <w:rPr>
                <w:noProof/>
                <w:webHidden/>
              </w:rPr>
              <w:instrText xml:space="preserve"> PAGEREF _Toc527208355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val="en-GB"/>
            </w:rPr>
          </w:pPr>
          <w:hyperlink w:anchor="_Toc527208356" w:history="1">
            <w:r>
              <w:rPr>
                <w:rStyle w:val="Hyperlink"/>
                <w:b/>
                <w:noProof/>
              </w:rPr>
              <w:t>2.4</w:t>
            </w:r>
            <w:r>
              <w:rPr>
                <w:rFonts w:asciiTheme="minorHAnsi" w:eastAsiaTheme="minorEastAsia" w:hAnsiTheme="minorHAnsi" w:cstheme="minorBidi"/>
                <w:smallCaps w:val="0"/>
                <w:noProof/>
                <w:sz w:val="22"/>
                <w:szCs w:val="22"/>
                <w:lang w:val="en-GB"/>
              </w:rPr>
              <w:tab/>
            </w:r>
            <w:r>
              <w:rPr>
                <w:rStyle w:val="Hyperlink"/>
                <w:b/>
                <w:noProof/>
              </w:rPr>
              <w:t>Европейски земеделски фонд за развитие на селските райони (ЕЗФРСР)</w:t>
            </w:r>
            <w:r>
              <w:rPr>
                <w:noProof/>
                <w:webHidden/>
              </w:rPr>
              <w:tab/>
            </w:r>
            <w:r>
              <w:rPr>
                <w:noProof/>
                <w:webHidden/>
              </w:rPr>
              <w:fldChar w:fldCharType="begin"/>
            </w:r>
            <w:r>
              <w:rPr>
                <w:noProof/>
                <w:webHidden/>
              </w:rPr>
              <w:instrText xml:space="preserve"> PAGEREF _Toc527208356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rPr>
          </w:pPr>
          <w:hyperlink w:anchor="_Toc527208357" w:history="1">
            <w:r>
              <w:rPr>
                <w:rStyle w:val="Hyperlink"/>
                <w:smallCaps/>
                <w:noProof/>
              </w:rPr>
              <w:t>3.</w:t>
            </w:r>
            <w:r>
              <w:rPr>
                <w:rFonts w:asciiTheme="minorHAnsi" w:eastAsiaTheme="minorEastAsia" w:hAnsiTheme="minorHAnsi" w:cstheme="minorBidi"/>
                <w:b w:val="0"/>
                <w:bCs w:val="0"/>
                <w:caps w:val="0"/>
                <w:noProof/>
                <w:sz w:val="22"/>
                <w:szCs w:val="22"/>
                <w:lang w:val="en-GB"/>
              </w:rPr>
              <w:tab/>
            </w:r>
            <w:r>
              <w:rPr>
                <w:rStyle w:val="Hyperlink"/>
                <w:smallCaps/>
                <w:noProof/>
              </w:rPr>
              <w:t>Актуализация на приходите</w:t>
            </w:r>
            <w:r>
              <w:rPr>
                <w:noProof/>
                <w:webHidden/>
              </w:rPr>
              <w:tab/>
            </w:r>
            <w:r>
              <w:rPr>
                <w:noProof/>
                <w:webHidden/>
              </w:rPr>
              <w:fldChar w:fldCharType="begin"/>
            </w:r>
            <w:r>
              <w:rPr>
                <w:noProof/>
                <w:webHidden/>
              </w:rPr>
              <w:instrText xml:space="preserve"> PAGEREF _Toc527208357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lang w:val="en-GB"/>
            </w:rPr>
          </w:pPr>
          <w:hyperlink w:anchor="_Toc527208358" w:history="1">
            <w:r>
              <w:rPr>
                <w:rStyle w:val="Hyperlink"/>
                <w:b/>
                <w:noProof/>
              </w:rPr>
              <w:t>3.1</w:t>
            </w:r>
            <w:r>
              <w:rPr>
                <w:rFonts w:asciiTheme="minorHAnsi" w:eastAsiaTheme="minorEastAsia" w:hAnsiTheme="minorHAnsi" w:cstheme="minorBidi"/>
                <w:smallCaps w:val="0"/>
                <w:noProof/>
                <w:sz w:val="22"/>
                <w:szCs w:val="22"/>
                <w:lang w:val="en-GB"/>
              </w:rPr>
              <w:tab/>
            </w:r>
            <w:r>
              <w:rPr>
                <w:rStyle w:val="Hyperlink"/>
                <w:b/>
                <w:noProof/>
              </w:rPr>
              <w:t>Общо отражение на ПКБ 6/2018 върху разпределението на общите плащания по собствените ресурси между държавите членки</w:t>
            </w:r>
            <w:r>
              <w:rPr>
                <w:noProof/>
                <w:webHidden/>
              </w:rPr>
              <w:tab/>
            </w:r>
            <w:r>
              <w:rPr>
                <w:noProof/>
                <w:webHidden/>
              </w:rPr>
              <w:fldChar w:fldCharType="begin"/>
            </w:r>
            <w:r>
              <w:rPr>
                <w:noProof/>
                <w:webHidden/>
              </w:rPr>
              <w:instrText xml:space="preserve"> PAGEREF _Toc527208358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lang w:val="en-GB"/>
            </w:rPr>
          </w:pPr>
          <w:hyperlink w:anchor="_Toc527208359" w:history="1">
            <w:r>
              <w:rPr>
                <w:rStyle w:val="Hyperlink"/>
                <w:b/>
                <w:noProof/>
              </w:rPr>
              <w:t>3.2</w:t>
            </w:r>
            <w:r>
              <w:rPr>
                <w:rFonts w:asciiTheme="minorHAnsi" w:eastAsiaTheme="minorEastAsia" w:hAnsiTheme="minorHAnsi" w:cstheme="minorBidi"/>
                <w:smallCaps w:val="0"/>
                <w:noProof/>
                <w:sz w:val="22"/>
                <w:szCs w:val="22"/>
                <w:lang w:val="en-GB"/>
              </w:rPr>
              <w:tab/>
            </w:r>
            <w:r>
              <w:rPr>
                <w:rStyle w:val="Hyperlink"/>
                <w:b/>
                <w:noProof/>
              </w:rPr>
              <w:t>Преразглеждане на прогнозата за ТСР, за базите за ДДС и за базите за БНД</w:t>
            </w:r>
            <w:r>
              <w:rPr>
                <w:noProof/>
                <w:webHidden/>
              </w:rPr>
              <w:tab/>
            </w:r>
            <w:r>
              <w:rPr>
                <w:noProof/>
                <w:webHidden/>
              </w:rPr>
              <w:fldChar w:fldCharType="begin"/>
            </w:r>
            <w:r>
              <w:rPr>
                <w:noProof/>
                <w:webHidden/>
              </w:rPr>
              <w:instrText xml:space="preserve"> PAGEREF _Toc527208359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mallCaps w:val="0"/>
              <w:noProof/>
              <w:sz w:val="22"/>
              <w:szCs w:val="22"/>
              <w:lang w:val="en-GB"/>
            </w:rPr>
          </w:pPr>
          <w:hyperlink w:anchor="_Toc527208360" w:history="1">
            <w:r>
              <w:rPr>
                <w:rStyle w:val="Hyperlink"/>
                <w:b/>
                <w:noProof/>
              </w:rPr>
              <w:t>3.3</w:t>
            </w:r>
            <w:r>
              <w:rPr>
                <w:rFonts w:asciiTheme="minorHAnsi" w:eastAsiaTheme="minorEastAsia" w:hAnsiTheme="minorHAnsi" w:cstheme="minorBidi"/>
                <w:smallCaps w:val="0"/>
                <w:noProof/>
                <w:sz w:val="22"/>
                <w:szCs w:val="22"/>
                <w:lang w:val="en-GB"/>
              </w:rPr>
              <w:tab/>
            </w:r>
            <w:r>
              <w:rPr>
                <w:rStyle w:val="Hyperlink"/>
                <w:b/>
                <w:noProof/>
              </w:rPr>
              <w:t>Корекция за Обединеното кралство за 2017 г. и 2014 г.</w:t>
            </w:r>
            <w:r>
              <w:rPr>
                <w:noProof/>
                <w:webHidden/>
              </w:rPr>
              <w:tab/>
            </w:r>
            <w:r>
              <w:rPr>
                <w:noProof/>
                <w:webHidden/>
              </w:rPr>
              <w:fldChar w:fldCharType="begin"/>
            </w:r>
            <w:r>
              <w:rPr>
                <w:noProof/>
                <w:webHidden/>
              </w:rPr>
              <w:instrText xml:space="preserve"> PAGEREF _Toc527208360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rPr>
          </w:pPr>
          <w:hyperlink w:anchor="_Toc527208361" w:history="1">
            <w:r>
              <w:rPr>
                <w:rStyle w:val="Hyperlink"/>
                <w:noProof/>
              </w:rPr>
              <w:t>4.</w:t>
            </w:r>
            <w:r>
              <w:rPr>
                <w:rFonts w:asciiTheme="minorHAnsi" w:eastAsiaTheme="minorEastAsia" w:hAnsiTheme="minorHAnsi" w:cstheme="minorBidi"/>
                <w:b w:val="0"/>
                <w:bCs w:val="0"/>
                <w:caps w:val="0"/>
                <w:noProof/>
                <w:sz w:val="22"/>
                <w:szCs w:val="22"/>
                <w:lang w:val="en-GB"/>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_Toc527208361 \h </w:instrText>
            </w:r>
            <w:r>
              <w:rPr>
                <w:noProof/>
                <w:webHidden/>
              </w:rPr>
            </w:r>
            <w:r>
              <w:rPr>
                <w:noProof/>
                <w:webHidden/>
              </w:rPr>
              <w:fldChar w:fldCharType="separate"/>
            </w:r>
            <w:r>
              <w:rPr>
                <w:noProof/>
                <w:webHidden/>
              </w:rPr>
              <w:t>13</w:t>
            </w:r>
            <w:r>
              <w:rPr>
                <w:noProof/>
                <w:webHidden/>
              </w:rPr>
              <w:fldChar w:fldCharType="end"/>
            </w:r>
          </w:hyperlink>
        </w:p>
        <w:p>
          <w:pPr>
            <w:ind w:left="709" w:hanging="709"/>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527208351"/>
      <w:bookmarkStart w:id="12" w:name="_Toc351469332"/>
      <w:bookmarkStart w:id="13" w:name="_Toc361649879"/>
      <w:r>
        <w:t>1.</w:t>
      </w:r>
      <w:r>
        <w:tab/>
        <w:t>Въведение</w:t>
      </w:r>
      <w:bookmarkEnd w:id="8"/>
      <w:bookmarkEnd w:id="9"/>
      <w:bookmarkEnd w:id="10"/>
      <w:bookmarkEnd w:id="11"/>
    </w:p>
    <w:p>
      <w:pPr>
        <w:pStyle w:val="ListDash"/>
        <w:rPr>
          <w:noProof/>
        </w:rPr>
      </w:pPr>
      <w:bookmarkStart w:id="14" w:name="_Toc462410050"/>
      <w:bookmarkStart w:id="15" w:name="_Toc430865947"/>
      <w:bookmarkStart w:id="16" w:name="_Toc430867525"/>
      <w:r>
        <w:rPr>
          <w:noProof/>
        </w:rPr>
        <w:t>Целта на проект на коригиращ бюджет (ПКБ) № 6 за 2018 г. е да се актуализират както разходната, така и приходната част на бюджета, за да се вземат предвид последните промени:</w:t>
      </w:r>
    </w:p>
    <w:p>
      <w:pPr>
        <w:pStyle w:val="Tiret0"/>
        <w:rPr>
          <w:noProof/>
        </w:rPr>
      </w:pPr>
      <w:r>
        <w:rPr>
          <w:noProof/>
        </w:rPr>
        <w:t>що се отнася до разходите, за да се освободят бюджетни кредити за поети задължения и за плащания по бюджетни редове за функция 1а „Конкурентоспособност за растеж и работни места“ и функция 2 „Устойчив растеж — природни ресурси“;</w:t>
      </w:r>
    </w:p>
    <w:p>
      <w:pPr>
        <w:pStyle w:val="Tiret0"/>
        <w:rPr>
          <w:noProof/>
        </w:rPr>
      </w:pPr>
      <w:r>
        <w:rPr>
          <w:noProof/>
        </w:rPr>
        <w:t>що се отнася до приходите, за да се преразгледат прогнозите за традиционните собствени ресурси (т.е. мита и налози в сектора на захарта), за базите за данъка върху добавената стойност (ДДС) и за брутния национален доход (БНД), както и за да се включат в бюджета съответните корекции за Обединеното кралство и тяхното финансиране, всички те засягащи разпределението на вноските собствени ресурси от държавите членки в бюджета на ЕС.</w:t>
      </w:r>
    </w:p>
    <w:p>
      <w:pPr>
        <w:keepNext/>
        <w:tabs>
          <w:tab w:val="left" w:pos="850"/>
        </w:tabs>
        <w:spacing w:before="240" w:after="120"/>
        <w:ind w:left="851" w:hanging="851"/>
        <w:jc w:val="both"/>
        <w:outlineLvl w:val="0"/>
        <w:rPr>
          <w:b/>
          <w:smallCaps/>
          <w:noProof/>
          <w:highlight w:val="yellow"/>
        </w:rPr>
      </w:pPr>
      <w:bookmarkStart w:id="17" w:name="_Toc527208352"/>
      <w:r>
        <w:rPr>
          <w:b/>
          <w:smallCaps/>
          <w:noProof/>
        </w:rPr>
        <w:t>2.</w:t>
      </w:r>
      <w:r>
        <w:rPr>
          <w:b/>
          <w:smallCaps/>
          <w:noProof/>
        </w:rPr>
        <w:tab/>
        <w:t>Намаление на бюджетните кредити за плащания и за поети задължения</w:t>
      </w:r>
      <w:bookmarkEnd w:id="17"/>
    </w:p>
    <w:p>
      <w:pPr>
        <w:spacing w:before="120" w:after="120"/>
        <w:jc w:val="both"/>
        <w:rPr>
          <w:noProof/>
        </w:rPr>
      </w:pPr>
      <w:bookmarkStart w:id="18" w:name="_Toc460335328"/>
      <w:bookmarkStart w:id="19" w:name="_Toc430865948"/>
      <w:bookmarkStart w:id="20" w:name="_Toc430867526"/>
      <w:bookmarkEnd w:id="14"/>
      <w:r>
        <w:rPr>
          <w:noProof/>
        </w:rPr>
        <w:t xml:space="preserve">Комисията предлага да се коригира равнището на бюджетните кредити за плащания за някои бюджетни редове с цел да се съгласуват по-добре с най-актуалните прогнози по отношение на нуждите и с допускането, че ребалансирането на бюджетните кредити за плащания между бюджетните редове, поискано отделно от Комисията в т.нар. „глобален трансфер“ (DEC 22/2018), ще бъде прието от Европейския парламент и от Съвета. </w:t>
      </w:r>
    </w:p>
    <w:p>
      <w:pPr>
        <w:spacing w:before="120" w:after="120"/>
        <w:jc w:val="both"/>
        <w:rPr>
          <w:noProof/>
        </w:rPr>
      </w:pPr>
      <w:r>
        <w:rPr>
          <w:noProof/>
        </w:rPr>
        <w:t>Намалението на бюджетните кредити за поети задължения и за плащания, което се иска в настоящия ПКБ (съответно 48,7 милиона евро и 44,7 милиона евро), се отнася само до функции 1а и 2.</w:t>
      </w:r>
    </w:p>
    <w:p>
      <w:pPr>
        <w:spacing w:before="120" w:after="120"/>
        <w:jc w:val="both"/>
        <w:rPr>
          <w:noProof/>
        </w:rPr>
      </w:pPr>
      <w:r>
        <w:rPr>
          <w:noProof/>
        </w:rPr>
        <w:t>В бюджета за 2018 г. не остава марж под функция 1а, а общият марж за поетите задължения (ОМПЗ) се използва за сума в размер на 762,5 милиона евро. Поради намалението на бюджетните кредити за поети задължения, предложено в настоящия ПКБ за тази функция (вж. точка 2.2 по-долу), размерът на използвания ОМПЗ се намалява със съответната сума и достига 760,6 милиона евро.</w:t>
      </w:r>
    </w:p>
    <w:p>
      <w:pPr>
        <w:keepNext/>
        <w:tabs>
          <w:tab w:val="left" w:pos="850"/>
        </w:tabs>
        <w:spacing w:before="360" w:after="120"/>
        <w:ind w:left="850" w:hanging="850"/>
        <w:jc w:val="both"/>
        <w:outlineLvl w:val="1"/>
        <w:rPr>
          <w:rFonts w:eastAsia="Calibri"/>
          <w:b/>
          <w:noProof/>
        </w:rPr>
      </w:pPr>
      <w:bookmarkStart w:id="21" w:name="_Toc527208353"/>
      <w:bookmarkStart w:id="22" w:name="_Toc494994373"/>
      <w:r>
        <w:rPr>
          <w:b/>
          <w:noProof/>
        </w:rPr>
        <w:t>2.1</w:t>
      </w:r>
      <w:r>
        <w:rPr>
          <w:b/>
          <w:noProof/>
        </w:rPr>
        <w:tab/>
        <w:t>Споразумения за устойчиво рибарство</w:t>
      </w:r>
      <w:bookmarkEnd w:id="21"/>
    </w:p>
    <w:p>
      <w:pPr>
        <w:spacing w:before="120" w:after="120"/>
        <w:jc w:val="both"/>
        <w:rPr>
          <w:noProof/>
        </w:rPr>
      </w:pPr>
      <w:r>
        <w:rPr>
          <w:noProof/>
        </w:rPr>
        <w:t>Въз основа на актуален анализ на състоянието на преговорите за споразумения за партньорство в областта на устойчивото рибарство от бюджетния ред за резерв (бюджетна статия 40 02 41) могат да бъдат освободени 46,6 милиона евро бюджетни кредити за поети задължения и 43,3 милиона евро бюджетни кредити за плащания.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Бюджетен ред</w:t>
            </w:r>
          </w:p>
        </w:tc>
        <w:tc>
          <w:tcPr>
            <w:tcW w:w="496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Бюджетни кредити за плащания</w:t>
            </w:r>
          </w:p>
        </w:tc>
      </w:tr>
      <w:tr>
        <w:tc>
          <w:tcPr>
            <w:tcW w:w="1276" w:type="dxa"/>
          </w:tcPr>
          <w:p>
            <w:pPr>
              <w:widowControl w:val="0"/>
              <w:spacing w:before="15" w:after="15"/>
              <w:ind w:right="-113"/>
              <w:jc w:val="both"/>
              <w:rPr>
                <w:noProof/>
                <w:sz w:val="20"/>
                <w:szCs w:val="20"/>
              </w:rPr>
            </w:pPr>
            <w:r>
              <w:rPr>
                <w:noProof/>
                <w:sz w:val="20"/>
                <w:szCs w:val="20"/>
              </w:rPr>
              <w:t>40 02 41</w:t>
            </w:r>
          </w:p>
        </w:tc>
        <w:tc>
          <w:tcPr>
            <w:tcW w:w="4961" w:type="dxa"/>
          </w:tcPr>
          <w:p>
            <w:pPr>
              <w:widowControl w:val="0"/>
              <w:tabs>
                <w:tab w:val="left" w:pos="1350"/>
              </w:tabs>
              <w:spacing w:before="15" w:after="15"/>
              <w:jc w:val="both"/>
              <w:rPr>
                <w:noProof/>
                <w:sz w:val="16"/>
                <w:szCs w:val="16"/>
              </w:rPr>
            </w:pPr>
            <w:r>
              <w:rPr>
                <w:noProof/>
                <w:sz w:val="16"/>
                <w:szCs w:val="16"/>
              </w:rPr>
              <w:t>Многогодишни бюджетни кредити (Резерв за бюджетна статия 11 03 01 — Установяване на рамка за управление на риболовните дейности, извършвани от риболовните кораби на Съюза във водите на трети държави)</w:t>
            </w:r>
          </w:p>
        </w:tc>
        <w:tc>
          <w:tcPr>
            <w:tcW w:w="1701" w:type="dxa"/>
          </w:tcPr>
          <w:p>
            <w:pPr>
              <w:widowControl w:val="0"/>
              <w:spacing w:before="15" w:after="15"/>
              <w:jc w:val="right"/>
              <w:rPr>
                <w:noProof/>
                <w:sz w:val="20"/>
                <w:szCs w:val="20"/>
              </w:rPr>
            </w:pPr>
            <w:r>
              <w:rPr>
                <w:noProof/>
                <w:sz w:val="20"/>
                <w:szCs w:val="20"/>
              </w:rPr>
              <w:t>-46 565 000</w:t>
            </w:r>
          </w:p>
        </w:tc>
        <w:tc>
          <w:tcPr>
            <w:tcW w:w="1701" w:type="dxa"/>
          </w:tcPr>
          <w:p>
            <w:pPr>
              <w:widowControl w:val="0"/>
              <w:spacing w:before="15" w:after="15"/>
              <w:jc w:val="right"/>
              <w:rPr>
                <w:noProof/>
                <w:sz w:val="20"/>
                <w:szCs w:val="20"/>
              </w:rPr>
            </w:pPr>
            <w:r>
              <w:rPr>
                <w:noProof/>
                <w:sz w:val="20"/>
                <w:szCs w:val="20"/>
              </w:rPr>
              <w:t>-43 302 703</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Общо</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-46 565 000</w:t>
            </w:r>
          </w:p>
        </w:tc>
        <w:tc>
          <w:tcPr>
            <w:tcW w:w="1701" w:type="dxa"/>
            <w:shd w:val="clear" w:color="auto" w:fill="D9D9D9"/>
          </w:tcPr>
          <w:p>
            <w:pPr>
              <w:widowControl w:val="0"/>
              <w:spacing w:before="15" w:after="15"/>
              <w:jc w:val="right"/>
              <w:rPr>
                <w:b/>
                <w:noProof/>
                <w:sz w:val="20"/>
                <w:szCs w:val="20"/>
              </w:rPr>
            </w:pPr>
            <w:r>
              <w:rPr>
                <w:b/>
                <w:noProof/>
                <w:sz w:val="20"/>
                <w:szCs w:val="20"/>
              </w:rPr>
              <w:t>-43 302 703</w:t>
            </w:r>
          </w:p>
        </w:tc>
      </w:tr>
    </w:tbl>
    <w:p>
      <w:pPr>
        <w:keepNext/>
        <w:tabs>
          <w:tab w:val="left" w:pos="850"/>
        </w:tabs>
        <w:spacing w:before="360" w:after="120"/>
        <w:ind w:left="850" w:hanging="850"/>
        <w:jc w:val="both"/>
        <w:outlineLvl w:val="1"/>
        <w:rPr>
          <w:rFonts w:eastAsia="Calibri"/>
          <w:b/>
          <w:noProof/>
        </w:rPr>
      </w:pPr>
      <w:bookmarkStart w:id="23" w:name="_Toc527208354"/>
      <w:r>
        <w:rPr>
          <w:b/>
          <w:noProof/>
        </w:rPr>
        <w:t>2.2</w:t>
      </w:r>
      <w:r>
        <w:rPr>
          <w:b/>
          <w:noProof/>
        </w:rPr>
        <w:tab/>
      </w:r>
      <w:bookmarkEnd w:id="22"/>
      <w:r>
        <w:rPr>
          <w:b/>
          <w:noProof/>
        </w:rPr>
        <w:t>Децентрализирана агенция — Европейска агенция по химикали (ECHA)</w:t>
      </w:r>
      <w:bookmarkEnd w:id="23"/>
    </w:p>
    <w:p>
      <w:pPr>
        <w:spacing w:before="120" w:after="240"/>
        <w:jc w:val="both"/>
        <w:rPr>
          <w:noProof/>
        </w:rPr>
      </w:pPr>
      <w:r>
        <w:rPr>
          <w:noProof/>
        </w:rPr>
        <w:t>Европейската агенция по химикали (ECHA) в Хелзинки извършва два вида дейности, които се финансират чрез такси — дейности, свързани със законодателството в областта на химикалите, по функция 1а и дейности, свързани със законодателството в областта на биоцидите, по функция 2. Приходите от такси, реално получени за тези два вида дейности в хода на 2018 г., са се променили в противоположни посоки: въпреки че приходите от такси са прогнозирани по-горе във функция 1а и са свързани със съществени по размер такси, получени до срока за регистрация (май 2018 г.), наблюдава се значително намаляване на броя на заявленията за разрешения от Съюза за биоцидни продукти. Произтичащият от това недостиг на приходи от такси във функция 2 се компенсира частично от икономии на разходи, реализирани от дейностите в областта на биоцидите. При все това е необходимо да се увеличи балансиращият принос на ЕС по функция 2 с 1,9 милиона евро бюджетни кредити за поети задължения и за плащания, като се предлага това увеличение да се компенсира със съответно намаление на балансиращия принос на ЕС за агенцията по функция 1а.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c>
          <w:tcPr>
            <w:tcW w:w="1276" w:type="dxa"/>
            <w:shd w:val="clear" w:color="auto" w:fill="D9D9D9"/>
            <w:vAlign w:val="center"/>
          </w:tcPr>
          <w:p>
            <w:pPr>
              <w:widowControl w:val="0"/>
              <w:spacing w:before="15" w:after="15"/>
              <w:jc w:val="center"/>
              <w:rPr>
                <w:b/>
                <w:noProof/>
                <w:sz w:val="20"/>
                <w:szCs w:val="20"/>
              </w:rPr>
            </w:pPr>
            <w:r>
              <w:rPr>
                <w:b/>
                <w:noProof/>
                <w:sz w:val="20"/>
                <w:szCs w:val="20"/>
              </w:rPr>
              <w:t>Бюджетен ред</w:t>
            </w:r>
          </w:p>
        </w:tc>
        <w:tc>
          <w:tcPr>
            <w:tcW w:w="4961" w:type="dxa"/>
            <w:shd w:val="clear" w:color="auto" w:fill="D9D9D9"/>
            <w:vAlign w:val="center"/>
          </w:tcPr>
          <w:p>
            <w:pPr>
              <w:widowControl w:val="0"/>
              <w:spacing w:before="15" w:after="15"/>
              <w:jc w:val="center"/>
              <w:rPr>
                <w:b/>
                <w:noProof/>
                <w:sz w:val="20"/>
                <w:szCs w:val="20"/>
              </w:rPr>
            </w:pPr>
            <w:r>
              <w:rPr>
                <w:b/>
                <w:noProof/>
                <w:sz w:val="20"/>
                <w:szCs w:val="20"/>
              </w:rPr>
              <w:t>Наименование</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Бюджетни кредити за поети задължения</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Бюджетни кредити за плащания</w:t>
            </w:r>
          </w:p>
        </w:tc>
      </w:tr>
      <w:tr>
        <w:tc>
          <w:tcPr>
            <w:tcW w:w="1276" w:type="dxa"/>
          </w:tcPr>
          <w:p>
            <w:pPr>
              <w:widowControl w:val="0"/>
              <w:spacing w:before="15" w:after="15"/>
              <w:ind w:right="-113"/>
              <w:jc w:val="both"/>
              <w:rPr>
                <w:noProof/>
                <w:sz w:val="20"/>
                <w:szCs w:val="20"/>
              </w:rPr>
            </w:pPr>
            <w:r>
              <w:rPr>
                <w:noProof/>
                <w:sz w:val="20"/>
                <w:szCs w:val="20"/>
              </w:rPr>
              <w:t>02 03 03</w:t>
            </w:r>
          </w:p>
        </w:tc>
        <w:tc>
          <w:tcPr>
            <w:tcW w:w="4961" w:type="dxa"/>
          </w:tcPr>
          <w:p>
            <w:pPr>
              <w:widowControl w:val="0"/>
              <w:tabs>
                <w:tab w:val="left" w:pos="1350"/>
              </w:tabs>
              <w:spacing w:before="15" w:after="15"/>
              <w:jc w:val="both"/>
              <w:rPr>
                <w:noProof/>
                <w:sz w:val="16"/>
                <w:szCs w:val="16"/>
              </w:rPr>
            </w:pPr>
            <w:r>
              <w:rPr>
                <w:noProof/>
                <w:sz w:val="16"/>
                <w:szCs w:val="16"/>
              </w:rPr>
              <w:t>Европейска агенция по химикалите — законодателство по отношение на химикалите</w:t>
            </w:r>
          </w:p>
        </w:tc>
        <w:tc>
          <w:tcPr>
            <w:tcW w:w="1701" w:type="dxa"/>
          </w:tcPr>
          <w:p>
            <w:pPr>
              <w:widowControl w:val="0"/>
              <w:spacing w:before="15" w:after="15"/>
              <w:jc w:val="right"/>
              <w:rPr>
                <w:noProof/>
                <w:sz w:val="20"/>
                <w:szCs w:val="20"/>
                <w:highlight w:val="yellow"/>
              </w:rPr>
            </w:pPr>
            <w:r>
              <w:rPr>
                <w:noProof/>
                <w:sz w:val="20"/>
                <w:szCs w:val="20"/>
              </w:rPr>
              <w:t>-1 900 000</w:t>
            </w:r>
          </w:p>
        </w:tc>
        <w:tc>
          <w:tcPr>
            <w:tcW w:w="1701" w:type="dxa"/>
          </w:tcPr>
          <w:p>
            <w:pPr>
              <w:widowControl w:val="0"/>
              <w:spacing w:before="15" w:after="15"/>
              <w:jc w:val="right"/>
              <w:rPr>
                <w:noProof/>
                <w:sz w:val="20"/>
                <w:szCs w:val="20"/>
                <w:highlight w:val="yellow"/>
              </w:rPr>
            </w:pPr>
            <w:r>
              <w:rPr>
                <w:noProof/>
                <w:sz w:val="20"/>
                <w:szCs w:val="20"/>
              </w:rPr>
              <w:t>-1 900 000</w:t>
            </w:r>
          </w:p>
        </w:tc>
      </w:tr>
      <w:tr>
        <w:tc>
          <w:tcPr>
            <w:tcW w:w="1276" w:type="dxa"/>
          </w:tcPr>
          <w:p>
            <w:pPr>
              <w:widowControl w:val="0"/>
              <w:spacing w:before="15" w:after="15"/>
              <w:ind w:right="-113"/>
              <w:jc w:val="both"/>
              <w:rPr>
                <w:noProof/>
                <w:sz w:val="20"/>
                <w:szCs w:val="20"/>
              </w:rPr>
            </w:pPr>
            <w:r>
              <w:rPr>
                <w:noProof/>
                <w:sz w:val="20"/>
                <w:szCs w:val="20"/>
              </w:rPr>
              <w:t>17 04 07</w:t>
            </w:r>
          </w:p>
        </w:tc>
        <w:tc>
          <w:tcPr>
            <w:tcW w:w="4961" w:type="dxa"/>
          </w:tcPr>
          <w:p>
            <w:pPr>
              <w:widowControl w:val="0"/>
              <w:tabs>
                <w:tab w:val="left" w:pos="1350"/>
              </w:tabs>
              <w:spacing w:before="15" w:after="15"/>
              <w:jc w:val="both"/>
              <w:rPr>
                <w:noProof/>
                <w:sz w:val="16"/>
                <w:szCs w:val="16"/>
              </w:rPr>
            </w:pPr>
            <w:r>
              <w:rPr>
                <w:noProof/>
                <w:sz w:val="16"/>
                <w:szCs w:val="16"/>
              </w:rPr>
              <w:t>Европейска агенция по химикалите — Дейности в областта на законодателството за биоцидите</w:t>
            </w:r>
          </w:p>
        </w:tc>
        <w:tc>
          <w:tcPr>
            <w:tcW w:w="1701" w:type="dxa"/>
          </w:tcPr>
          <w:p>
            <w:pPr>
              <w:widowControl w:val="0"/>
              <w:spacing w:before="15" w:after="15"/>
              <w:jc w:val="right"/>
              <w:rPr>
                <w:noProof/>
                <w:sz w:val="20"/>
                <w:szCs w:val="20"/>
                <w:highlight w:val="yellow"/>
              </w:rPr>
            </w:pPr>
            <w:r>
              <w:rPr>
                <w:noProof/>
                <w:sz w:val="20"/>
                <w:szCs w:val="20"/>
              </w:rPr>
              <w:t>1 900 000</w:t>
            </w:r>
          </w:p>
        </w:tc>
        <w:tc>
          <w:tcPr>
            <w:tcW w:w="1701" w:type="dxa"/>
          </w:tcPr>
          <w:p>
            <w:pPr>
              <w:widowControl w:val="0"/>
              <w:spacing w:before="15" w:after="15"/>
              <w:jc w:val="right"/>
              <w:rPr>
                <w:noProof/>
                <w:sz w:val="20"/>
                <w:szCs w:val="20"/>
                <w:highlight w:val="yellow"/>
              </w:rPr>
            </w:pPr>
            <w:r>
              <w:rPr>
                <w:noProof/>
                <w:sz w:val="20"/>
                <w:szCs w:val="20"/>
              </w:rPr>
              <w:t>1 900 000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Общо</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w:t>
            </w:r>
          </w:p>
        </w:tc>
        <w:tc>
          <w:tcPr>
            <w:tcW w:w="1701" w:type="dxa"/>
            <w:shd w:val="clear" w:color="auto" w:fill="D9D9D9"/>
          </w:tcPr>
          <w:p>
            <w:pPr>
              <w:widowControl w:val="0"/>
              <w:spacing w:before="15" w:after="15"/>
              <w:jc w:val="right"/>
              <w:rPr>
                <w:b/>
                <w:noProof/>
                <w:sz w:val="20"/>
                <w:szCs w:val="20"/>
              </w:rPr>
            </w:pPr>
            <w:r>
              <w:rPr>
                <w:b/>
                <w:noProof/>
                <w:sz w:val="20"/>
                <w:szCs w:val="20"/>
              </w:rPr>
              <w:t>-</w:t>
            </w:r>
          </w:p>
        </w:tc>
      </w:tr>
    </w:tbl>
    <w:p>
      <w:pPr>
        <w:keepNext/>
        <w:tabs>
          <w:tab w:val="left" w:pos="850"/>
        </w:tabs>
        <w:spacing w:before="360" w:after="120"/>
        <w:ind w:left="850" w:hanging="850"/>
        <w:jc w:val="both"/>
        <w:outlineLvl w:val="1"/>
        <w:rPr>
          <w:rFonts w:eastAsia="Calibri"/>
          <w:b/>
          <w:noProof/>
        </w:rPr>
      </w:pPr>
      <w:bookmarkStart w:id="24" w:name="_Toc461100993"/>
      <w:bookmarkStart w:id="25" w:name="_Toc527208355"/>
      <w:bookmarkEnd w:id="24"/>
      <w:r>
        <w:rPr>
          <w:b/>
          <w:noProof/>
        </w:rPr>
        <w:t>2.3</w:t>
      </w:r>
      <w:r>
        <w:rPr>
          <w:b/>
          <w:noProof/>
        </w:rPr>
        <w:tab/>
        <w:t>Европейски фонд за гарантиране на земеделието (ЕФГЗ)</w:t>
      </w:r>
      <w:bookmarkEnd w:id="25"/>
    </w:p>
    <w:p>
      <w:pPr>
        <w:autoSpaceDE w:val="0"/>
        <w:autoSpaceDN w:val="0"/>
        <w:adjustRightInd w:val="0"/>
        <w:spacing w:before="120" w:after="240"/>
        <w:jc w:val="both"/>
        <w:rPr>
          <w:noProof/>
        </w:rPr>
      </w:pPr>
      <w:r>
        <w:rPr>
          <w:noProof/>
        </w:rPr>
        <w:t>Поради известни закъснения в набирането на доставчици на ИТ услуги, както и отмяната на някои одити се предлага намаляване на нивото на бюджетните кредити за поети задължения и за плащания по бюджетна позиция 05 01 04 01 и бюджетна статия 05 08 09.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c>
          <w:tcPr>
            <w:tcW w:w="1276" w:type="dxa"/>
            <w:shd w:val="clear" w:color="auto" w:fill="D9D9D9"/>
            <w:vAlign w:val="center"/>
          </w:tcPr>
          <w:p>
            <w:pPr>
              <w:widowControl w:val="0"/>
              <w:spacing w:before="15" w:after="15"/>
              <w:jc w:val="center"/>
              <w:rPr>
                <w:b/>
                <w:noProof/>
                <w:sz w:val="20"/>
                <w:szCs w:val="20"/>
              </w:rPr>
            </w:pPr>
            <w:r>
              <w:rPr>
                <w:b/>
                <w:noProof/>
                <w:sz w:val="20"/>
                <w:szCs w:val="20"/>
              </w:rPr>
              <w:t>Бюджетен ред</w:t>
            </w:r>
          </w:p>
        </w:tc>
        <w:tc>
          <w:tcPr>
            <w:tcW w:w="4961" w:type="dxa"/>
            <w:shd w:val="clear" w:color="auto" w:fill="D9D9D9"/>
            <w:vAlign w:val="center"/>
          </w:tcPr>
          <w:p>
            <w:pPr>
              <w:widowControl w:val="0"/>
              <w:spacing w:before="15" w:after="15"/>
              <w:jc w:val="center"/>
              <w:rPr>
                <w:b/>
                <w:noProof/>
                <w:sz w:val="20"/>
                <w:szCs w:val="20"/>
              </w:rPr>
            </w:pPr>
            <w:r>
              <w:rPr>
                <w:b/>
                <w:noProof/>
                <w:sz w:val="20"/>
                <w:szCs w:val="20"/>
              </w:rPr>
              <w:t>Наименование</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Бюджетни кредити за поети задължения</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Бюджетни кредити за плащания</w:t>
            </w:r>
          </w:p>
        </w:tc>
      </w:tr>
      <w:tr>
        <w:tc>
          <w:tcPr>
            <w:tcW w:w="1276" w:type="dxa"/>
          </w:tcPr>
          <w:p>
            <w:pPr>
              <w:widowControl w:val="0"/>
              <w:spacing w:before="15" w:after="15"/>
              <w:ind w:right="-113"/>
              <w:jc w:val="both"/>
              <w:rPr>
                <w:noProof/>
                <w:sz w:val="20"/>
                <w:szCs w:val="20"/>
              </w:rPr>
            </w:pPr>
            <w:r>
              <w:rPr>
                <w:noProof/>
                <w:sz w:val="20"/>
                <w:szCs w:val="20"/>
              </w:rPr>
              <w:t>05 01 04 01</w:t>
            </w:r>
          </w:p>
        </w:tc>
        <w:tc>
          <w:tcPr>
            <w:tcW w:w="4961" w:type="dxa"/>
            <w:vAlign w:val="center"/>
          </w:tcPr>
          <w:p>
            <w:pPr>
              <w:widowControl w:val="0"/>
              <w:tabs>
                <w:tab w:val="left" w:pos="1350"/>
              </w:tabs>
              <w:spacing w:before="15" w:after="15"/>
              <w:rPr>
                <w:noProof/>
                <w:sz w:val="16"/>
                <w:szCs w:val="16"/>
              </w:rPr>
            </w:pPr>
            <w:r>
              <w:rPr>
                <w:noProof/>
                <w:sz w:val="16"/>
                <w:szCs w:val="16"/>
              </w:rPr>
              <w:t>Разходи за подкрепа на Европейския фонд за гарантиране на земеделието (ЕФГЗ) — неоперативна техническа помощ</w:t>
            </w:r>
          </w:p>
        </w:tc>
        <w:tc>
          <w:tcPr>
            <w:tcW w:w="1701" w:type="dxa"/>
          </w:tcPr>
          <w:p>
            <w:pPr>
              <w:widowControl w:val="0"/>
              <w:spacing w:before="15" w:after="15"/>
              <w:jc w:val="right"/>
              <w:rPr>
                <w:noProof/>
                <w:sz w:val="20"/>
                <w:szCs w:val="20"/>
              </w:rPr>
            </w:pPr>
            <w:r>
              <w:rPr>
                <w:noProof/>
                <w:sz w:val="20"/>
                <w:szCs w:val="20"/>
              </w:rPr>
              <w:t>-400 000</w:t>
            </w:r>
          </w:p>
        </w:tc>
        <w:tc>
          <w:tcPr>
            <w:tcW w:w="1701" w:type="dxa"/>
          </w:tcPr>
          <w:p>
            <w:pPr>
              <w:widowControl w:val="0"/>
              <w:spacing w:before="15" w:after="15"/>
              <w:jc w:val="right"/>
              <w:rPr>
                <w:noProof/>
                <w:sz w:val="20"/>
                <w:szCs w:val="20"/>
              </w:rPr>
            </w:pPr>
            <w:r>
              <w:rPr>
                <w:noProof/>
                <w:sz w:val="20"/>
                <w:szCs w:val="20"/>
              </w:rPr>
              <w:t>-400 000</w:t>
            </w:r>
          </w:p>
        </w:tc>
      </w:tr>
      <w:tr>
        <w:tc>
          <w:tcPr>
            <w:tcW w:w="1276" w:type="dxa"/>
          </w:tcPr>
          <w:p>
            <w:pPr>
              <w:widowControl w:val="0"/>
              <w:spacing w:before="15" w:after="15"/>
              <w:ind w:right="-113"/>
              <w:jc w:val="both"/>
              <w:rPr>
                <w:noProof/>
                <w:sz w:val="20"/>
                <w:szCs w:val="20"/>
              </w:rPr>
            </w:pPr>
            <w:r>
              <w:rPr>
                <w:noProof/>
                <w:sz w:val="20"/>
                <w:szCs w:val="20"/>
              </w:rPr>
              <w:t>05 08 09</w:t>
            </w:r>
          </w:p>
        </w:tc>
        <w:tc>
          <w:tcPr>
            <w:tcW w:w="4961" w:type="dxa"/>
            <w:vAlign w:val="center"/>
          </w:tcPr>
          <w:p>
            <w:pPr>
              <w:widowControl w:val="0"/>
              <w:tabs>
                <w:tab w:val="left" w:pos="1350"/>
              </w:tabs>
              <w:spacing w:before="15" w:after="15"/>
              <w:rPr>
                <w:noProof/>
                <w:sz w:val="16"/>
                <w:szCs w:val="16"/>
              </w:rPr>
            </w:pPr>
            <w:r>
              <w:rPr>
                <w:noProof/>
                <w:sz w:val="16"/>
                <w:szCs w:val="16"/>
              </w:rPr>
              <w:t>Европейски фонд за гарантиране на земеделието (ЕФГЗ) — оперативна техническа помощ</w:t>
            </w:r>
          </w:p>
        </w:tc>
        <w:tc>
          <w:tcPr>
            <w:tcW w:w="1701" w:type="dxa"/>
          </w:tcPr>
          <w:p>
            <w:pPr>
              <w:widowControl w:val="0"/>
              <w:spacing w:before="15" w:after="15"/>
              <w:jc w:val="right"/>
              <w:rPr>
                <w:noProof/>
                <w:sz w:val="20"/>
                <w:szCs w:val="20"/>
              </w:rPr>
            </w:pPr>
            <w:r>
              <w:rPr>
                <w:noProof/>
                <w:sz w:val="20"/>
                <w:szCs w:val="20"/>
              </w:rPr>
              <w:t>-1 000 000</w:t>
            </w:r>
          </w:p>
        </w:tc>
        <w:tc>
          <w:tcPr>
            <w:tcW w:w="1701" w:type="dxa"/>
          </w:tcPr>
          <w:p>
            <w:pPr>
              <w:widowControl w:val="0"/>
              <w:spacing w:before="15" w:after="15"/>
              <w:jc w:val="right"/>
              <w:rPr>
                <w:noProof/>
                <w:sz w:val="20"/>
                <w:szCs w:val="20"/>
              </w:rPr>
            </w:pPr>
            <w:r>
              <w:rPr>
                <w:noProof/>
                <w:sz w:val="20"/>
                <w:szCs w:val="20"/>
              </w:rPr>
              <w:t>-1 000 000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Общо</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-1 400 000</w:t>
            </w:r>
          </w:p>
        </w:tc>
        <w:tc>
          <w:tcPr>
            <w:tcW w:w="1701" w:type="dxa"/>
            <w:shd w:val="clear" w:color="auto" w:fill="D9D9D9"/>
          </w:tcPr>
          <w:p>
            <w:pPr>
              <w:widowControl w:val="0"/>
              <w:spacing w:before="15" w:after="15"/>
              <w:jc w:val="right"/>
              <w:rPr>
                <w:b/>
                <w:noProof/>
                <w:sz w:val="20"/>
                <w:szCs w:val="20"/>
              </w:rPr>
            </w:pPr>
            <w:r>
              <w:rPr>
                <w:b/>
                <w:noProof/>
                <w:sz w:val="20"/>
                <w:szCs w:val="20"/>
              </w:rPr>
              <w:t>-1 400 000</w:t>
            </w:r>
          </w:p>
        </w:tc>
      </w:tr>
    </w:tbl>
    <w:p>
      <w:pPr>
        <w:keepNext/>
        <w:tabs>
          <w:tab w:val="left" w:pos="850"/>
        </w:tabs>
        <w:spacing w:before="360" w:after="120"/>
        <w:ind w:left="850" w:hanging="850"/>
        <w:jc w:val="both"/>
        <w:outlineLvl w:val="1"/>
        <w:rPr>
          <w:rFonts w:eastAsia="Calibri"/>
          <w:b/>
          <w:noProof/>
        </w:rPr>
      </w:pPr>
      <w:bookmarkStart w:id="26" w:name="_Toc527208356"/>
      <w:r>
        <w:rPr>
          <w:b/>
          <w:noProof/>
        </w:rPr>
        <w:t>2.4</w:t>
      </w:r>
      <w:r>
        <w:rPr>
          <w:b/>
          <w:noProof/>
        </w:rPr>
        <w:tab/>
        <w:t>Европейски земеделски фонд за развитие на селските райони (ЕЗФРСР)</w:t>
      </w:r>
      <w:bookmarkEnd w:id="26"/>
    </w:p>
    <w:p>
      <w:pPr>
        <w:autoSpaceDE w:val="0"/>
        <w:autoSpaceDN w:val="0"/>
        <w:adjustRightInd w:val="0"/>
        <w:spacing w:before="120" w:after="240"/>
        <w:jc w:val="both"/>
        <w:rPr>
          <w:noProof/>
        </w:rPr>
      </w:pPr>
      <w:r>
        <w:rPr>
          <w:noProof/>
        </w:rPr>
        <w:t>Поради отлагането на планирани дейности/събития във връзка с европейските мрежи за развитие на селските райони и европейското партньорство за иновации се предлага да се намалят бюджетните кредити за поети задължения по бюджетна позиция 05 04 60 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Бюджетен ред</w:t>
            </w:r>
          </w:p>
        </w:tc>
        <w:tc>
          <w:tcPr>
            <w:tcW w:w="496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Бюджетни кредити за плащания</w:t>
            </w:r>
          </w:p>
        </w:tc>
      </w:tr>
      <w:tr>
        <w:tc>
          <w:tcPr>
            <w:tcW w:w="1276" w:type="dxa"/>
          </w:tcPr>
          <w:p>
            <w:pPr>
              <w:widowControl w:val="0"/>
              <w:spacing w:before="15" w:after="15"/>
              <w:ind w:right="-113"/>
              <w:jc w:val="both"/>
              <w:rPr>
                <w:noProof/>
                <w:sz w:val="20"/>
                <w:szCs w:val="20"/>
              </w:rPr>
            </w:pPr>
            <w:r>
              <w:rPr>
                <w:noProof/>
                <w:sz w:val="20"/>
                <w:szCs w:val="20"/>
              </w:rPr>
              <w:t>05 04 60 02</w:t>
            </w:r>
          </w:p>
        </w:tc>
        <w:tc>
          <w:tcPr>
            <w:tcW w:w="4961" w:type="dxa"/>
          </w:tcPr>
          <w:p>
            <w:pPr>
              <w:widowControl w:val="0"/>
              <w:tabs>
                <w:tab w:val="left" w:pos="1350"/>
              </w:tabs>
              <w:spacing w:before="15" w:after="15"/>
              <w:jc w:val="both"/>
              <w:rPr>
                <w:noProof/>
                <w:sz w:val="16"/>
                <w:szCs w:val="16"/>
              </w:rPr>
            </w:pPr>
            <w:r>
              <w:rPr>
                <w:noProof/>
                <w:sz w:val="16"/>
                <w:szCs w:val="16"/>
              </w:rPr>
              <w:t>Оперативна техническа помощ</w:t>
            </w:r>
          </w:p>
        </w:tc>
        <w:tc>
          <w:tcPr>
            <w:tcW w:w="1701" w:type="dxa"/>
          </w:tcPr>
          <w:p>
            <w:pPr>
              <w:widowControl w:val="0"/>
              <w:spacing w:before="15" w:after="15"/>
              <w:jc w:val="right"/>
              <w:rPr>
                <w:noProof/>
                <w:sz w:val="20"/>
                <w:szCs w:val="20"/>
              </w:rPr>
            </w:pPr>
            <w:r>
              <w:rPr>
                <w:noProof/>
                <w:sz w:val="20"/>
                <w:szCs w:val="20"/>
              </w:rPr>
              <w:t>-700 000</w:t>
            </w:r>
          </w:p>
        </w:tc>
        <w:tc>
          <w:tcPr>
            <w:tcW w:w="1701" w:type="dxa"/>
          </w:tcPr>
          <w:p>
            <w:pPr>
              <w:widowControl w:val="0"/>
              <w:spacing w:before="15" w:after="15"/>
              <w:jc w:val="right"/>
              <w:rPr>
                <w:noProof/>
                <w:sz w:val="20"/>
                <w:szCs w:val="20"/>
              </w:rPr>
            </w:pPr>
            <w:r>
              <w:rPr>
                <w:noProof/>
                <w:sz w:val="20"/>
                <w:szCs w:val="20"/>
              </w:rPr>
              <w:t>-</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Общо</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-700 000</w:t>
            </w:r>
          </w:p>
        </w:tc>
        <w:tc>
          <w:tcPr>
            <w:tcW w:w="1701" w:type="dxa"/>
            <w:shd w:val="clear" w:color="auto" w:fill="D9D9D9"/>
          </w:tcPr>
          <w:p>
            <w:pPr>
              <w:widowControl w:val="0"/>
              <w:spacing w:before="15" w:after="15"/>
              <w:jc w:val="right"/>
              <w:rPr>
                <w:b/>
                <w:noProof/>
                <w:sz w:val="20"/>
                <w:szCs w:val="20"/>
              </w:rPr>
            </w:pPr>
            <w:r>
              <w:rPr>
                <w:b/>
                <w:noProof/>
                <w:sz w:val="20"/>
                <w:szCs w:val="20"/>
              </w:rPr>
              <w:t>-</w:t>
            </w:r>
          </w:p>
        </w:tc>
      </w:tr>
    </w:tbl>
    <w:p>
      <w:pPr>
        <w:keepNext/>
        <w:tabs>
          <w:tab w:val="left" w:pos="850"/>
        </w:tabs>
        <w:spacing w:before="240" w:after="120"/>
        <w:ind w:left="851" w:hanging="851"/>
        <w:jc w:val="both"/>
        <w:outlineLvl w:val="0"/>
        <w:rPr>
          <w:noProof/>
        </w:rPr>
      </w:pPr>
      <w:bookmarkStart w:id="27" w:name="_Toc494994377"/>
      <w:bookmarkStart w:id="28" w:name="_Toc527208357"/>
      <w:bookmarkEnd w:id="18"/>
      <w:bookmarkEnd w:id="19"/>
      <w:bookmarkEnd w:id="20"/>
      <w:r>
        <w:rPr>
          <w:b/>
          <w:smallCaps/>
          <w:noProof/>
        </w:rPr>
        <w:t>3.</w:t>
      </w:r>
      <w:r>
        <w:rPr>
          <w:b/>
          <w:smallCaps/>
          <w:noProof/>
        </w:rPr>
        <w:tab/>
        <w:t>Актуализация на приходите</w:t>
      </w:r>
      <w:bookmarkEnd w:id="27"/>
      <w:bookmarkEnd w:id="28"/>
      <w:r>
        <w:rPr>
          <w:b/>
          <w:smallCaps/>
          <w:noProof/>
        </w:rPr>
        <w:t xml:space="preserve"> </w:t>
      </w:r>
    </w:p>
    <w:p>
      <w:pPr>
        <w:keepNext/>
        <w:tabs>
          <w:tab w:val="left" w:pos="850"/>
        </w:tabs>
        <w:spacing w:before="360" w:after="120"/>
        <w:ind w:left="850" w:hanging="850"/>
        <w:jc w:val="both"/>
        <w:outlineLvl w:val="1"/>
        <w:rPr>
          <w:rFonts w:eastAsia="Calibri"/>
          <w:b/>
          <w:noProof/>
        </w:rPr>
      </w:pPr>
      <w:bookmarkStart w:id="29" w:name="_Toc462410058"/>
      <w:bookmarkStart w:id="30" w:name="_Toc494994378"/>
      <w:bookmarkStart w:id="31" w:name="_Toc527208358"/>
      <w:r>
        <w:rPr>
          <w:b/>
          <w:noProof/>
        </w:rPr>
        <w:t>3.1</w:t>
      </w:r>
      <w:r>
        <w:rPr>
          <w:b/>
          <w:noProof/>
        </w:rPr>
        <w:tab/>
        <w:t>Общо отражение на ПКБ 6/2018 върху разпределението на общите плащания по собствените ресурси между държавите членки</w:t>
      </w:r>
      <w:bookmarkEnd w:id="29"/>
      <w:bookmarkEnd w:id="30"/>
      <w:bookmarkEnd w:id="31"/>
    </w:p>
    <w:p>
      <w:pPr>
        <w:autoSpaceDE w:val="0"/>
        <w:autoSpaceDN w:val="0"/>
        <w:adjustRightInd w:val="0"/>
        <w:spacing w:before="120" w:after="240"/>
        <w:jc w:val="both"/>
        <w:rPr>
          <w:noProof/>
        </w:rPr>
      </w:pPr>
      <w:r>
        <w:rPr>
          <w:noProof/>
        </w:rPr>
        <w:t>След 172-то заседание на Консултативния комитет по собствените ресурси (ККСР) от 18 май 2018 г. е необходимо да бъдат направени две корекции на приходната част на бюджета. Първата от тези корекции представлява актуализация на прогнозите за традиционните собствени ресурси (ТСР), както и за данъка върху добавената стойност (ДДС) и брутния национален доход (БНД), които се актуализират, за да се вземат предвид по-актуални икономически прогнози. Втората корекция в приходната част представлява актуализация на корекцията за Обединеното кралство. Тези две корекции са представени в точки 3.2 и 3.3 по-долу.</w:t>
      </w:r>
    </w:p>
    <w:p>
      <w:pPr>
        <w:rPr>
          <w:noProof/>
          <w:lang w:val="en-GB"/>
        </w:rPr>
      </w:pPr>
      <w:r>
        <w:rPr>
          <w:noProof/>
        </w:rPr>
        <w:br w:type="page"/>
      </w:r>
    </w:p>
    <w:p>
      <w:pPr>
        <w:autoSpaceDE w:val="0"/>
        <w:autoSpaceDN w:val="0"/>
        <w:adjustRightInd w:val="0"/>
        <w:spacing w:before="120" w:after="240"/>
        <w:jc w:val="both"/>
        <w:rPr>
          <w:noProof/>
        </w:rPr>
      </w:pPr>
      <w:r>
        <w:rPr>
          <w:noProof/>
        </w:rPr>
        <w:t>Общото отражение на корекциите на разходите и приходите в настоящия ПКБ е представено в обобщаващата таблица по-долу. Таблицата показва също така разпределението на общите плащания по собствените ресурси между държавите членки: както са записани в бюджета за 2018 г., изменен с коригиращ бюджет (КБ) 4/2018</w:t>
      </w:r>
      <w:r>
        <w:rPr>
          <w:rStyle w:val="FootnoteReference"/>
          <w:noProof/>
          <w:sz w:val="20"/>
          <w:szCs w:val="20"/>
          <w:lang w:eastAsia="de-DE"/>
        </w:rPr>
        <w:footnoteReference w:id="9"/>
      </w:r>
      <w:r>
        <w:rPr>
          <w:noProof/>
        </w:rPr>
        <w:t>, и накрая в настоящия ПКБ.</w:t>
      </w:r>
    </w:p>
    <w:p>
      <w:pPr>
        <w:jc w:val="center"/>
        <w:rPr>
          <w:b/>
          <w:noProof/>
        </w:rPr>
      </w:pPr>
      <w:r>
        <w:rPr>
          <w:b/>
          <w:noProof/>
        </w:rPr>
        <w:t>Разпределение на общите плащания по собствените ресурси по държави членки (в милиони евро)</w:t>
      </w:r>
    </w:p>
    <w:p>
      <w:pPr>
        <w:rPr>
          <w:b/>
          <w:noProof/>
        </w:rPr>
      </w:pPr>
    </w:p>
    <w:tbl>
      <w:tblPr>
        <w:tblW w:w="5440" w:type="dxa"/>
        <w:jc w:val="center"/>
        <w:tblLook w:val="04A0" w:firstRow="1" w:lastRow="0" w:firstColumn="1" w:lastColumn="0" w:noHBand="0" w:noVBand="1"/>
      </w:tblPr>
      <w:tblGrid>
        <w:gridCol w:w="960"/>
        <w:gridCol w:w="1460"/>
        <w:gridCol w:w="1520"/>
        <w:gridCol w:w="1500"/>
      </w:tblGrid>
      <w:tr>
        <w:trPr>
          <w:trHeight w:val="375"/>
          <w:tblHeader/>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rPr>
            </w:pPr>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Бюджет за 2018 г.</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КБ 4/2018</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ПКБ 6/2018</w:t>
            </w:r>
          </w:p>
        </w:tc>
      </w:tr>
      <w:tr>
        <w:trPr>
          <w:trHeight w:val="23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r>
      <w:tr>
        <w:trPr>
          <w:trHeight w:val="209"/>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BE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6 213,5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6 201,5 </w:t>
            </w:r>
          </w:p>
        </w:tc>
        <w:tc>
          <w:tcPr>
            <w:tcW w:w="1500" w:type="dxa"/>
            <w:tcBorders>
              <w:top w:val="single" w:sz="4" w:space="0" w:color="auto"/>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5 932,0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BG</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519,3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518,0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535,3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CZ</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1 787,1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1 782,3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1 941,3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DK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2 754,8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2 746,6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2 735,6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DE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29 560,3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29 468,7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29 579,3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232,3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231,7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241,5</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2 299,5 </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2 293,0 </w:t>
            </w:r>
          </w:p>
        </w:tc>
        <w:tc>
          <w:tcPr>
            <w:tcW w:w="1500" w:type="dxa"/>
            <w:tcBorders>
              <w:top w:val="single" w:sz="4" w:space="0" w:color="auto"/>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2 401,4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1 743,0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1 737,9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1 701,8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ES</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11 870,8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11 838,5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11 831,1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FR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21 933,3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21 869,0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22 182,5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HR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470,1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468,8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479,9</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bCs/>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16 586,9 </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16 539,8 </w:t>
            </w:r>
          </w:p>
        </w:tc>
        <w:tc>
          <w:tcPr>
            <w:tcW w:w="1500" w:type="dxa"/>
            <w:tcBorders>
              <w:top w:val="nil"/>
              <w:left w:val="nil"/>
              <w:bottom w:val="single" w:sz="4" w:space="0" w:color="auto"/>
              <w:right w:val="single" w:sz="4" w:space="0" w:color="auto"/>
            </w:tcBorders>
            <w:shd w:val="clear" w:color="auto" w:fill="FFFFFF" w:themeFill="background1"/>
            <w:noWrap/>
            <w:vAlign w:val="center"/>
          </w:tcPr>
          <w:p>
            <w:pPr>
              <w:jc w:val="right"/>
              <w:rPr>
                <w:noProof/>
                <w:sz w:val="20"/>
                <w:highlight w:val="yellow"/>
              </w:rPr>
            </w:pPr>
            <w:r>
              <w:rPr>
                <w:noProof/>
                <w:sz w:val="20"/>
                <w:szCs w:val="20"/>
              </w:rPr>
              <w:t>16 714,2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CY</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182,2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181,7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195,0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LV</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281,8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281,1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274,0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434,1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433,0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439,4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363,0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361,9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363,6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HU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1,199,6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1 196,3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1 223,7</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103,6 </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103,3 </w:t>
            </w:r>
          </w:p>
        </w:tc>
        <w:tc>
          <w:tcPr>
            <w:tcW w:w="1500" w:type="dxa"/>
            <w:tcBorders>
              <w:top w:val="single" w:sz="4" w:space="0" w:color="auto"/>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110,6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NL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7 378,4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7 358,6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7 331,7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AT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3 228,2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3 218,2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3 353,1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PL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4 645,3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4 632,7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4 779,7</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bCs/>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1 824,8 </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1 819,6 </w:t>
            </w:r>
          </w:p>
        </w:tc>
        <w:tc>
          <w:tcPr>
            <w:tcW w:w="1500" w:type="dxa"/>
            <w:tcBorders>
              <w:top w:val="nil"/>
              <w:left w:val="nil"/>
              <w:bottom w:val="single" w:sz="4" w:space="0" w:color="auto"/>
              <w:right w:val="single" w:sz="4" w:space="0" w:color="auto"/>
            </w:tcBorders>
            <w:shd w:val="clear" w:color="auto" w:fill="FFFFFF" w:themeFill="background1"/>
            <w:noWrap/>
            <w:vAlign w:val="center"/>
          </w:tcPr>
          <w:p>
            <w:pPr>
              <w:jc w:val="right"/>
              <w:rPr>
                <w:noProof/>
                <w:sz w:val="20"/>
                <w:highlight w:val="yellow"/>
              </w:rPr>
            </w:pPr>
            <w:r>
              <w:rPr>
                <w:noProof/>
                <w:sz w:val="20"/>
                <w:szCs w:val="20"/>
              </w:rPr>
              <w:t>1 865,3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RO</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1 706,0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1 701,0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1 803,3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443,9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442,8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456,8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813,5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811,2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829,9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FI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2 062,3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2 056,2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2 132,1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4 042,0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4 028,5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4 013,0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UK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18 152,6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18 086,7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16 916,5</w:t>
            </w:r>
          </w:p>
        </w:tc>
      </w:tr>
      <w:tr>
        <w:trPr>
          <w:trHeight w:val="315"/>
          <w:jc w:val="center"/>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pPr>
              <w:jc w:val="center"/>
              <w:rPr>
                <w:b/>
                <w:bCs/>
                <w:noProof/>
                <w:color w:val="000000"/>
                <w:sz w:val="20"/>
              </w:rPr>
            </w:pPr>
            <w:r>
              <w:rPr>
                <w:b/>
                <w:bCs/>
                <w:noProof/>
                <w:color w:val="000000"/>
                <w:sz w:val="20"/>
              </w:rPr>
              <w:t>EС</w:t>
            </w:r>
          </w:p>
        </w:tc>
        <w:tc>
          <w:tcPr>
            <w:tcW w:w="146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rPr>
            </w:pPr>
            <w:r>
              <w:rPr>
                <w:b/>
                <w:bCs/>
                <w:noProof/>
                <w:sz w:val="20"/>
              </w:rPr>
              <w:t>142 832,3</w:t>
            </w:r>
          </w:p>
        </w:tc>
        <w:tc>
          <w:tcPr>
            <w:tcW w:w="152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rPr>
            </w:pPr>
            <w:r>
              <w:rPr>
                <w:b/>
                <w:bCs/>
                <w:noProof/>
                <w:sz w:val="20"/>
              </w:rPr>
              <w:t>142 408,4</w:t>
            </w:r>
          </w:p>
        </w:tc>
        <w:tc>
          <w:tcPr>
            <w:tcW w:w="1500" w:type="dxa"/>
            <w:tcBorders>
              <w:top w:val="single" w:sz="4" w:space="0" w:color="auto"/>
              <w:left w:val="nil"/>
              <w:bottom w:val="single" w:sz="8" w:space="0" w:color="auto"/>
              <w:right w:val="single" w:sz="4" w:space="0" w:color="auto"/>
            </w:tcBorders>
            <w:shd w:val="clear" w:color="auto" w:fill="FFFFFF" w:themeFill="background1"/>
            <w:vAlign w:val="center"/>
          </w:tcPr>
          <w:p>
            <w:pPr>
              <w:jc w:val="right"/>
              <w:rPr>
                <w:b/>
                <w:bCs/>
                <w:noProof/>
                <w:sz w:val="20"/>
                <w:highlight w:val="yellow"/>
              </w:rPr>
            </w:pPr>
            <w:r>
              <w:rPr>
                <w:b/>
                <w:bCs/>
                <w:noProof/>
                <w:sz w:val="20"/>
                <w:szCs w:val="20"/>
              </w:rPr>
              <w:t>142 363,7</w:t>
            </w:r>
          </w:p>
        </w:tc>
      </w:tr>
    </w:tbl>
    <w:p>
      <w:pPr>
        <w:rPr>
          <w:rFonts w:eastAsia="Calibri"/>
          <w:b/>
          <w:noProof/>
        </w:rPr>
      </w:pPr>
      <w:bookmarkStart w:id="32" w:name="_Toc462410059"/>
      <w:r>
        <w:rPr>
          <w:noProof/>
        </w:rPr>
        <w:br w:type="page"/>
      </w:r>
    </w:p>
    <w:p>
      <w:pPr>
        <w:keepNext/>
        <w:tabs>
          <w:tab w:val="left" w:pos="850"/>
        </w:tabs>
        <w:spacing w:before="360" w:after="120"/>
        <w:ind w:left="850" w:hanging="850"/>
        <w:jc w:val="both"/>
        <w:outlineLvl w:val="1"/>
        <w:rPr>
          <w:rFonts w:eastAsia="Calibri"/>
          <w:b/>
          <w:noProof/>
        </w:rPr>
      </w:pPr>
      <w:bookmarkStart w:id="33" w:name="_Toc527208359"/>
      <w:r>
        <w:rPr>
          <w:b/>
          <w:noProof/>
        </w:rPr>
        <w:t>3.2</w:t>
      </w:r>
      <w:r>
        <w:rPr>
          <w:b/>
          <w:noProof/>
        </w:rPr>
        <w:tab/>
        <w:t>Преразглеждане на прогнозата за ТСР, за базите за ДДС и за базите за БНД</w:t>
      </w:r>
      <w:bookmarkEnd w:id="32"/>
      <w:bookmarkEnd w:id="33"/>
    </w:p>
    <w:p>
      <w:pPr>
        <w:spacing w:before="120" w:after="120"/>
        <w:jc w:val="both"/>
        <w:rPr>
          <w:noProof/>
        </w:rPr>
      </w:pPr>
      <w:r>
        <w:rPr>
          <w:noProof/>
        </w:rPr>
        <w:t xml:space="preserve">Съгласно установената практика Комисията предлага да преразгледа финансирането на бюджета въз основа на по-актуални икономически прогнози, договорени с държавите членки на заседанието на ККСР. </w:t>
      </w:r>
    </w:p>
    <w:p>
      <w:pPr>
        <w:spacing w:before="120" w:after="120"/>
        <w:jc w:val="both"/>
        <w:rPr>
          <w:noProof/>
        </w:rPr>
      </w:pPr>
      <w:r>
        <w:rPr>
          <w:noProof/>
        </w:rPr>
        <w:t>Преразглеждането се отнася до прогнозата за традиционните собствени ресурси (ТСР), които трябва да бъдат изплатени в бюджета за 2018 г., както и до прогнозата за базите за ДДС и за БНД за 2018 г. Прогнозата в бюджета за 2018 г. бе определена на 169-то заседание на ККСР, проведено на 19 май 2017 г. Преразглеждането в настоящия ПКБ взема под внимание договорените прогнози от 172-то заседание на ККСР, проведено на 18 май 2018 г. Използването на актуализирана прогноза за собствените ресурси подобрява точността на прогнозите за приходите и оттам на плащанията, които се изисква държавите членки да извършват в полза на бюджета на ЕС в хода на бюджетната година.</w:t>
      </w:r>
    </w:p>
    <w:p>
      <w:pPr>
        <w:spacing w:before="120" w:after="120"/>
        <w:jc w:val="both"/>
        <w:rPr>
          <w:noProof/>
        </w:rPr>
      </w:pPr>
      <w:r>
        <w:rPr>
          <w:noProof/>
        </w:rPr>
        <w:t>В сравнение с прогнозите, договорени през май 2017 г., тези за 2018 г. се променят по следния начин:</w:t>
      </w:r>
    </w:p>
    <w:p>
      <w:pPr>
        <w:numPr>
          <w:ilvl w:val="0"/>
          <w:numId w:val="2"/>
        </w:numPr>
        <w:spacing w:before="120" w:after="240"/>
        <w:jc w:val="both"/>
        <w:rPr>
          <w:noProof/>
        </w:rPr>
      </w:pPr>
      <w:r>
        <w:rPr>
          <w:noProof/>
        </w:rPr>
        <w:t>Към момента общата прогноза за нетните мита за 2018 г. възлиза на 20 164,6 милиона евро (след приспадане на 20 % за разходи по събирането), което представлява намаление от 11,73 % спрямо прогнозата от 22 844,0 милиона евро, включена в бюджета за 2018 г. Комисията сравни резултатите от традиционната методика за прогнозиране на ККСР (въз основа на макроикономическите прогнози от пролетта на 2018 г.) с резултатите от екстраполацията на база на най-новите данни за събраните мита (януари—април 2018 г.). Тъй като разликата между двата метода беше сравнително голяма, традиционната актуализирана прогноза на ККСР за ТСР бе напълно коригирана спрямо прогнозата по метода на екстраполиране. Като се вземат обаче предвид и събраните суми след заседанието на ККСР (май—август 2018 г.) и въз основа на същия метод на екстраполиране, Комисията актуализира допълнително прогнозата си за нетните мита през 2018 г.</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25"/>
        <w:gridCol w:w="2846"/>
        <w:gridCol w:w="2846"/>
      </w:tblGrid>
      <w:tr>
        <w:trPr>
          <w:trHeight w:val="625"/>
          <w:jc w:val="center"/>
        </w:trPr>
        <w:tc>
          <w:tcPr>
            <w:tcW w:w="2225" w:type="dxa"/>
            <w:shd w:val="clear" w:color="auto" w:fill="D9D9D9" w:themeFill="background1" w:themeFillShade="D9"/>
            <w:vAlign w:val="center"/>
          </w:tcPr>
          <w:p>
            <w:pPr>
              <w:spacing w:before="60" w:after="60"/>
              <w:jc w:val="center"/>
              <w:rPr>
                <w:b/>
                <w:noProof/>
                <w:sz w:val="20"/>
                <w:szCs w:val="20"/>
              </w:rPr>
            </w:pPr>
            <w:r>
              <w:rPr>
                <w:b/>
                <w:noProof/>
                <w:sz w:val="20"/>
                <w:szCs w:val="20"/>
              </w:rPr>
              <w:t>Прогноза</w:t>
            </w:r>
          </w:p>
        </w:tc>
        <w:tc>
          <w:tcPr>
            <w:tcW w:w="2846" w:type="dxa"/>
            <w:shd w:val="clear" w:color="auto" w:fill="D9D9D9" w:themeFill="background1" w:themeFillShade="D9"/>
            <w:vAlign w:val="center"/>
          </w:tcPr>
          <w:p>
            <w:pPr>
              <w:spacing w:before="60" w:after="60"/>
              <w:jc w:val="center"/>
              <w:rPr>
                <w:b/>
                <w:noProof/>
                <w:sz w:val="20"/>
                <w:szCs w:val="20"/>
              </w:rPr>
            </w:pPr>
            <w:r>
              <w:rPr>
                <w:b/>
                <w:noProof/>
                <w:sz w:val="20"/>
                <w:szCs w:val="20"/>
              </w:rPr>
              <w:t>Размер в милиони евро</w:t>
            </w:r>
          </w:p>
        </w:tc>
        <w:tc>
          <w:tcPr>
            <w:tcW w:w="2846" w:type="dxa"/>
            <w:shd w:val="clear" w:color="auto" w:fill="D9D9D9" w:themeFill="background1" w:themeFillShade="D9"/>
            <w:vAlign w:val="center"/>
          </w:tcPr>
          <w:p>
            <w:pPr>
              <w:spacing w:before="60" w:after="60"/>
              <w:jc w:val="center"/>
              <w:rPr>
                <w:b/>
                <w:noProof/>
                <w:sz w:val="20"/>
                <w:szCs w:val="20"/>
              </w:rPr>
            </w:pPr>
            <w:r>
              <w:rPr>
                <w:b/>
                <w:noProof/>
                <w:sz w:val="20"/>
                <w:szCs w:val="20"/>
              </w:rPr>
              <w:t>Разлика с предходната прогноза</w:t>
            </w:r>
          </w:p>
        </w:tc>
      </w:tr>
      <w:tr>
        <w:trPr>
          <w:trHeight w:val="305"/>
          <w:jc w:val="center"/>
        </w:trPr>
        <w:tc>
          <w:tcPr>
            <w:tcW w:w="2225" w:type="dxa"/>
            <w:vAlign w:val="center"/>
          </w:tcPr>
          <w:p>
            <w:pPr>
              <w:spacing w:before="60" w:after="60"/>
              <w:jc w:val="center"/>
              <w:rPr>
                <w:noProof/>
                <w:sz w:val="20"/>
                <w:szCs w:val="20"/>
              </w:rPr>
            </w:pPr>
            <w:r>
              <w:rPr>
                <w:noProof/>
                <w:sz w:val="20"/>
                <w:szCs w:val="20"/>
              </w:rPr>
              <w:t>Бюджет за 2018 г.</w:t>
            </w:r>
          </w:p>
        </w:tc>
        <w:tc>
          <w:tcPr>
            <w:tcW w:w="2846" w:type="dxa"/>
            <w:vAlign w:val="center"/>
          </w:tcPr>
          <w:p>
            <w:pPr>
              <w:spacing w:before="60" w:after="60"/>
              <w:jc w:val="center"/>
              <w:rPr>
                <w:noProof/>
                <w:sz w:val="20"/>
                <w:szCs w:val="20"/>
              </w:rPr>
            </w:pPr>
            <w:r>
              <w:rPr>
                <w:noProof/>
                <w:sz w:val="20"/>
                <w:szCs w:val="20"/>
              </w:rPr>
              <w:t>22 844,0</w:t>
            </w:r>
          </w:p>
        </w:tc>
        <w:tc>
          <w:tcPr>
            <w:tcW w:w="2846" w:type="dxa"/>
            <w:vAlign w:val="center"/>
          </w:tcPr>
          <w:p>
            <w:pPr>
              <w:spacing w:before="60" w:after="60"/>
              <w:jc w:val="center"/>
              <w:rPr>
                <w:noProof/>
                <w:sz w:val="20"/>
                <w:szCs w:val="20"/>
                <w:lang w:eastAsia="de-DE"/>
              </w:rPr>
            </w:pPr>
          </w:p>
        </w:tc>
      </w:tr>
      <w:tr>
        <w:trPr>
          <w:jc w:val="center"/>
        </w:trPr>
        <w:tc>
          <w:tcPr>
            <w:tcW w:w="2225" w:type="dxa"/>
            <w:vAlign w:val="center"/>
          </w:tcPr>
          <w:p>
            <w:pPr>
              <w:spacing w:before="60" w:after="60"/>
              <w:jc w:val="center"/>
              <w:rPr>
                <w:noProof/>
                <w:sz w:val="20"/>
                <w:szCs w:val="20"/>
              </w:rPr>
            </w:pPr>
            <w:r>
              <w:rPr>
                <w:noProof/>
                <w:sz w:val="20"/>
                <w:szCs w:val="20"/>
              </w:rPr>
              <w:t>ККСР, май 2018 г.</w:t>
            </w:r>
          </w:p>
        </w:tc>
        <w:tc>
          <w:tcPr>
            <w:tcW w:w="2846" w:type="dxa"/>
            <w:vAlign w:val="center"/>
          </w:tcPr>
          <w:p>
            <w:pPr>
              <w:spacing w:before="60" w:after="60"/>
              <w:jc w:val="center"/>
              <w:rPr>
                <w:noProof/>
                <w:sz w:val="20"/>
                <w:szCs w:val="20"/>
              </w:rPr>
            </w:pPr>
            <w:r>
              <w:rPr>
                <w:noProof/>
                <w:sz w:val="20"/>
                <w:szCs w:val="20"/>
              </w:rPr>
              <w:t>20 501,6</w:t>
            </w:r>
          </w:p>
        </w:tc>
        <w:tc>
          <w:tcPr>
            <w:tcW w:w="2846" w:type="dxa"/>
            <w:vAlign w:val="center"/>
          </w:tcPr>
          <w:p>
            <w:pPr>
              <w:spacing w:before="60" w:after="60"/>
              <w:jc w:val="center"/>
              <w:rPr>
                <w:noProof/>
                <w:sz w:val="20"/>
                <w:szCs w:val="20"/>
              </w:rPr>
            </w:pPr>
            <w:r>
              <w:rPr>
                <w:noProof/>
                <w:sz w:val="20"/>
                <w:szCs w:val="20"/>
              </w:rPr>
              <w:t>-2 342,4</w:t>
            </w:r>
          </w:p>
        </w:tc>
      </w:tr>
      <w:tr>
        <w:trPr>
          <w:jc w:val="center"/>
        </w:trPr>
        <w:tc>
          <w:tcPr>
            <w:tcW w:w="2225" w:type="dxa"/>
            <w:vAlign w:val="center"/>
          </w:tcPr>
          <w:p>
            <w:pPr>
              <w:spacing w:before="60" w:after="60"/>
              <w:jc w:val="center"/>
              <w:rPr>
                <w:noProof/>
                <w:sz w:val="20"/>
                <w:szCs w:val="20"/>
              </w:rPr>
            </w:pPr>
            <w:r>
              <w:rPr>
                <w:noProof/>
                <w:sz w:val="20"/>
                <w:szCs w:val="20"/>
              </w:rPr>
              <w:t>ПКБ 6/2018</w:t>
            </w:r>
          </w:p>
        </w:tc>
        <w:tc>
          <w:tcPr>
            <w:tcW w:w="2846" w:type="dxa"/>
            <w:vAlign w:val="center"/>
          </w:tcPr>
          <w:p>
            <w:pPr>
              <w:spacing w:before="60" w:after="60"/>
              <w:jc w:val="center"/>
              <w:rPr>
                <w:noProof/>
                <w:sz w:val="20"/>
                <w:szCs w:val="20"/>
              </w:rPr>
            </w:pPr>
            <w:r>
              <w:rPr>
                <w:noProof/>
                <w:sz w:val="20"/>
                <w:szCs w:val="20"/>
              </w:rPr>
              <w:t>20 164,6</w:t>
            </w:r>
          </w:p>
        </w:tc>
        <w:tc>
          <w:tcPr>
            <w:tcW w:w="2846" w:type="dxa"/>
            <w:vAlign w:val="center"/>
          </w:tcPr>
          <w:p>
            <w:pPr>
              <w:spacing w:before="60" w:after="60"/>
              <w:jc w:val="center"/>
              <w:rPr>
                <w:noProof/>
                <w:sz w:val="20"/>
                <w:szCs w:val="20"/>
              </w:rPr>
            </w:pPr>
            <w:r>
              <w:rPr>
                <w:noProof/>
                <w:sz w:val="20"/>
                <w:szCs w:val="20"/>
              </w:rPr>
              <w:t>-337,0</w:t>
            </w:r>
          </w:p>
        </w:tc>
      </w:tr>
    </w:tbl>
    <w:p>
      <w:pPr>
        <w:numPr>
          <w:ilvl w:val="0"/>
          <w:numId w:val="2"/>
        </w:numPr>
        <w:spacing w:before="240" w:after="120"/>
        <w:jc w:val="both"/>
        <w:rPr>
          <w:noProof/>
        </w:rPr>
      </w:pPr>
      <w:r>
        <w:rPr>
          <w:noProof/>
        </w:rPr>
        <w:t>Решение на Съда по дело C-585/15 (дело Raffinerie Tirlemontoise), отменени регламенти (ЕО) № 2267/2000 и (ЕО) № 1993/2001. С Регламент (ЕС) 2018/264 на Съвета от 19 февруари 2018 г. се определят преразгледаните налози върху производството и коефициентът за изчисляване на допълнителния налог в сектора на захарта за 1999/2000 пазарна година, както и налозите върху производството в сектора на захарта за 2000/2001 пазарна година.</w:t>
      </w:r>
    </w:p>
    <w:p>
      <w:pPr>
        <w:spacing w:before="120" w:after="120"/>
        <w:ind w:left="283"/>
        <w:jc w:val="both"/>
        <w:rPr>
          <w:noProof/>
        </w:rPr>
      </w:pPr>
      <w:r>
        <w:rPr>
          <w:noProof/>
        </w:rPr>
        <w:t>Вследствие на това на държавите членки ще бъдат възстановени приблизително 93,0 милиона евро (нетна сума) във връзка с надплатени налози върху захарта. Очаква се средствата да бъдат върнати до края на годината. Поради това Комисията предлага възстановяването да бъде записано в статия 110 (налози върху производството за 2005/2006 пазарна година и предходни години) от приходната част на бюджета.</w:t>
      </w:r>
    </w:p>
    <w:p>
      <w:pPr>
        <w:numPr>
          <w:ilvl w:val="0"/>
          <w:numId w:val="2"/>
        </w:numPr>
        <w:spacing w:before="120" w:after="120"/>
        <w:jc w:val="both"/>
        <w:rPr>
          <w:noProof/>
        </w:rPr>
      </w:pPr>
      <w:r>
        <w:rPr>
          <w:noProof/>
        </w:rPr>
        <w:t>Прогнозата за общата база за ДДС без таван за ЕС за 2018 г. понастоящем е на стойност 6 695 538,5 милиона евро, което представлява намаление с 0,53 % в сравнение с прогнозата от май 2017 г. на стойност 6 731 265,9 милиона евро. Прогнозата за общата база за ДДС с таван за ЕС за 2018 г.</w:t>
      </w:r>
      <w:r>
        <w:rPr>
          <w:noProof/>
          <w:vertAlign w:val="superscript"/>
          <w:lang w:eastAsia="de-DE"/>
        </w:rPr>
        <w:footnoteReference w:id="10"/>
      </w:r>
      <w:r>
        <w:rPr>
          <w:noProof/>
        </w:rPr>
        <w:t xml:space="preserve"> е на стойност 6 676 686,2 милиона евро, което представлява намаление с 0,52 % в сравнение с прогнозата от май 2017 г. на стойност 6 711 411,1 милиона евро.</w:t>
      </w:r>
    </w:p>
    <w:p>
      <w:pPr>
        <w:numPr>
          <w:ilvl w:val="0"/>
          <w:numId w:val="2"/>
        </w:numPr>
        <w:spacing w:before="120" w:after="120"/>
        <w:jc w:val="both"/>
        <w:rPr>
          <w:noProof/>
        </w:rPr>
      </w:pPr>
      <w:r>
        <w:rPr>
          <w:noProof/>
        </w:rPr>
        <w:t>Прогнозата за общата база за БНД за ЕС за 2018 г. е на стойност 15 871 050,2 милиона евро, което представлява увеличение (+0,78 %) в сравнение с прогнозата от май 2017 г. на стойност 15 747 670,0 милиона евро.</w:t>
      </w:r>
    </w:p>
    <w:p>
      <w:pPr>
        <w:spacing w:before="120" w:after="120"/>
        <w:jc w:val="both"/>
        <w:rPr>
          <w:noProof/>
        </w:rPr>
      </w:pPr>
      <w:r>
        <w:rPr>
          <w:noProof/>
        </w:rPr>
        <w:t>За конвертиране на прогнозите за базите за ДДС и за БНД от национални валути в евро (за деветте държави членки, които не са членки на еврозоната) бяха използвани обменните курсове от 29 декември 2017 г. По този начин се избягва изкривяване, тъй като това е курсът, който се използва за конвертиране на вписаните в бюджета плащания по собствените ресурси от евро в национална валута, когато се изискват сумите (съгласно член 10а, параграф 1 от Регламент № 609/2014 на Съвета).</w:t>
      </w:r>
    </w:p>
    <w:p>
      <w:pPr>
        <w:spacing w:before="120" w:after="120"/>
        <w:jc w:val="both"/>
        <w:rPr>
          <w:noProof/>
        </w:rPr>
      </w:pPr>
      <w:r>
        <w:rPr>
          <w:noProof/>
        </w:rPr>
        <w:t>Преразгледаните прогнози за ТСР, за базите за ДДС без таван и за базите за БНД за 2018 г. са посочени в следната таблица:</w:t>
      </w:r>
    </w:p>
    <w:p>
      <w:pPr>
        <w:keepNext/>
        <w:jc w:val="center"/>
        <w:rPr>
          <w:b/>
          <w:i/>
          <w:noProof/>
        </w:rPr>
      </w:pPr>
      <w:r>
        <w:rPr>
          <w:b/>
          <w:noProof/>
        </w:rPr>
        <w:t xml:space="preserve">Преразгледани прогнози за ТСР и за базите за ДДС и за БНД за 2018 г. </w:t>
      </w:r>
      <w:r>
        <w:rPr>
          <w:b/>
          <w:i/>
          <w:noProof/>
        </w:rPr>
        <w:t>(в милиони евро)</w:t>
      </w:r>
    </w:p>
    <w:tbl>
      <w:tblPr>
        <w:tblW w:w="0" w:type="auto"/>
        <w:jc w:val="center"/>
        <w:tblLayout w:type="fixed"/>
        <w:tblLook w:val="0000" w:firstRow="0" w:lastRow="0" w:firstColumn="0" w:lastColumn="0" w:noHBand="0" w:noVBand="0"/>
      </w:tblPr>
      <w:tblGrid>
        <w:gridCol w:w="829"/>
        <w:gridCol w:w="1404"/>
        <w:gridCol w:w="1404"/>
        <w:gridCol w:w="1404"/>
        <w:gridCol w:w="1404"/>
        <w:gridCol w:w="1404"/>
      </w:tblGrid>
      <w:tr>
        <w:trPr>
          <w:trHeight w:val="742"/>
          <w:tblHeader/>
          <w:jc w:val="center"/>
        </w:trPr>
        <w:tc>
          <w:tcPr>
            <w:tcW w:w="829" w:type="dxa"/>
            <w:tcBorders>
              <w:bottom w:val="single" w:sz="12" w:space="0" w:color="auto"/>
              <w:right w:val="single" w:sz="12" w:space="0" w:color="000000"/>
            </w:tcBorders>
          </w:tcPr>
          <w:p>
            <w:pPr>
              <w:keepNext/>
              <w:autoSpaceDE w:val="0"/>
              <w:autoSpaceDN w:val="0"/>
              <w:adjustRightInd w:val="0"/>
              <w:jc w:val="right"/>
              <w:rPr>
                <w:b/>
                <w:bCs/>
                <w:noProof/>
                <w:color w:val="000000"/>
                <w:sz w:val="20"/>
              </w:rPr>
            </w:pPr>
            <w:bookmarkStart w:id="34" w:name="OLE_LINK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Налози</w:t>
            </w:r>
          </w:p>
          <w:p>
            <w:pPr>
              <w:keepNext/>
              <w:autoSpaceDE w:val="0"/>
              <w:autoSpaceDN w:val="0"/>
              <w:adjustRightInd w:val="0"/>
              <w:jc w:val="center"/>
              <w:rPr>
                <w:b/>
                <w:bCs/>
                <w:noProof/>
                <w:color w:val="000000"/>
                <w:sz w:val="20"/>
              </w:rPr>
            </w:pPr>
            <w:r>
              <w:rPr>
                <w:b/>
                <w:bCs/>
                <w:noProof/>
                <w:color w:val="000000"/>
                <w:sz w:val="20"/>
              </w:rPr>
              <w:t>върху захарта</w:t>
            </w:r>
          </w:p>
          <w:p>
            <w:pPr>
              <w:keepNext/>
              <w:autoSpaceDE w:val="0"/>
              <w:autoSpaceDN w:val="0"/>
              <w:adjustRightInd w:val="0"/>
              <w:jc w:val="center"/>
              <w:rPr>
                <w:b/>
                <w:bCs/>
                <w:noProof/>
                <w:color w:val="000000"/>
                <w:sz w:val="20"/>
              </w:rPr>
            </w:pPr>
            <w:r>
              <w:rPr>
                <w:b/>
                <w:bCs/>
                <w:i/>
                <w:iCs/>
                <w:noProof/>
                <w:color w:val="000000"/>
                <w:sz w:val="20"/>
              </w:rPr>
              <w:t xml:space="preserve">(80 %)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Мита</w:t>
            </w:r>
          </w:p>
          <w:p>
            <w:pPr>
              <w:keepNext/>
              <w:autoSpaceDE w:val="0"/>
              <w:autoSpaceDN w:val="0"/>
              <w:adjustRightInd w:val="0"/>
              <w:jc w:val="center"/>
              <w:rPr>
                <w:b/>
                <w:bCs/>
                <w:i/>
                <w:iCs/>
                <w:noProof/>
                <w:color w:val="000000"/>
                <w:sz w:val="20"/>
              </w:rPr>
            </w:pPr>
            <w:r>
              <w:rPr>
                <w:b/>
                <w:bCs/>
                <w:i/>
                <w:iCs/>
                <w:noProof/>
                <w:color w:val="000000"/>
                <w:sz w:val="20"/>
              </w:rPr>
              <w:t>(80 %)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Бази за ДДС без таван</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Бази за БНД</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keepNext/>
              <w:autoSpaceDE w:val="0"/>
              <w:autoSpaceDN w:val="0"/>
              <w:adjustRightInd w:val="0"/>
              <w:jc w:val="center"/>
              <w:rPr>
                <w:b/>
                <w:bCs/>
                <w:i/>
                <w:iCs/>
                <w:noProof/>
                <w:color w:val="000000"/>
                <w:sz w:val="20"/>
              </w:rPr>
            </w:pPr>
            <w:r>
              <w:rPr>
                <w:b/>
                <w:bCs/>
                <w:i/>
                <w:iCs/>
                <w:noProof/>
                <w:color w:val="000000"/>
                <w:sz w:val="20"/>
              </w:rPr>
              <w:t>Бази за ДДС</w:t>
            </w:r>
          </w:p>
          <w:p>
            <w:pPr>
              <w:keepNext/>
              <w:autoSpaceDE w:val="0"/>
              <w:autoSpaceDN w:val="0"/>
              <w:adjustRightInd w:val="0"/>
              <w:jc w:val="center"/>
              <w:rPr>
                <w:b/>
                <w:bCs/>
                <w:i/>
                <w:iCs/>
                <w:noProof/>
                <w:color w:val="000000"/>
                <w:sz w:val="20"/>
              </w:rPr>
            </w:pPr>
            <w:r>
              <w:rPr>
                <w:b/>
                <w:bCs/>
                <w:i/>
                <w:iCs/>
                <w:noProof/>
                <w:color w:val="000000"/>
                <w:sz w:val="20"/>
              </w:rPr>
              <w:t>с таван</w:t>
            </w:r>
            <w:r>
              <w:rPr>
                <w:b/>
                <w:bCs/>
                <w:i/>
                <w:iCs/>
                <w:noProof/>
                <w:color w:val="000000"/>
                <w:sz w:val="20"/>
                <w:vertAlign w:val="superscript"/>
              </w:rPr>
              <w:footnoteReference w:id="11"/>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- 5,7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2 090,5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192 420,2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452 469,9</w:t>
            </w:r>
          </w:p>
        </w:tc>
        <w:tc>
          <w:tcPr>
            <w:tcW w:w="1404" w:type="dxa"/>
            <w:tcBorders>
              <w:top w:val="single" w:sz="1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192 420,2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75,2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25 520,9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52 909,9</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25 520,9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260,9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83 389,2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197 318,5</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83 389,2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- 3,4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336,1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113 888,9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304 009,8</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113 888,9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- 28,4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4 036,0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1 394 449,9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3 459 748,4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1 394 449,9</w:t>
            </w:r>
          </w:p>
        </w:tc>
      </w:tr>
      <w:tr>
        <w:trPr>
          <w:trHeight w:val="247"/>
          <w:jc w:val="center"/>
        </w:trPr>
        <w:tc>
          <w:tcPr>
            <w:tcW w:w="829"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sz w:val="20"/>
              </w:rPr>
              <w:t xml:space="preserve"> 30,0</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12 105,4</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24 232,9</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12 105,4</w:t>
            </w:r>
          </w:p>
        </w:tc>
      </w:tr>
      <w:tr>
        <w:trPr>
          <w:trHeight w:val="247"/>
          <w:jc w:val="center"/>
        </w:trPr>
        <w:tc>
          <w:tcPr>
            <w:tcW w:w="829"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- 0,7</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282,7</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86 665,6</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255 025,2</w:t>
            </w:r>
          </w:p>
        </w:tc>
        <w:tc>
          <w:tcPr>
            <w:tcW w:w="1404" w:type="dxa"/>
            <w:tcBorders>
              <w:top w:val="single" w:sz="2" w:space="0" w:color="000000"/>
              <w:left w:val="single" w:sz="2" w:space="0" w:color="000000"/>
              <w:bottom w:val="single" w:sz="2" w:space="0" w:color="auto"/>
              <w:right w:val="single" w:sz="12" w:space="0" w:color="auto"/>
            </w:tcBorders>
            <w:shd w:val="clear" w:color="auto" w:fill="auto"/>
            <w:vAlign w:val="bottom"/>
          </w:tcPr>
          <w:p>
            <w:pPr>
              <w:jc w:val="right"/>
              <w:rPr>
                <w:noProof/>
                <w:color w:val="000000"/>
                <w:sz w:val="20"/>
              </w:rPr>
            </w:pPr>
            <w:r>
              <w:rPr>
                <w:noProof/>
                <w:color w:val="000000"/>
                <w:sz w:val="20"/>
              </w:rPr>
              <w:t>86 665,6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158,0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72 214,4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183 573,7</w:t>
            </w:r>
          </w:p>
        </w:tc>
        <w:tc>
          <w:tcPr>
            <w:tcW w:w="1404" w:type="dxa"/>
            <w:tcBorders>
              <w:top w:val="single" w:sz="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72 214,4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1 518,6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520 432,1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1 210 798,4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520 432,1</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- 26,9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1 623,0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1 053 145,8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2 409 104,3</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1 053 145,8</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41,3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30 897,0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50 176,7</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25 088,4</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sz w:val="20"/>
              </w:rPr>
              <w:t>- 9,2</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sz w:val="20"/>
              </w:rPr>
              <w:t>1 821,2</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686 348,0</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1 775 333,9</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rPr>
              <w:t>686 348,0</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21,4</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13 076,7</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19 832,7</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9 916,4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34,1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11 487,9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28 465,5</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11 487,9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78,8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17 514,0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42 597,6</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17 514,0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21,5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27 693,1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39 171,3</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19 585,7</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sz w:val="20"/>
              </w:rPr>
              <w:t xml:space="preserve"> 145,6</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53 323,9</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126 897,4</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rPr>
              <w:t>53 323,9</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11,7</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7 430,8</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11 309,9</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5 655,0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- 6,5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2 437,3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311 915,0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764 707,6</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311 915,0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215,3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171 017,2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387 050,1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171 017,2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648,8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206 768,9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485 536,5</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206 768,9</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- 0,2</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155,1</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97 465,1</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196 157,5</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97 465,1</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160,2</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73 124,7</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196 940,5</w:t>
            </w:r>
          </w:p>
        </w:tc>
        <w:tc>
          <w:tcPr>
            <w:tcW w:w="1404" w:type="dxa"/>
            <w:tcBorders>
              <w:top w:val="dotted" w:sz="6" w:space="0" w:color="auto"/>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73 124,7</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65,8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20 783,1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45 497,7</w:t>
            </w:r>
          </w:p>
        </w:tc>
        <w:tc>
          <w:tcPr>
            <w:tcW w:w="1404" w:type="dxa"/>
            <w:tcBorders>
              <w:top w:val="single" w:sz="2" w:space="0" w:color="000000"/>
              <w:left w:val="single" w:sz="2" w:space="0" w:color="000000"/>
              <w:bottom w:val="single" w:sz="2" w:space="0" w:color="000000"/>
              <w:right w:val="single" w:sz="12" w:space="0" w:color="auto"/>
            </w:tcBorders>
            <w:shd w:val="clear" w:color="C0C0C0" w:fill="auto"/>
            <w:vAlign w:val="bottom"/>
          </w:tcPr>
          <w:p>
            <w:pPr>
              <w:jc w:val="right"/>
              <w:rPr>
                <w:noProof/>
                <w:color w:val="000000"/>
                <w:sz w:val="20"/>
              </w:rPr>
            </w:pPr>
            <w:r>
              <w:rPr>
                <w:noProof/>
                <w:color w:val="000000"/>
                <w:sz w:val="20"/>
              </w:rPr>
              <w:t>20 783,1</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91,3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30 752,0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89 215,0</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30 752,0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138,1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98 780,8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234 697,1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98 780,8</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- 1,4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519,3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214 417,0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497 268,8</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214 417,0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- 4,4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3 146,8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1 068 510,9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2 331 003,4</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1 068 510,9</w:t>
            </w:r>
          </w:p>
        </w:tc>
      </w:tr>
      <w:tr>
        <w:trPr>
          <w:trHeight w:val="276"/>
          <w:jc w:val="center"/>
        </w:trPr>
        <w:tc>
          <w:tcPr>
            <w:tcW w:w="829"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EС-28</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sz w:val="20"/>
              </w:rPr>
              <w:t>- 93,0</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sz w:val="20"/>
              </w:rPr>
              <w:t>20 164,6</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bCs/>
                <w:noProof/>
                <w:color w:val="000000"/>
                <w:sz w:val="20"/>
              </w:rPr>
              <w:t>6 695 538,5</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bCs/>
                <w:noProof/>
                <w:color w:val="000000"/>
                <w:sz w:val="20"/>
              </w:rPr>
              <w:t>15 871 050,2</w:t>
            </w:r>
          </w:p>
        </w:tc>
        <w:tc>
          <w:tcPr>
            <w:tcW w:w="1404" w:type="dxa"/>
            <w:tcBorders>
              <w:top w:val="single" w:sz="12" w:space="0" w:color="auto"/>
              <w:left w:val="single" w:sz="2" w:space="0" w:color="000000"/>
              <w:bottom w:val="single" w:sz="12" w:space="0" w:color="auto"/>
              <w:right w:val="single" w:sz="12" w:space="0" w:color="auto"/>
            </w:tcBorders>
            <w:vAlign w:val="bottom"/>
          </w:tcPr>
          <w:p>
            <w:pPr>
              <w:jc w:val="right"/>
              <w:rPr>
                <w:b/>
                <w:bCs/>
                <w:noProof/>
                <w:color w:val="000000"/>
                <w:sz w:val="20"/>
              </w:rPr>
            </w:pPr>
            <w:r>
              <w:rPr>
                <w:b/>
                <w:bCs/>
                <w:noProof/>
                <w:color w:val="000000"/>
                <w:sz w:val="20"/>
              </w:rPr>
              <w:t>6 676 686,2</w:t>
            </w:r>
          </w:p>
        </w:tc>
      </w:tr>
    </w:tbl>
    <w:p>
      <w:pPr>
        <w:keepNext/>
        <w:tabs>
          <w:tab w:val="left" w:pos="850"/>
        </w:tabs>
        <w:spacing w:before="360" w:after="120"/>
        <w:ind w:left="850" w:hanging="850"/>
        <w:jc w:val="both"/>
        <w:outlineLvl w:val="1"/>
        <w:rPr>
          <w:rFonts w:eastAsia="Calibri"/>
          <w:b/>
          <w:noProof/>
        </w:rPr>
      </w:pPr>
      <w:bookmarkStart w:id="35" w:name="_Toc421699312"/>
      <w:bookmarkStart w:id="36" w:name="_Toc461544621"/>
      <w:bookmarkStart w:id="37" w:name="_Toc462410060"/>
      <w:bookmarkStart w:id="38" w:name="_Toc527208360"/>
      <w:bookmarkStart w:id="39" w:name="_Toc390436796"/>
      <w:bookmarkStart w:id="40" w:name="_Toc420941901"/>
      <w:bookmarkStart w:id="41" w:name="_Toc294673193"/>
      <w:bookmarkStart w:id="42" w:name="_Toc357005413"/>
      <w:bookmarkStart w:id="43" w:name="_Toc358885561"/>
      <w:bookmarkEnd w:id="34"/>
      <w:r>
        <w:rPr>
          <w:b/>
          <w:noProof/>
        </w:rPr>
        <w:t>3.3</w:t>
      </w:r>
      <w:r>
        <w:rPr>
          <w:b/>
          <w:noProof/>
        </w:rPr>
        <w:tab/>
        <w:t>Корекция за Обединеното кралство за 2017 г. и 2014 г.</w:t>
      </w:r>
      <w:bookmarkEnd w:id="35"/>
      <w:bookmarkEnd w:id="36"/>
      <w:bookmarkEnd w:id="37"/>
      <w:bookmarkEnd w:id="38"/>
    </w:p>
    <w:p>
      <w:pPr>
        <w:tabs>
          <w:tab w:val="left" w:pos="850"/>
        </w:tabs>
        <w:rPr>
          <w:bCs/>
          <w:i/>
          <w:noProof/>
        </w:rPr>
      </w:pPr>
      <w:bookmarkStart w:id="44" w:name="_Toc294673194"/>
      <w:bookmarkStart w:id="45" w:name="_Toc357005414"/>
      <w:bookmarkStart w:id="46" w:name="_Toc390436797"/>
      <w:bookmarkStart w:id="47" w:name="_Toc420941902"/>
      <w:bookmarkStart w:id="48" w:name="_Toc461544622"/>
      <w:bookmarkEnd w:id="39"/>
      <w:bookmarkEnd w:id="40"/>
      <w:r>
        <w:rPr>
          <w:bCs/>
          <w:i/>
          <w:noProof/>
        </w:rPr>
        <w:t>3.3.1</w:t>
      </w:r>
      <w:r>
        <w:rPr>
          <w:bCs/>
          <w:i/>
          <w:noProof/>
        </w:rPr>
        <w:tab/>
        <w:t>Въведение</w:t>
      </w:r>
      <w:bookmarkEnd w:id="44"/>
      <w:bookmarkEnd w:id="45"/>
      <w:bookmarkEnd w:id="46"/>
      <w:bookmarkEnd w:id="47"/>
      <w:bookmarkEnd w:id="48"/>
    </w:p>
    <w:p>
      <w:pPr>
        <w:spacing w:before="120" w:after="120"/>
        <w:jc w:val="both"/>
        <w:rPr>
          <w:noProof/>
        </w:rPr>
      </w:pPr>
      <w:r>
        <w:rPr>
          <w:noProof/>
        </w:rPr>
        <w:t>Корекцията на бюджетните дисбаланси в полза на Обединеното кралство (корекция за Обединеното кралство), която следва да бъде включена в настоящия ПКБ, се отнася до две години: 2014 г. и 2017 г.</w:t>
      </w:r>
    </w:p>
    <w:p>
      <w:pPr>
        <w:jc w:val="both"/>
        <w:rPr>
          <w:noProof/>
        </w:rPr>
      </w:pPr>
      <w:r>
        <w:rPr>
          <w:noProof/>
        </w:rPr>
        <w:t>По отношение на корекцията за Обединеното кралство за 2014 г. и 2017 г. се прилагат разпоредбите на Решение 2014/335/ЕС, Евратом на Съвета относно системата на собствените ресурси</w:t>
      </w:r>
      <w:r>
        <w:rPr>
          <w:rStyle w:val="FootnoteReference"/>
          <w:noProof/>
        </w:rPr>
        <w:footnoteReference w:id="12"/>
      </w:r>
      <w:r>
        <w:rPr>
          <w:noProof/>
        </w:rPr>
        <w:t xml:space="preserve"> на Европейския съюз и придружаващият го работен документ (Метод за изчисляване от 2014 г.)</w:t>
      </w:r>
      <w:r>
        <w:rPr>
          <w:noProof/>
          <w:vertAlign w:val="superscript"/>
        </w:rPr>
        <w:footnoteReference w:id="13"/>
      </w:r>
      <w:r>
        <w:rPr>
          <w:noProof/>
        </w:rPr>
        <w:t xml:space="preserve">. Според разпоредбите на посоченото решение нетните „извънредни приходи“ от ТСР на Обединеното кралство, произтичащи от увеличаването от 2001 г. насам на процента от ТСР, който държавите членки задържат като компенсация за разходите си по събирането, се неутрализират, а разпределените разходи се коригират с общите разпределени разходи в държавите членки, които са се присъединили към ЕС след 30 април 2004 г., с изключение на преките селскостопански плащания и свързаните с пазара разходи, както и частта от разходите за развитие на селските райони, произхождаща от ФЕОГА, секция „Гарантиране“. </w:t>
      </w:r>
    </w:p>
    <w:p>
      <w:pPr>
        <w:spacing w:before="120" w:after="120"/>
        <w:jc w:val="both"/>
        <w:rPr>
          <w:noProof/>
        </w:rPr>
      </w:pPr>
      <w:r>
        <w:rPr>
          <w:noProof/>
        </w:rPr>
        <w:t>Освен това делът на Австрия, Германия, Нидерландия и Швеция във финансирането на корекцията за Обединеното кралство е намален на една четвърт от обичайната му стойност за корекциите за 2014 г. и 2017 г. Това намаление се финансира от другите държави членки, с изключение на Обединеното кралство.</w:t>
      </w:r>
    </w:p>
    <w:p>
      <w:pPr>
        <w:spacing w:before="120" w:after="120"/>
        <w:jc w:val="both"/>
        <w:rPr>
          <w:noProof/>
        </w:rPr>
      </w:pPr>
      <w:r>
        <w:rPr>
          <w:noProof/>
        </w:rPr>
        <w:t xml:space="preserve">В настоящия ПКБ са записани изчисляването и финансирането на </w:t>
      </w:r>
      <w:r>
        <w:rPr>
          <w:i/>
          <w:noProof/>
        </w:rPr>
        <w:t>първата актуализация</w:t>
      </w:r>
      <w:r>
        <w:rPr>
          <w:noProof/>
        </w:rPr>
        <w:t xml:space="preserve"> на корекцията за Обединеното кралство </w:t>
      </w:r>
      <w:r>
        <w:rPr>
          <w:i/>
          <w:noProof/>
        </w:rPr>
        <w:t>за 2017 г.</w:t>
      </w:r>
      <w:r>
        <w:rPr>
          <w:noProof/>
        </w:rPr>
        <w:t xml:space="preserve">, както и </w:t>
      </w:r>
      <w:r>
        <w:rPr>
          <w:i/>
          <w:noProof/>
        </w:rPr>
        <w:t>окончателният размер</w:t>
      </w:r>
      <w:r>
        <w:rPr>
          <w:noProof/>
        </w:rPr>
        <w:t xml:space="preserve"> на корекцията за Обединеното кралство </w:t>
      </w:r>
      <w:r>
        <w:rPr>
          <w:i/>
          <w:noProof/>
        </w:rPr>
        <w:t>за 2014 г.</w:t>
      </w:r>
    </w:p>
    <w:p>
      <w:pPr>
        <w:spacing w:before="120" w:after="120"/>
        <w:jc w:val="both"/>
        <w:rPr>
          <w:noProof/>
        </w:rPr>
      </w:pPr>
      <w:r>
        <w:rPr>
          <w:noProof/>
        </w:rPr>
        <w:t xml:space="preserve">Разликата между </w:t>
      </w:r>
      <w:r>
        <w:rPr>
          <w:i/>
          <w:noProof/>
        </w:rPr>
        <w:t>окончателния размер</w:t>
      </w:r>
      <w:r>
        <w:rPr>
          <w:noProof/>
        </w:rPr>
        <w:t xml:space="preserve"> </w:t>
      </w:r>
      <w:r>
        <w:rPr>
          <w:i/>
          <w:iCs/>
          <w:noProof/>
        </w:rPr>
        <w:t>на корекцията за Обединеното кралство за 2014 г.</w:t>
      </w:r>
      <w:r>
        <w:rPr>
          <w:noProof/>
        </w:rPr>
        <w:t xml:space="preserve"> и сумата, включена преди това в бюджета (</w:t>
      </w:r>
      <w:r>
        <w:rPr>
          <w:i/>
          <w:noProof/>
        </w:rPr>
        <w:t>втората актуализация</w:t>
      </w:r>
      <w:r>
        <w:rPr>
          <w:noProof/>
        </w:rPr>
        <w:t>, записана в КБ 5/2016), е записана в глава 35 (резултат от окончателното изчисляване на финансирането за коригиране на бюджетния дисбаланс за Обединеното кралство) от настоящия ПКБ.</w:t>
      </w:r>
    </w:p>
    <w:p>
      <w:pPr>
        <w:spacing w:before="120" w:after="120"/>
        <w:jc w:val="both"/>
        <w:rPr>
          <w:noProof/>
        </w:rPr>
      </w:pPr>
      <w:r>
        <w:rPr>
          <w:i/>
          <w:noProof/>
        </w:rPr>
        <w:t>Първата актуализация на размера на корекцията за Обединеното кралство за 2017 г.</w:t>
      </w:r>
      <w:r>
        <w:rPr>
          <w:noProof/>
        </w:rPr>
        <w:t xml:space="preserve"> е записана в глава 15 (корекция на бюджетни дисбаланси) от настоящия ПКБ и заменя записаната преди това в бюджета </w:t>
      </w:r>
      <w:r>
        <w:rPr>
          <w:i/>
          <w:noProof/>
        </w:rPr>
        <w:t>временна сума</w:t>
      </w:r>
      <w:r>
        <w:rPr>
          <w:noProof/>
        </w:rPr>
        <w:t>.</w:t>
      </w:r>
    </w:p>
    <w:p>
      <w:pPr>
        <w:tabs>
          <w:tab w:val="left" w:pos="850"/>
        </w:tabs>
        <w:spacing w:before="120" w:after="120"/>
        <w:rPr>
          <w:bCs/>
          <w:i/>
          <w:noProof/>
        </w:rPr>
      </w:pPr>
      <w:bookmarkStart w:id="49" w:name="_Toc231879704"/>
      <w:bookmarkStart w:id="50" w:name="_Toc293417236"/>
      <w:bookmarkStart w:id="51" w:name="_Toc294673195"/>
      <w:bookmarkStart w:id="52" w:name="_Toc357005415"/>
      <w:bookmarkStart w:id="53" w:name="_Toc390436798"/>
      <w:bookmarkStart w:id="54" w:name="_Toc420941903"/>
      <w:bookmarkStart w:id="55" w:name="_Toc461544623"/>
      <w:r>
        <w:rPr>
          <w:bCs/>
          <w:i/>
          <w:noProof/>
        </w:rPr>
        <w:t>3.3.2</w:t>
      </w:r>
      <w:r>
        <w:rPr>
          <w:bCs/>
          <w:i/>
          <w:noProof/>
        </w:rPr>
        <w:tab/>
        <w:t>Изчисляване на корекциите</w:t>
      </w:r>
      <w:bookmarkEnd w:id="49"/>
      <w:bookmarkEnd w:id="50"/>
      <w:bookmarkEnd w:id="51"/>
      <w:bookmarkEnd w:id="52"/>
      <w:bookmarkEnd w:id="53"/>
      <w:bookmarkEnd w:id="54"/>
      <w:bookmarkEnd w:id="55"/>
    </w:p>
    <w:p>
      <w:pPr>
        <w:spacing w:before="120" w:after="120"/>
        <w:jc w:val="both"/>
        <w:rPr>
          <w:noProof/>
        </w:rPr>
      </w:pPr>
      <w:r>
        <w:rPr>
          <w:noProof/>
        </w:rPr>
        <w:t xml:space="preserve">Актуализацията на корекциите за 2014 г. и 2017 г. се дължи предимно на актуализацията на базите за ДДС и за БНД, изпратени от държавите членки през есента на 2017 г. Освен това в актуализацията на корекцията за 2017 г. са взети предвид и разпределените разходи от 2017 г. </w:t>
      </w:r>
    </w:p>
    <w:p>
      <w:pPr>
        <w:tabs>
          <w:tab w:val="left" w:pos="851"/>
        </w:tabs>
        <w:spacing w:before="120" w:after="120"/>
        <w:rPr>
          <w:bCs/>
          <w:noProof/>
          <w:szCs w:val="28"/>
          <w:u w:val="single"/>
        </w:rPr>
      </w:pPr>
      <w:bookmarkStart w:id="56" w:name="_Toc231879705"/>
      <w:r>
        <w:rPr>
          <w:bCs/>
          <w:noProof/>
          <w:szCs w:val="28"/>
          <w:u w:val="single"/>
        </w:rPr>
        <w:t>3.3.2.1</w:t>
      </w:r>
      <w:r>
        <w:rPr>
          <w:bCs/>
          <w:noProof/>
          <w:szCs w:val="28"/>
          <w:u w:val="single"/>
        </w:rPr>
        <w:tab/>
        <w:t>Корекция за Обединеното кралство за 2017 г.</w:t>
      </w:r>
    </w:p>
    <w:bookmarkEnd w:id="56"/>
    <w:p>
      <w:pPr>
        <w:spacing w:before="120" w:after="120"/>
        <w:jc w:val="both"/>
        <w:rPr>
          <w:noProof/>
        </w:rPr>
      </w:pPr>
      <w:r>
        <w:rPr>
          <w:noProof/>
        </w:rPr>
        <w:t xml:space="preserve">В следната таблица се обобщават промените между </w:t>
      </w:r>
      <w:r>
        <w:rPr>
          <w:i/>
          <w:noProof/>
        </w:rPr>
        <w:t>временния размер</w:t>
      </w:r>
      <w:r>
        <w:rPr>
          <w:noProof/>
        </w:rPr>
        <w:t xml:space="preserve"> на корекцията за Обединеното кралство за 2017 г., записан в бюджета за 2018 г., и </w:t>
      </w:r>
      <w:r>
        <w:rPr>
          <w:i/>
          <w:noProof/>
        </w:rPr>
        <w:t>първата актуализация</w:t>
      </w:r>
      <w:r>
        <w:rPr>
          <w:noProof/>
        </w:rPr>
        <w:t xml:space="preserve"> на корекцията за Обединеното кралство за 2017 г., която ще бъде записана в настоящия ПКБ.</w:t>
      </w:r>
    </w:p>
    <w:p>
      <w:pPr>
        <w:rPr>
          <w:noProof/>
        </w:rPr>
      </w:pPr>
      <w:r>
        <w:rPr>
          <w:noProof/>
        </w:rPr>
        <w:br w:type="page"/>
      </w:r>
    </w:p>
    <w:p>
      <w:pPr>
        <w:spacing w:before="120" w:after="120"/>
        <w:jc w:val="both"/>
        <w:rPr>
          <w:noProof/>
        </w:rPr>
      </w:pPr>
    </w:p>
    <w:tbl>
      <w:tblPr>
        <w:tblW w:w="9135" w:type="dxa"/>
        <w:jc w:val="center"/>
        <w:tblLayout w:type="fixed"/>
        <w:tblLook w:val="0000" w:firstRow="0" w:lastRow="0" w:firstColumn="0" w:lastColumn="0" w:noHBand="0" w:noVBand="0"/>
      </w:tblPr>
      <w:tblGrid>
        <w:gridCol w:w="550"/>
        <w:gridCol w:w="3185"/>
        <w:gridCol w:w="1800"/>
        <w:gridCol w:w="1943"/>
        <w:gridCol w:w="1657"/>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jc w:val="center"/>
              <w:rPr>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jc w:val="center"/>
              <w:rPr>
                <w:b/>
                <w:noProof/>
                <w:color w:val="000000"/>
              </w:rPr>
            </w:pPr>
            <w:r>
              <w:rPr>
                <w:b/>
                <w:noProof/>
                <w:color w:val="000000"/>
              </w:rPr>
              <w:t>Корекция за Обединеното кралство за 2017 г.</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Корекция за Обединеното кралство за 2017 г.</w:t>
            </w:r>
          </w:p>
          <w:p>
            <w:pPr>
              <w:autoSpaceDE w:val="0"/>
              <w:autoSpaceDN w:val="0"/>
              <w:adjustRightInd w:val="0"/>
              <w:jc w:val="center"/>
              <w:rPr>
                <w:noProof/>
                <w:color w:val="000000"/>
                <w:sz w:val="20"/>
              </w:rPr>
            </w:pPr>
            <w:r>
              <w:rPr>
                <w:b/>
                <w:noProof/>
                <w:color w:val="000000"/>
                <w:sz w:val="20"/>
              </w:rPr>
              <w:t>ВРЕМЕННА СУМА</w:t>
            </w:r>
          </w:p>
          <w:p>
            <w:pPr>
              <w:autoSpaceDE w:val="0"/>
              <w:autoSpaceDN w:val="0"/>
              <w:adjustRightInd w:val="0"/>
              <w:jc w:val="center"/>
              <w:rPr>
                <w:b/>
                <w:noProof/>
                <w:color w:val="000000"/>
                <w:sz w:val="20"/>
              </w:rPr>
            </w:pPr>
            <w:r>
              <w:rPr>
                <w:b/>
                <w:noProof/>
                <w:color w:val="000000"/>
                <w:sz w:val="20"/>
              </w:rPr>
              <w:t>Бюджет за 2018 г.</w:t>
            </w:r>
          </w:p>
        </w:tc>
        <w:tc>
          <w:tcPr>
            <w:tcW w:w="1943"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Корекция за Обединеното кралство за 2017 г.</w:t>
            </w:r>
          </w:p>
          <w:p>
            <w:pPr>
              <w:autoSpaceDE w:val="0"/>
              <w:autoSpaceDN w:val="0"/>
              <w:adjustRightInd w:val="0"/>
              <w:jc w:val="center"/>
              <w:rPr>
                <w:b/>
                <w:bCs/>
                <w:noProof/>
                <w:color w:val="000000"/>
                <w:sz w:val="20"/>
              </w:rPr>
            </w:pPr>
            <w:r>
              <w:rPr>
                <w:b/>
                <w:noProof/>
                <w:color w:val="000000"/>
                <w:sz w:val="20"/>
              </w:rPr>
              <w:t>ПЪРВА АКТУАЛИЗАЦИЯ</w:t>
            </w:r>
          </w:p>
          <w:p>
            <w:pPr>
              <w:autoSpaceDE w:val="0"/>
              <w:autoSpaceDN w:val="0"/>
              <w:adjustRightInd w:val="0"/>
              <w:jc w:val="center"/>
              <w:rPr>
                <w:b/>
                <w:noProof/>
                <w:color w:val="000000"/>
                <w:sz w:val="20"/>
              </w:rPr>
            </w:pPr>
            <w:r>
              <w:rPr>
                <w:b/>
                <w:noProof/>
                <w:sz w:val="20"/>
              </w:rPr>
              <w:t>ПКБ 6/2018</w:t>
            </w:r>
          </w:p>
        </w:tc>
        <w:tc>
          <w:tcPr>
            <w:tcW w:w="1657"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rPr>
            </w:pPr>
            <w:r>
              <w:rPr>
                <w:b/>
                <w:i/>
                <w:noProof/>
                <w:color w:val="000000"/>
                <w:sz w:val="20"/>
              </w:rPr>
              <w:t>Разлика</w:t>
            </w:r>
          </w:p>
        </w:tc>
      </w:tr>
      <w:tr>
        <w:trPr>
          <w:jc w:val="center"/>
        </w:trPr>
        <w:tc>
          <w:tcPr>
            <w:tcW w:w="550" w:type="dxa"/>
            <w:vMerge/>
            <w:tcBorders>
              <w:bottom w:val="double" w:sz="6" w:space="0" w:color="auto"/>
              <w:right w:val="nil"/>
            </w:tcBorders>
            <w:shd w:val="clear" w:color="auto" w:fill="auto"/>
            <w:noWrap/>
            <w:vAlign w:val="center"/>
          </w:tcPr>
          <w:p>
            <w:pPr>
              <w:jc w:val="center"/>
              <w:rPr>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943"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657"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от базата за ДДС без таван</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17,1194%</w:t>
            </w:r>
          </w:p>
        </w:tc>
        <w:tc>
          <w:tcPr>
            <w:tcW w:w="1943"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16,2266%</w:t>
            </w:r>
          </w:p>
        </w:tc>
        <w:tc>
          <w:tcPr>
            <w:tcW w:w="1657"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-0,8928%</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в общите разпределени разходи, коригирани с разходите за разширяването</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7,4429%</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7,0114%</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-0,4315%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9,6765%</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9,2152%</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-0,4613%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118 550 222 885</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110 827 970 366</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- 7 722 252 519</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разширяването</w:t>
            </w:r>
            <w:r>
              <w:rPr>
                <w:noProof/>
                <w:sz w:val="20"/>
              </w:rPr>
              <w:br/>
              <w:t>= (5a) + (5б)</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25 135 292 635</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20 962 713 989</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- 4 172 578 647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Предприсъединителни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pacing w:val="-2"/>
                <w:sz w:val="20"/>
              </w:rPr>
            </w:pPr>
            <w:r>
              <w:rPr>
                <w:noProof/>
                <w:spacing w:val="-2"/>
                <w:sz w:val="20"/>
              </w:rPr>
              <w:t>(5б)</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член 4, параграф 1, буква ж)</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25 135 292 635</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20 962 713 989</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- 4 172 578 647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 коригиран с разходите за разширяването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93 414 930 250</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89 865 256 377</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- 3 549 673 872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Първоначален размер на корекцията за Обединеното кралство = (3) х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5 965 942 623</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5 465 655 078</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- 500 287 545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Предимство за Обединеното кралство</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1 019 406 910</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548 929 008</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- 470 477 902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Основна корекция за Обединеното кралство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4 946 535 713</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4 916 726 069</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- 29 809 643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Извънредни приходи от ТСР</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- 45 769 948</w:t>
            </w:r>
          </w:p>
        </w:tc>
        <w:tc>
          <w:tcPr>
            <w:tcW w:w="1943" w:type="dxa"/>
            <w:tcBorders>
              <w:top w:val="nil"/>
              <w:left w:val="nil"/>
              <w:bottom w:val="nil"/>
              <w:right w:val="double" w:sz="6" w:space="0" w:color="auto"/>
            </w:tcBorders>
            <w:shd w:val="clear" w:color="auto" w:fill="auto"/>
            <w:noWrap/>
            <w:vAlign w:val="center"/>
          </w:tcPr>
          <w:p>
            <w:pPr>
              <w:jc w:val="right"/>
              <w:rPr>
                <w:noProof/>
                <w:sz w:val="20"/>
              </w:rPr>
            </w:pPr>
            <w:r>
              <w:rPr>
                <w:noProof/>
                <w:sz w:val="20"/>
              </w:rPr>
              <w:t>- 17 211 574</w:t>
            </w:r>
          </w:p>
        </w:tc>
        <w:tc>
          <w:tcPr>
            <w:tcW w:w="165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+ 28 558 374</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Корекция за Обединеното кралство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4 992 305 660</w:t>
            </w:r>
          </w:p>
        </w:tc>
        <w:tc>
          <w:tcPr>
            <w:tcW w:w="1943"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4 933 937 643</w:t>
            </w:r>
          </w:p>
        </w:tc>
        <w:tc>
          <w:tcPr>
            <w:tcW w:w="1657"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- 58 368 017</w:t>
            </w:r>
          </w:p>
        </w:tc>
      </w:tr>
    </w:tbl>
    <w:p>
      <w:pPr>
        <w:tabs>
          <w:tab w:val="num" w:pos="851"/>
        </w:tabs>
        <w:spacing w:before="120" w:after="120"/>
        <w:jc w:val="both"/>
        <w:rPr>
          <w:noProof/>
        </w:rPr>
      </w:pPr>
      <w:r>
        <w:rPr>
          <w:noProof/>
        </w:rPr>
        <w:t xml:space="preserve">Размерът на </w:t>
      </w:r>
      <w:r>
        <w:rPr>
          <w:i/>
          <w:noProof/>
        </w:rPr>
        <w:t>първата актуализация</w:t>
      </w:r>
      <w:r>
        <w:rPr>
          <w:noProof/>
        </w:rPr>
        <w:t xml:space="preserve"> на корекцията за Обединеното кралство за 2017 г. е с около 58 милиона евро по-нисък в сравнение с </w:t>
      </w:r>
      <w:r>
        <w:rPr>
          <w:i/>
          <w:noProof/>
        </w:rPr>
        <w:t>временния размер</w:t>
      </w:r>
      <w:r>
        <w:rPr>
          <w:noProof/>
        </w:rPr>
        <w:t xml:space="preserve"> на корекцията за Обединеното кралство за 2017 г., записан в бюджета за 2018 г.</w:t>
      </w:r>
    </w:p>
    <w:p>
      <w:pPr>
        <w:tabs>
          <w:tab w:val="left" w:pos="851"/>
        </w:tabs>
        <w:rPr>
          <w:bCs/>
          <w:noProof/>
          <w:szCs w:val="28"/>
          <w:u w:val="single"/>
        </w:rPr>
      </w:pPr>
      <w:r>
        <w:rPr>
          <w:bCs/>
          <w:noProof/>
          <w:szCs w:val="28"/>
          <w:u w:val="single"/>
        </w:rPr>
        <w:t>3.3.2.2</w:t>
      </w:r>
      <w:r>
        <w:rPr>
          <w:bCs/>
          <w:noProof/>
          <w:szCs w:val="28"/>
          <w:u w:val="single"/>
        </w:rPr>
        <w:tab/>
        <w:t>Корекция за Обединеното кралство за 2014 г.</w:t>
      </w:r>
    </w:p>
    <w:p>
      <w:pPr>
        <w:spacing w:before="120" w:after="120"/>
        <w:jc w:val="both"/>
        <w:rPr>
          <w:noProof/>
          <w:lang w:val="en-GB"/>
        </w:rPr>
      </w:pPr>
      <w:r>
        <w:rPr>
          <w:noProof/>
        </w:rPr>
        <w:t xml:space="preserve">В следната таблица се обобщават промените между </w:t>
      </w:r>
      <w:r>
        <w:rPr>
          <w:i/>
          <w:noProof/>
        </w:rPr>
        <w:t>втората актуализация</w:t>
      </w:r>
      <w:r>
        <w:rPr>
          <w:noProof/>
        </w:rPr>
        <w:t xml:space="preserve"> на корекцията за Обединеното кралство за 2014 г., записана в коригиращ бюджет 5/2016, и </w:t>
      </w:r>
      <w:r>
        <w:rPr>
          <w:i/>
          <w:noProof/>
        </w:rPr>
        <w:t>окончателния размер</w:t>
      </w:r>
      <w:r>
        <w:rPr>
          <w:noProof/>
        </w:rPr>
        <w:t xml:space="preserve"> на корекцията за Обединеното кралство за 2014 г., който ще бъде записан в настоящия ПКБ.</w:t>
      </w:r>
    </w:p>
    <w:p>
      <w:pPr>
        <w:rPr>
          <w:noProof/>
          <w:lang w:val="en-GB"/>
        </w:rPr>
      </w:pPr>
      <w:r>
        <w:rPr>
          <w:noProof/>
          <w:lang w:val="en-GB"/>
        </w:rPr>
        <w:br w:type="page"/>
      </w:r>
    </w:p>
    <w:tbl>
      <w:tblPr>
        <w:tblW w:w="9135" w:type="dxa"/>
        <w:jc w:val="center"/>
        <w:tblLayout w:type="fixed"/>
        <w:tblLook w:val="0000" w:firstRow="0" w:lastRow="0" w:firstColumn="0" w:lastColumn="0" w:noHBand="0" w:noVBand="0"/>
      </w:tblPr>
      <w:tblGrid>
        <w:gridCol w:w="550"/>
        <w:gridCol w:w="3185"/>
        <w:gridCol w:w="1943"/>
        <w:gridCol w:w="1920"/>
        <w:gridCol w:w="1537"/>
      </w:tblGrid>
      <w:tr>
        <w:trPr>
          <w:trHeight w:val="831"/>
          <w:tblHeader/>
          <w:jc w:val="center"/>
        </w:trPr>
        <w:tc>
          <w:tcPr>
            <w:tcW w:w="550" w:type="dxa"/>
            <w:tcBorders>
              <w:top w:val="nil"/>
              <w:left w:val="nil"/>
              <w:right w:val="nil"/>
            </w:tcBorders>
            <w:shd w:val="clear" w:color="auto" w:fill="auto"/>
            <w:noWrap/>
            <w:vAlign w:val="bottom"/>
          </w:tcPr>
          <w:p>
            <w:pPr>
              <w:rPr>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jc w:val="center"/>
              <w:rPr>
                <w:b/>
                <w:noProof/>
                <w:color w:val="000000"/>
              </w:rPr>
            </w:pPr>
            <w:r>
              <w:rPr>
                <w:b/>
                <w:noProof/>
                <w:color w:val="000000"/>
              </w:rPr>
              <w:t>Корекция за Обединеното кралство за 2014 г.</w:t>
            </w:r>
          </w:p>
        </w:tc>
        <w:tc>
          <w:tcPr>
            <w:tcW w:w="1943"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rPr>
            </w:pPr>
            <w:r>
              <w:rPr>
                <w:b/>
                <w:bCs/>
                <w:noProof/>
                <w:sz w:val="20"/>
              </w:rPr>
              <w:t>Корекция за Обединеното кралство за 2014 г.</w:t>
            </w:r>
            <w:r>
              <w:rPr>
                <w:b/>
                <w:bCs/>
                <w:noProof/>
                <w:sz w:val="20"/>
              </w:rPr>
              <w:br/>
              <w:t xml:space="preserve">ВТОРА АКТУАЛИЗАЦИЯ </w:t>
            </w:r>
            <w:r>
              <w:rPr>
                <w:b/>
                <w:bCs/>
                <w:noProof/>
                <w:sz w:val="20"/>
              </w:rPr>
              <w:br/>
              <w:t>КБ 5/2016</w:t>
            </w:r>
          </w:p>
        </w:tc>
        <w:tc>
          <w:tcPr>
            <w:tcW w:w="192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rPr>
            </w:pPr>
            <w:r>
              <w:rPr>
                <w:b/>
                <w:bCs/>
                <w:noProof/>
                <w:sz w:val="20"/>
              </w:rPr>
              <w:t>Корекция за Обединеното кралство за 2014 г.</w:t>
            </w:r>
            <w:r>
              <w:rPr>
                <w:b/>
                <w:bCs/>
                <w:noProof/>
                <w:sz w:val="20"/>
              </w:rPr>
              <w:br/>
              <w:t>ОКОНЧАТЕЛЕН РАЗМЕР</w:t>
            </w:r>
            <w:r>
              <w:rPr>
                <w:b/>
                <w:bCs/>
                <w:noProof/>
                <w:sz w:val="20"/>
              </w:rPr>
              <w:br/>
              <w:t>ПКБ 6/2018</w:t>
            </w:r>
          </w:p>
        </w:tc>
        <w:tc>
          <w:tcPr>
            <w:tcW w:w="1537"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rPr>
            </w:pPr>
            <w:r>
              <w:rPr>
                <w:b/>
                <w:bCs/>
                <w:i/>
                <w:iCs/>
                <w:noProof/>
                <w:sz w:val="20"/>
              </w:rPr>
              <w:t>Разлика</w:t>
            </w:r>
          </w:p>
        </w:tc>
      </w:tr>
      <w:tr>
        <w:trPr>
          <w:jc w:val="center"/>
        </w:trPr>
        <w:tc>
          <w:tcPr>
            <w:tcW w:w="550" w:type="dxa"/>
            <w:tcBorders>
              <w:bottom w:val="double" w:sz="6" w:space="0" w:color="auto"/>
              <w:right w:val="nil"/>
            </w:tcBorders>
            <w:shd w:val="clear" w:color="auto" w:fill="auto"/>
            <w:noWrap/>
            <w:vAlign w:val="center"/>
          </w:tcPr>
          <w:p>
            <w:pPr>
              <w:jc w:val="center"/>
              <w:rPr>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943"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92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537"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от базата за ДДС без таван</w:t>
            </w:r>
          </w:p>
        </w:tc>
        <w:tc>
          <w:tcPr>
            <w:tcW w:w="1943"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17,4319%</w:t>
            </w:r>
          </w:p>
        </w:tc>
        <w:tc>
          <w:tcPr>
            <w:tcW w:w="192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17,3737%</w:t>
            </w:r>
          </w:p>
        </w:tc>
        <w:tc>
          <w:tcPr>
            <w:tcW w:w="1537"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+ 0,0582%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Дял на Обединеното кралство в общите разпределени разходи, коригирани с разходите за разширяването</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7,4180%</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7,4180%</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+ 0,0000%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10,0139%</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9,9557%</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+ 0,0582%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128 669 838 650</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128 669 838 650</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разширяването</w:t>
            </w:r>
            <w:r>
              <w:rPr>
                <w:noProof/>
                <w:sz w:val="20"/>
              </w:rPr>
              <w:br/>
              <w:t>= (5a) + (5б)</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33 342 488 843</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33 342 488 843</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(5а)</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Предприсъединителни разходи</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pacing w:val="-2"/>
                <w:sz w:val="20"/>
              </w:rPr>
            </w:pPr>
            <w:r>
              <w:rPr>
                <w:noProof/>
                <w:spacing w:val="-2"/>
                <w:sz w:val="20"/>
              </w:rPr>
              <w:t>(5б)</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Разходи, свързани с член 4, параграф 1, буква ж)</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33 342 488 843</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33 342 488 843</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Общ размер на разпределените разходи, коригиран с разходите за разширяването = (4) – (5)</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95 327 349 807</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95 327 349 807</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Първоначален размер на корекцията за Обединеното кралство = (3) х (6) x 0,66</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6 300 352 079</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6 263 729 054</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- 36 623 025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Предимство за Обединеното кралство</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1 162 878 038</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1 023 430 934</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- 139 447 104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Основна корекция за Обединеното кралство = (7) - (8)</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5 137 474 040</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5 240 298 119</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+ 102 824 079</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Извънредни приходи от ТСР</w:t>
            </w:r>
          </w:p>
        </w:tc>
        <w:tc>
          <w:tcPr>
            <w:tcW w:w="1943" w:type="dxa"/>
            <w:tcBorders>
              <w:top w:val="nil"/>
              <w:left w:val="nil"/>
              <w:bottom w:val="nil"/>
              <w:right w:val="single" w:sz="4" w:space="0" w:color="auto"/>
            </w:tcBorders>
            <w:shd w:val="clear" w:color="auto" w:fill="auto"/>
            <w:noWrap/>
            <w:vAlign w:val="center"/>
          </w:tcPr>
          <w:p>
            <w:pPr>
              <w:jc w:val="right"/>
              <w:rPr>
                <w:noProof/>
                <w:sz w:val="20"/>
              </w:rPr>
            </w:pPr>
            <w:r>
              <w:rPr>
                <w:noProof/>
                <w:sz w:val="20"/>
              </w:rPr>
              <w:t>-28 189 034</w:t>
            </w:r>
          </w:p>
        </w:tc>
        <w:tc>
          <w:tcPr>
            <w:tcW w:w="192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-26 930 139</w:t>
            </w:r>
          </w:p>
        </w:tc>
        <w:tc>
          <w:tcPr>
            <w:tcW w:w="1537"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+ 1 258 896</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Корекция за Обединеното кралство = (9) - (10)</w:t>
            </w:r>
          </w:p>
        </w:tc>
        <w:tc>
          <w:tcPr>
            <w:tcW w:w="1943"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5 165 663 075</w:t>
            </w:r>
          </w:p>
        </w:tc>
        <w:tc>
          <w:tcPr>
            <w:tcW w:w="192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5 267 228 258</w:t>
            </w:r>
          </w:p>
        </w:tc>
        <w:tc>
          <w:tcPr>
            <w:tcW w:w="1537"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+101 565 183</w:t>
            </w:r>
          </w:p>
        </w:tc>
      </w:tr>
    </w:tbl>
    <w:p>
      <w:pPr>
        <w:spacing w:before="120" w:after="120"/>
        <w:jc w:val="both"/>
        <w:rPr>
          <w:noProof/>
        </w:rPr>
      </w:pPr>
      <w:r>
        <w:rPr>
          <w:i/>
          <w:noProof/>
        </w:rPr>
        <w:t>Окончателният размер</w:t>
      </w:r>
      <w:r>
        <w:rPr>
          <w:noProof/>
        </w:rPr>
        <w:t xml:space="preserve"> на корекцията за Обединеното кралство за 2014 г. е със 102 милиона евро по-висок от </w:t>
      </w:r>
      <w:r>
        <w:rPr>
          <w:i/>
          <w:noProof/>
        </w:rPr>
        <w:t>втората актуализация</w:t>
      </w:r>
      <w:r>
        <w:rPr>
          <w:noProof/>
        </w:rPr>
        <w:t xml:space="preserve"> на корекцията за Обединеното кралство за 2014 г., записана в КБ 5/2016, най-вече вследствие на актуализациите на базите за ДДС и за БНД, изпратени от държавите членки през есента на 2017 г.</w:t>
      </w:r>
    </w:p>
    <w:p>
      <w:pPr>
        <w:tabs>
          <w:tab w:val="left" w:pos="850"/>
        </w:tabs>
        <w:spacing w:before="120" w:after="120"/>
        <w:ind w:left="851" w:hanging="851"/>
        <w:rPr>
          <w:bCs/>
          <w:i/>
          <w:noProof/>
        </w:rPr>
      </w:pPr>
      <w:bookmarkStart w:id="57" w:name="_Toc231879708"/>
      <w:bookmarkStart w:id="58" w:name="_Toc293417237"/>
      <w:bookmarkStart w:id="59" w:name="_Toc294673196"/>
      <w:bookmarkStart w:id="60" w:name="_Toc357005416"/>
      <w:bookmarkStart w:id="61" w:name="_Toc390436799"/>
      <w:bookmarkStart w:id="62" w:name="_Toc420941904"/>
      <w:bookmarkStart w:id="63" w:name="_Toc461544624"/>
      <w:r>
        <w:rPr>
          <w:bCs/>
          <w:i/>
          <w:noProof/>
        </w:rPr>
        <w:t>3.3.3</w:t>
      </w:r>
      <w:r>
        <w:rPr>
          <w:bCs/>
          <w:i/>
          <w:noProof/>
        </w:rPr>
        <w:tab/>
        <w:t>Вписване в ПКБ 6/2018 на първата актуализация на корекцията за Обединеното кралство за 2017 г. и на окончателния размер на корекцията за Обединеното кралство за 2014 г.</w:t>
      </w:r>
      <w:bookmarkEnd w:id="57"/>
      <w:bookmarkEnd w:id="58"/>
      <w:bookmarkEnd w:id="59"/>
      <w:bookmarkEnd w:id="60"/>
      <w:bookmarkEnd w:id="61"/>
      <w:bookmarkEnd w:id="62"/>
      <w:bookmarkEnd w:id="63"/>
      <w:r>
        <w:rPr>
          <w:bCs/>
          <w:i/>
          <w:noProof/>
        </w:rPr>
        <w:t xml:space="preserve"> </w:t>
      </w:r>
    </w:p>
    <w:p>
      <w:pPr>
        <w:tabs>
          <w:tab w:val="left" w:pos="851"/>
        </w:tabs>
        <w:spacing w:before="120" w:after="120"/>
        <w:rPr>
          <w:bCs/>
          <w:noProof/>
          <w:szCs w:val="28"/>
          <w:u w:val="single"/>
        </w:rPr>
      </w:pPr>
      <w:bookmarkStart w:id="64" w:name="_Toc231879709"/>
      <w:r>
        <w:rPr>
          <w:bCs/>
          <w:noProof/>
          <w:szCs w:val="28"/>
          <w:u w:val="single"/>
        </w:rPr>
        <w:t>3.3.3.1</w:t>
      </w:r>
      <w:r>
        <w:rPr>
          <w:bCs/>
          <w:noProof/>
          <w:szCs w:val="28"/>
          <w:u w:val="single"/>
        </w:rPr>
        <w:tab/>
        <w:t>Корекция за Обединеното кралство за 2014 г. (глава 35)</w:t>
      </w:r>
    </w:p>
    <w:p>
      <w:pPr>
        <w:spacing w:before="120" w:after="120"/>
        <w:jc w:val="both"/>
        <w:rPr>
          <w:noProof/>
        </w:rPr>
      </w:pPr>
      <w:r>
        <w:rPr>
          <w:noProof/>
        </w:rPr>
        <w:t xml:space="preserve">Размерът на корекцията за Обединеното кралство, който ще бъде включен в глава 35 от настоящия ПКБ, е разликата между </w:t>
      </w:r>
      <w:r>
        <w:rPr>
          <w:i/>
          <w:noProof/>
        </w:rPr>
        <w:t>окончателния размер</w:t>
      </w:r>
      <w:r>
        <w:rPr>
          <w:noProof/>
        </w:rPr>
        <w:t xml:space="preserve"> на корекцията за Обединеното кралство за 2014 г. (т.е. 5 267 228 258 EUR) и </w:t>
      </w:r>
      <w:r>
        <w:rPr>
          <w:i/>
          <w:noProof/>
        </w:rPr>
        <w:t>втората актуализация</w:t>
      </w:r>
      <w:r>
        <w:rPr>
          <w:noProof/>
        </w:rPr>
        <w:t xml:space="preserve"> на корекцията за Обединеното кралство за 2014 г. (т.е. 5 165 663 075 EUR, записани в КБ 5/2016), която възлиза на 101 565 183 EUR.</w:t>
      </w:r>
    </w:p>
    <w:p>
      <w:pPr>
        <w:spacing w:before="120" w:after="240"/>
        <w:jc w:val="both"/>
        <w:rPr>
          <w:noProof/>
        </w:rPr>
      </w:pPr>
      <w:r>
        <w:rPr>
          <w:noProof/>
        </w:rPr>
        <w:t>Тази сума следва да бъде финансирана съобразно преразгледаните бази за БНД за 2014 г., известни в края на 2017 г. Включването на тази сума в глава 35 от бюджета е обобщено по-долу:</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rPr>
            </w:pPr>
            <w:r>
              <w:rPr>
                <w:b/>
                <w:bCs/>
                <w:noProof/>
                <w:sz w:val="20"/>
              </w:rPr>
              <w:t>Корекция за Обединеното кралство за 2014 г. — глава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1 189 588</w:t>
            </w:r>
          </w:p>
        </w:tc>
        <w:tc>
          <w:tcPr>
            <w:tcW w:w="809" w:type="dxa"/>
            <w:tcBorders>
              <w:top w:val="nil"/>
              <w:left w:val="nil"/>
              <w:bottom w:val="nil"/>
              <w:right w:val="nil"/>
            </w:tcBorders>
            <w:shd w:val="clear" w:color="auto" w:fill="auto"/>
            <w:noWrap/>
          </w:tcPr>
          <w:p>
            <w:pPr>
              <w:jc w:val="center"/>
              <w:rPr>
                <w:b/>
                <w:noProof/>
                <w:sz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396 101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1 314 590</w:t>
            </w:r>
          </w:p>
        </w:tc>
        <w:tc>
          <w:tcPr>
            <w:tcW w:w="809" w:type="dxa"/>
            <w:tcBorders>
              <w:top w:val="nil"/>
              <w:left w:val="nil"/>
              <w:bottom w:val="nil"/>
              <w:right w:val="nil"/>
            </w:tcBorders>
            <w:shd w:val="clear" w:color="auto" w:fill="auto"/>
            <w:noWrap/>
          </w:tcPr>
          <w:p>
            <w:pPr>
              <w:jc w:val="center"/>
              <w:rPr>
                <w:b/>
                <w:noProof/>
                <w:sz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1 450 317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4 774 050</w:t>
            </w:r>
          </w:p>
        </w:tc>
        <w:tc>
          <w:tcPr>
            <w:tcW w:w="809" w:type="dxa"/>
            <w:tcBorders>
              <w:top w:val="nil"/>
              <w:left w:val="nil"/>
              <w:bottom w:val="nil"/>
              <w:right w:val="nil"/>
            </w:tcBorders>
            <w:shd w:val="clear" w:color="auto" w:fill="auto"/>
            <w:noWrap/>
          </w:tcPr>
          <w:p>
            <w:pPr>
              <w:jc w:val="center"/>
              <w:rPr>
                <w:b/>
                <w:noProof/>
                <w:sz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287 498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6 637 880</w:t>
            </w:r>
          </w:p>
        </w:tc>
        <w:tc>
          <w:tcPr>
            <w:tcW w:w="809" w:type="dxa"/>
            <w:tcBorders>
              <w:top w:val="nil"/>
              <w:left w:val="nil"/>
              <w:bottom w:val="nil"/>
              <w:right w:val="nil"/>
            </w:tcBorders>
            <w:shd w:val="clear" w:color="auto" w:fill="auto"/>
            <w:noWrap/>
          </w:tcPr>
          <w:p>
            <w:pPr>
              <w:jc w:val="center"/>
              <w:rPr>
                <w:b/>
                <w:noProof/>
                <w:sz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1 144 795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4 827 592</w:t>
            </w:r>
          </w:p>
        </w:tc>
        <w:tc>
          <w:tcPr>
            <w:tcW w:w="809" w:type="dxa"/>
            <w:tcBorders>
              <w:top w:val="nil"/>
              <w:left w:val="nil"/>
              <w:bottom w:val="nil"/>
              <w:right w:val="nil"/>
            </w:tcBorders>
            <w:shd w:val="clear" w:color="auto" w:fill="auto"/>
            <w:noWrap/>
          </w:tcPr>
          <w:p>
            <w:pPr>
              <w:jc w:val="center"/>
              <w:rPr>
                <w:b/>
                <w:noProof/>
                <w:sz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1 225 444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79 593</w:t>
            </w:r>
          </w:p>
        </w:tc>
        <w:tc>
          <w:tcPr>
            <w:tcW w:w="809" w:type="dxa"/>
            <w:tcBorders>
              <w:top w:val="nil"/>
              <w:left w:val="nil"/>
              <w:bottom w:val="nil"/>
              <w:right w:val="nil"/>
            </w:tcBorders>
            <w:shd w:val="clear" w:color="auto" w:fill="auto"/>
            <w:noWrap/>
          </w:tcPr>
          <w:p>
            <w:pPr>
              <w:jc w:val="center"/>
              <w:rPr>
                <w:b/>
                <w:noProof/>
                <w:sz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3 032 377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17 082 160</w:t>
            </w:r>
          </w:p>
        </w:tc>
        <w:tc>
          <w:tcPr>
            <w:tcW w:w="809" w:type="dxa"/>
            <w:tcBorders>
              <w:top w:val="nil"/>
              <w:left w:val="nil"/>
              <w:bottom w:val="nil"/>
              <w:right w:val="nil"/>
            </w:tcBorders>
            <w:shd w:val="clear" w:color="auto" w:fill="auto"/>
            <w:noWrap/>
          </w:tcPr>
          <w:p>
            <w:pPr>
              <w:jc w:val="center"/>
              <w:rPr>
                <w:b/>
                <w:noProof/>
                <w:sz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904 421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1 707 571</w:t>
            </w:r>
          </w:p>
        </w:tc>
        <w:tc>
          <w:tcPr>
            <w:tcW w:w="809" w:type="dxa"/>
            <w:tcBorders>
              <w:top w:val="nil"/>
              <w:left w:val="nil"/>
              <w:bottom w:val="nil"/>
              <w:right w:val="nil"/>
            </w:tcBorders>
            <w:shd w:val="clear" w:color="auto" w:fill="auto"/>
            <w:noWrap/>
          </w:tcPr>
          <w:p>
            <w:pPr>
              <w:jc w:val="center"/>
              <w:rPr>
                <w:b/>
                <w:noProof/>
                <w:sz w:val="20"/>
              </w:rPr>
            </w:pPr>
            <w:r>
              <w:rPr>
                <w:b/>
                <w:noProof/>
                <w:sz w:val="20"/>
              </w:rPr>
              <w:t>RO</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974 427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ES</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6 540 304</w:t>
            </w:r>
          </w:p>
        </w:tc>
        <w:tc>
          <w:tcPr>
            <w:tcW w:w="809" w:type="dxa"/>
            <w:tcBorders>
              <w:top w:val="nil"/>
              <w:left w:val="nil"/>
              <w:bottom w:val="nil"/>
              <w:right w:val="nil"/>
            </w:tcBorders>
            <w:shd w:val="clear" w:color="auto" w:fill="auto"/>
            <w:noWrap/>
          </w:tcPr>
          <w:p>
            <w:pPr>
              <w:jc w:val="center"/>
              <w:rPr>
                <w:b/>
                <w:noProof/>
                <w:sz w:val="20"/>
              </w:rPr>
            </w:pPr>
            <w:r>
              <w:rPr>
                <w:b/>
                <w:noProof/>
                <w:sz w:val="20"/>
              </w:rPr>
              <w:t>SI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-64 803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FR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23 264 515</w:t>
            </w:r>
          </w:p>
        </w:tc>
        <w:tc>
          <w:tcPr>
            <w:tcW w:w="809" w:type="dxa"/>
            <w:tcBorders>
              <w:top w:val="nil"/>
              <w:left w:val="nil"/>
              <w:bottom w:val="nil"/>
              <w:right w:val="nil"/>
            </w:tcBorders>
            <w:shd w:val="clear" w:color="auto" w:fill="auto"/>
            <w:noWrap/>
          </w:tcPr>
          <w:p>
            <w:pPr>
              <w:jc w:val="center"/>
              <w:rPr>
                <w:b/>
                <w:noProof/>
                <w:sz w:val="20"/>
              </w:rPr>
            </w:pPr>
            <w:r>
              <w:rPr>
                <w:b/>
                <w:noProof/>
                <w:sz w:val="20"/>
              </w:rPr>
              <w:t>SK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1 838 327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827 042</w:t>
            </w:r>
          </w:p>
        </w:tc>
        <w:tc>
          <w:tcPr>
            <w:tcW w:w="809" w:type="dxa"/>
            <w:tcBorders>
              <w:top w:val="nil"/>
              <w:left w:val="nil"/>
              <w:bottom w:val="nil"/>
              <w:right w:val="nil"/>
            </w:tcBorders>
            <w:shd w:val="clear" w:color="auto" w:fill="auto"/>
            <w:noWrap/>
          </w:tcPr>
          <w:p>
            <w:pPr>
              <w:jc w:val="center"/>
              <w:rPr>
                <w:b/>
                <w:noProof/>
                <w:sz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2 716 018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17 952 849</w:t>
            </w:r>
          </w:p>
        </w:tc>
        <w:tc>
          <w:tcPr>
            <w:tcW w:w="809" w:type="dxa"/>
            <w:tcBorders>
              <w:top w:val="nil"/>
              <w:left w:val="nil"/>
              <w:bottom w:val="nil"/>
              <w:right w:val="nil"/>
            </w:tcBorders>
            <w:shd w:val="clear" w:color="auto" w:fill="auto"/>
            <w:noWrap/>
          </w:tcPr>
          <w:p>
            <w:pPr>
              <w:jc w:val="center"/>
              <w:rPr>
                <w:b/>
                <w:noProof/>
                <w:sz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793 690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552 558</w:t>
            </w:r>
          </w:p>
        </w:tc>
        <w:tc>
          <w:tcPr>
            <w:tcW w:w="809" w:type="dxa"/>
            <w:tcBorders>
              <w:top w:val="nil"/>
              <w:left w:val="nil"/>
              <w:bottom w:val="nil"/>
              <w:right w:val="nil"/>
            </w:tcBorders>
            <w:shd w:val="clear" w:color="auto" w:fill="auto"/>
            <w:noWrap/>
          </w:tcPr>
          <w:p>
            <w:pPr>
              <w:jc w:val="center"/>
              <w:rPr>
                <w:b/>
                <w:noProof/>
                <w:sz w:val="20"/>
                <w:lang w:val="es-ES"/>
              </w:rPr>
            </w:pPr>
          </w:p>
        </w:tc>
        <w:tc>
          <w:tcPr>
            <w:tcW w:w="1479" w:type="dxa"/>
            <w:tcBorders>
              <w:top w:val="nil"/>
              <w:left w:val="nil"/>
              <w:bottom w:val="nil"/>
              <w:right w:val="single" w:sz="8" w:space="0" w:color="auto"/>
            </w:tcBorders>
            <w:shd w:val="clear" w:color="auto" w:fill="auto"/>
            <w:noWrap/>
            <w:vAlign w:val="center"/>
          </w:tcPr>
          <w:p>
            <w:pPr>
              <w:jc w:val="right"/>
              <w:rPr>
                <w:noProof/>
                <w:sz w:val="20"/>
                <w:lang w:val="es-ES"/>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-273 682</w:t>
            </w:r>
          </w:p>
        </w:tc>
        <w:tc>
          <w:tcPr>
            <w:tcW w:w="809" w:type="dxa"/>
            <w:tcBorders>
              <w:top w:val="nil"/>
              <w:left w:val="nil"/>
              <w:bottom w:val="nil"/>
              <w:right w:val="nil"/>
            </w:tcBorders>
            <w:shd w:val="clear" w:color="auto" w:fill="auto"/>
            <w:noWrap/>
          </w:tcPr>
          <w:p>
            <w:pPr>
              <w:jc w:val="center"/>
              <w:rPr>
                <w:b/>
                <w:noProof/>
                <w:sz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- 101 565 183</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rPr>
            </w:pPr>
            <w:r>
              <w:rPr>
                <w:noProof/>
                <w:sz w:val="20"/>
              </w:rPr>
              <w:t>389 961</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rPr>
            </w:pPr>
            <w:r>
              <w:rPr>
                <w:b/>
                <w:noProof/>
                <w:sz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rPr>
            </w:pPr>
            <w:r>
              <w:rPr>
                <w:b/>
                <w:noProof/>
                <w:sz w:val="20"/>
              </w:rPr>
              <w:t>0</w:t>
            </w:r>
          </w:p>
        </w:tc>
      </w:tr>
    </w:tbl>
    <w:p>
      <w:pPr>
        <w:tabs>
          <w:tab w:val="left" w:pos="851"/>
        </w:tabs>
        <w:spacing w:before="120" w:after="120"/>
        <w:rPr>
          <w:bCs/>
          <w:noProof/>
          <w:szCs w:val="28"/>
          <w:u w:val="single"/>
        </w:rPr>
      </w:pPr>
      <w:r>
        <w:rPr>
          <w:bCs/>
          <w:noProof/>
          <w:szCs w:val="28"/>
          <w:u w:val="single"/>
        </w:rPr>
        <w:t>3.3.3.2</w:t>
      </w:r>
      <w:r>
        <w:rPr>
          <w:bCs/>
          <w:noProof/>
          <w:szCs w:val="28"/>
          <w:u w:val="single"/>
        </w:rPr>
        <w:tab/>
        <w:t>Корекция за Обединеното кралство за 2017 г. (глава 15)</w:t>
      </w:r>
    </w:p>
    <w:bookmarkEnd w:id="64"/>
    <w:p>
      <w:pPr>
        <w:spacing w:before="120" w:after="120"/>
        <w:jc w:val="both"/>
        <w:rPr>
          <w:noProof/>
        </w:rPr>
      </w:pPr>
      <w:r>
        <w:rPr>
          <w:noProof/>
        </w:rPr>
        <w:t xml:space="preserve">Размерът на </w:t>
      </w:r>
      <w:r>
        <w:rPr>
          <w:i/>
          <w:noProof/>
        </w:rPr>
        <w:t>първата актуализация</w:t>
      </w:r>
      <w:r>
        <w:rPr>
          <w:noProof/>
        </w:rPr>
        <w:t xml:space="preserve"> на корекцията за Обединеното кралство за 2017 г. съответства на 4 933 937 643 EUR, което е с 58 368 017 EUR по-малко от сумата, вписана в бюджета за 2018 г. (4 992 305 660 EUR).</w:t>
      </w:r>
    </w:p>
    <w:p>
      <w:pPr>
        <w:spacing w:before="120" w:after="240"/>
        <w:jc w:val="both"/>
        <w:rPr>
          <w:noProof/>
        </w:rPr>
      </w:pPr>
      <w:r>
        <w:rPr>
          <w:noProof/>
        </w:rPr>
        <w:t>Тази сума следва да бъде финансирана съобразно преразгледаните бази за БНД за 2018 г. в настоящия ПКБ. Включването на тази сума в глава 15 от бюджета е обобщено по-долу:</w:t>
      </w: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jc w:val="center"/>
              <w:rPr>
                <w:b/>
                <w:bCs/>
                <w:noProof/>
                <w:sz w:val="20"/>
              </w:rPr>
            </w:pPr>
            <w:r>
              <w:rPr>
                <w:b/>
                <w:bCs/>
                <w:noProof/>
                <w:sz w:val="20"/>
              </w:rPr>
              <w:t>Корекция за Обединеното кралство за 2017 г. — глава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rPr>
            </w:pPr>
            <w:r>
              <w:rPr>
                <w:noProof/>
                <w:sz w:val="20"/>
              </w:rPr>
              <w:t>239 806 867</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20 760 600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rPr>
            </w:pPr>
            <w:r>
              <w:rPr>
                <w:noProof/>
                <w:sz w:val="20"/>
              </w:rPr>
              <w:t xml:space="preserve"> 28 041 992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67 255 010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rPr>
            </w:pPr>
            <w:r>
              <w:rPr>
                <w:noProof/>
                <w:sz w:val="20"/>
              </w:rPr>
              <w:t>104 577 854</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5 994 192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rPr>
            </w:pPr>
            <w:r>
              <w:rPr>
                <w:noProof/>
                <w:sz w:val="20"/>
              </w:rPr>
              <w:t>161 123 729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69 664 080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rPr>
            </w:pPr>
            <w:r>
              <w:rPr>
                <w:noProof/>
                <w:sz w:val="20"/>
              </w:rPr>
              <w:t>315 179 541</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35 259 868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rPr>
            </w:pPr>
            <w:r>
              <w:rPr>
                <w:noProof/>
                <w:sz w:val="20"/>
              </w:rPr>
              <w:t>12 843 320</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257 332 005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rPr>
            </w:pPr>
            <w:r>
              <w:rPr>
                <w:noProof/>
                <w:sz w:val="20"/>
              </w:rPr>
              <w:t>135 162 127</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103 962 530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rPr>
            </w:pPr>
            <w:r>
              <w:rPr>
                <w:noProof/>
                <w:sz w:val="20"/>
              </w:rPr>
              <w:t>97 293 176</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104 377 516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rPr>
            </w:pPr>
            <w:r>
              <w:rPr>
                <w:noProof/>
                <w:sz w:val="20"/>
              </w:rPr>
              <w:t>641 717 317</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24 113 562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rPr>
            </w:pPr>
            <w:r>
              <w:rPr>
                <w:noProof/>
                <w:sz w:val="20"/>
              </w:rPr>
              <w:t>1 276 813 669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47 283 520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rPr>
            </w:pPr>
            <w:r>
              <w:rPr>
                <w:noProof/>
                <w:sz w:val="20"/>
              </w:rPr>
              <w:t>26 593 409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124 388 332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rPr>
            </w:pPr>
            <w:r>
              <w:rPr>
                <w:noProof/>
                <w:sz w:val="20"/>
              </w:rPr>
              <w:t>940 918 412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45 300 679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rPr>
            </w:pPr>
            <w:r>
              <w:rPr>
                <w:noProof/>
                <w:sz w:val="20"/>
              </w:rPr>
              <w:t>10 511 235</w:t>
            </w:r>
          </w:p>
        </w:tc>
        <w:tc>
          <w:tcPr>
            <w:tcW w:w="793" w:type="dxa"/>
            <w:vMerge w:val="restart"/>
            <w:tcBorders>
              <w:top w:val="nil"/>
              <w:left w:val="nil"/>
              <w:right w:val="nil"/>
            </w:tcBorders>
            <w:shd w:val="clear" w:color="auto" w:fill="auto"/>
            <w:noWrap/>
            <w:vAlign w:val="center"/>
          </w:tcPr>
          <w:p>
            <w:pPr>
              <w:jc w:val="center"/>
              <w:rPr>
                <w:b/>
                <w:bCs/>
                <w:noProof/>
                <w:sz w:val="20"/>
              </w:rPr>
            </w:pPr>
            <w:r>
              <w:rPr>
                <w:b/>
                <w:bCs/>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rPr>
            </w:pPr>
            <w:r>
              <w:rPr>
                <w:noProof/>
                <w:sz w:val="20"/>
              </w:rPr>
              <w:t>- 4 933 937 643</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rPr>
            </w:pPr>
            <w:r>
              <w:rPr>
                <w:noProof/>
                <w:sz w:val="20"/>
              </w:rPr>
              <w:t>15 086 578</w:t>
            </w:r>
          </w:p>
        </w:tc>
        <w:tc>
          <w:tcPr>
            <w:tcW w:w="793" w:type="dxa"/>
            <w:vMerge/>
            <w:tcBorders>
              <w:left w:val="nil"/>
              <w:bottom w:val="nil"/>
              <w:right w:val="nil"/>
            </w:tcBorders>
            <w:shd w:val="clear" w:color="auto" w:fill="auto"/>
            <w:noWrap/>
            <w:vAlign w:val="center"/>
          </w:tcPr>
          <w:p>
            <w:pPr>
              <w:jc w:val="center"/>
              <w:rPr>
                <w:b/>
                <w:bCs/>
                <w:noProof/>
                <w:sz w:val="20"/>
              </w:rPr>
            </w:pPr>
          </w:p>
        </w:tc>
        <w:tc>
          <w:tcPr>
            <w:tcW w:w="1532" w:type="dxa"/>
            <w:vMerge/>
            <w:tcBorders>
              <w:left w:val="nil"/>
              <w:bottom w:val="nil"/>
              <w:right w:val="single" w:sz="8" w:space="0" w:color="auto"/>
            </w:tcBorders>
            <w:shd w:val="clear" w:color="auto" w:fill="auto"/>
            <w:noWrap/>
            <w:vAlign w:val="bottom"/>
          </w:tcPr>
          <w:p>
            <w:pPr>
              <w:jc w:val="right"/>
              <w:rPr>
                <w:noProof/>
                <w:sz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rPr>
            </w:pPr>
            <w:r>
              <w:rPr>
                <w:noProof/>
                <w:sz w:val="20"/>
              </w:rPr>
              <w:t>22 576 523</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rPr>
            </w:pPr>
            <w:r>
              <w:rPr>
                <w:b/>
                <w:bCs/>
                <w:noProof/>
                <w:sz w:val="20"/>
              </w:rPr>
              <w:t xml:space="preserve">Общо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rPr>
            </w:pPr>
            <w:r>
              <w:rPr>
                <w:b/>
                <w:bCs/>
                <w:noProof/>
                <w:sz w:val="20"/>
              </w:rPr>
              <w:t>0</w:t>
            </w:r>
          </w:p>
        </w:tc>
      </w:tr>
      <w:bookmarkEnd w:id="41"/>
      <w:bookmarkEnd w:id="42"/>
      <w:bookmarkEnd w:id="43"/>
    </w:tbl>
    <w:p>
      <w:pPr>
        <w:autoSpaceDE w:val="0"/>
        <w:autoSpaceDN w:val="0"/>
        <w:adjustRightInd w:val="0"/>
        <w:spacing w:before="120" w:after="240"/>
        <w:jc w:val="both"/>
        <w:rPr>
          <w:noProof/>
        </w:rPr>
      </w:pPr>
    </w:p>
    <w:p>
      <w:pPr>
        <w:pStyle w:val="ManualHeading1"/>
        <w:pageBreakBefore/>
      </w:pPr>
      <w:bookmarkStart w:id="65" w:name="_Toc527208361"/>
      <w:r>
        <w:t>4.</w:t>
      </w:r>
      <w:r>
        <w:tab/>
        <w:t>Обобщаваща таблица по функции от МФР</w:t>
      </w:r>
      <w:bookmarkEnd w:id="65"/>
    </w:p>
    <w:tbl>
      <w:tblPr>
        <w:tblW w:w="10980" w:type="dxa"/>
        <w:jc w:val="center"/>
        <w:tblLook w:val="04A0" w:firstRow="1" w:lastRow="0" w:firstColumn="1" w:lastColumn="0" w:noHBand="0" w:noVBand="1"/>
      </w:tblPr>
      <w:tblGrid>
        <w:gridCol w:w="358"/>
        <w:gridCol w:w="2543"/>
        <w:gridCol w:w="1347"/>
        <w:gridCol w:w="1346"/>
        <w:gridCol w:w="1347"/>
        <w:gridCol w:w="1346"/>
        <w:gridCol w:w="1347"/>
        <w:gridCol w:w="1346"/>
      </w:tblGrid>
      <w:tr>
        <w:trPr>
          <w:trHeight w:val="210"/>
          <w:jc w:val="center"/>
        </w:trPr>
        <w:tc>
          <w:tcPr>
            <w:tcW w:w="282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2"/>
          <w:bookmarkEnd w:id="13"/>
          <w:bookmarkEnd w:id="15"/>
          <w:bookmarkEnd w:id="16"/>
          <w:p>
            <w:pPr>
              <w:jc w:val="center"/>
              <w:rPr>
                <w:b/>
                <w:bCs/>
                <w:noProof/>
                <w:color w:val="000000"/>
                <w:sz w:val="14"/>
                <w:szCs w:val="14"/>
              </w:rPr>
            </w:pPr>
            <w:r>
              <w:rPr>
                <w:b/>
                <w:bCs/>
                <w:noProof/>
                <w:color w:val="000000"/>
                <w:sz w:val="14"/>
                <w:szCs w:val="14"/>
              </w:rPr>
              <w:t>Функция</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Бюджет за 2018 г.</w:t>
            </w:r>
          </w:p>
        </w:tc>
        <w:tc>
          <w:tcPr>
            <w:tcW w:w="272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Проект на коригиращ бюджет 6/2018</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Бюджет за 2018 г.</w:t>
            </w:r>
          </w:p>
        </w:tc>
      </w:tr>
      <w:tr>
        <w:trPr>
          <w:trHeight w:val="210"/>
          <w:jc w:val="center"/>
        </w:trPr>
        <w:tc>
          <w:tcPr>
            <w:tcW w:w="282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(вкл. КБ 1—5/2018)</w:t>
            </w:r>
          </w:p>
        </w:tc>
        <w:tc>
          <w:tcPr>
            <w:tcW w:w="272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(вкл. КБ 1—5 и ПКБ 6/2018)</w:t>
            </w:r>
          </w:p>
        </w:tc>
      </w:tr>
      <w:tr>
        <w:trPr>
          <w:trHeight w:val="210"/>
          <w:jc w:val="center"/>
        </w:trPr>
        <w:tc>
          <w:tcPr>
            <w:tcW w:w="282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БКПЗ</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БКП</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БКПЗ</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БКП</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БКПЗ</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БКП</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56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Интелигентен и приобщаващ растеж</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77 533 697 652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66 624 486 101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77 531 797 652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66 622 586 101</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1 113 697 652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1 111 797 652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Таван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56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Конкурентоспособност за растеж и работни места</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22 001 452 724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20 097 167 844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21 999 552 724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20 095 267 844</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762 452 724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760 552 724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1б </w:t>
            </w:r>
          </w:p>
        </w:tc>
        <w:tc>
          <w:tcPr>
            <w:tcW w:w="256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Икономическо, социално и териториално сближаване</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46 527 318 257</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46 527 318 257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Устойчив растеж: природни ресурси</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59 285 323 122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56 083 793 633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- 46 765 000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- 42 802 703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59 238 558 122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56 040 990 930</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981 676 878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1 028 441 878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От които: Европейски фонд за гарантиране на земеделието (ЕФГЗ) — Разходи, свързани с пазара, и преки плащания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43 234 516 899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43 188 677 466</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- 1 400 000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- 1 400 000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43 233 116 899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43 187 277 466</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Подтаван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Марж за ЕФГЗ</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927 833 101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929 233 101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Сигурност и гражданство</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2 980 707 175</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2 980 707 175</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Глобална Европа</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8 906 075 154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8 906 075 154</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Марж</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Администрация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9 666 318 627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9 666 318 627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От които компенсирани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Марж</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От които: Административни разходи на институциите</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7 580 725 627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7 580 725 627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Подтаван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От които компенсирани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Общо</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160 046 618 011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144 261 380 690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- 48 665 000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- 44 702 703</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159 997 953 011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144 216 677 987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678 340 197</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678 340 197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1 357 540 063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- 1 900 000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1 355 640 063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Таван</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154 565 000 000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154 565 000 000</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От които компенсирани от маржа за непредвидени обстоятелства</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Марж</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1 344 163 251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10 981 959 507</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1 390 928 251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11 026 662 210</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Други специални инструменти</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698 540 311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551 238 311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698 540 311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551 238 311</w:t>
            </w:r>
          </w:p>
        </w:tc>
      </w:tr>
      <w:tr>
        <w:trPr>
          <w:trHeight w:val="225"/>
          <w:jc w:val="center"/>
        </w:trPr>
        <w:tc>
          <w:tcPr>
            <w:tcW w:w="282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Всичко общо</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160 745 158 322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144 812 619 001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- 48 665 000</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- 44 702 703</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160 696 493 322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144 767 916 298</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067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9711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r>
      <w:r>
        <w:rPr>
          <w:sz w:val="18"/>
          <w:szCs w:val="18"/>
        </w:rPr>
        <w:t>ОВ L 193, 30.7.2018 г., стр. 1.</w:t>
      </w:r>
    </w:p>
  </w:footnote>
  <w:footnote w:id="3">
    <w:p>
      <w:pPr>
        <w:pStyle w:val="FootnoteText"/>
      </w:pPr>
      <w:r>
        <w:rPr>
          <w:rStyle w:val="FootnoteReference"/>
        </w:rPr>
        <w:footnoteRef/>
      </w:r>
      <w:r>
        <w:t xml:space="preserve"> </w:t>
      </w:r>
      <w:r>
        <w:tab/>
      </w:r>
      <w:r>
        <w:rPr>
          <w:sz w:val="18"/>
          <w:szCs w:val="18"/>
        </w:rPr>
        <w:t>ОВ L 57, 28.2.2018 г., стр. 1.</w:t>
      </w:r>
    </w:p>
  </w:footnote>
  <w:footnote w:id="4">
    <w:p>
      <w:pPr>
        <w:pStyle w:val="FootnoteText"/>
      </w:pPr>
      <w:r>
        <w:rPr>
          <w:rStyle w:val="FootnoteReference"/>
        </w:rPr>
        <w:footnoteRef/>
      </w:r>
      <w:r>
        <w:t xml:space="preserve"> </w:t>
      </w:r>
      <w:r>
        <w:tab/>
      </w:r>
      <w:r>
        <w:rPr>
          <w:sz w:val="18"/>
          <w:szCs w:val="18"/>
        </w:rPr>
        <w:t>ОВ L 191, 27.7.2018 г., атр. 1.</w:t>
      </w:r>
    </w:p>
  </w:footnote>
  <w:footnote w:id="5">
    <w:p>
      <w:pPr>
        <w:pStyle w:val="FootnoteText"/>
      </w:pPr>
      <w:r>
        <w:rPr>
          <w:rStyle w:val="FootnoteReference"/>
        </w:rPr>
        <w:footnoteRef/>
      </w:r>
      <w:r>
        <w:t xml:space="preserve"> </w:t>
      </w:r>
      <w:r>
        <w:tab/>
      </w:r>
      <w:r>
        <w:rPr>
          <w:sz w:val="18"/>
          <w:szCs w:val="18"/>
        </w:rPr>
        <w:t>ОВ L XXX, XX.XX.2018 г. [COM(2018) 227].</w:t>
      </w:r>
    </w:p>
  </w:footnote>
  <w:footnote w:id="6">
    <w:p>
      <w:pPr>
        <w:pStyle w:val="FootnoteText"/>
      </w:pPr>
      <w:r>
        <w:rPr>
          <w:rStyle w:val="FootnoteReference"/>
        </w:rPr>
        <w:footnoteRef/>
      </w:r>
      <w:r>
        <w:t xml:space="preserve"> </w:t>
      </w:r>
      <w:r>
        <w:tab/>
        <w:t>ОВ L XXX, XX.XX.2018 г. [COM(2018) 310].</w:t>
      </w:r>
    </w:p>
  </w:footnote>
  <w:footnote w:id="7">
    <w:p>
      <w:pPr>
        <w:pStyle w:val="FootnoteText"/>
      </w:pPr>
      <w:r>
        <w:rPr>
          <w:rStyle w:val="FootnoteReference"/>
        </w:rPr>
        <w:footnoteRef/>
      </w:r>
      <w:r>
        <w:t xml:space="preserve"> </w:t>
      </w:r>
      <w:r>
        <w:tab/>
        <w:t>ОВ L XXX, XX.XX.2018 г. [COM(2018) 361].</w:t>
      </w:r>
    </w:p>
  </w:footnote>
  <w:footnote w:id="8">
    <w:p>
      <w:pPr>
        <w:pStyle w:val="FootnoteText"/>
      </w:pPr>
      <w:r>
        <w:rPr>
          <w:rStyle w:val="FootnoteReference"/>
        </w:rPr>
        <w:footnoteRef/>
      </w:r>
      <w:r>
        <w:t xml:space="preserve"> </w:t>
      </w:r>
      <w:r>
        <w:tab/>
        <w:t>ОВ L XXX, XX.XX.2018 г. [COM(2018) 537].</w:t>
      </w:r>
    </w:p>
  </w:footnote>
  <w:footnote w:id="9">
    <w:p>
      <w:pPr>
        <w:pStyle w:val="FootnoteText"/>
      </w:pPr>
      <w:r>
        <w:rPr>
          <w:rStyle w:val="FootnoteReference"/>
        </w:rPr>
        <w:footnoteRef/>
      </w:r>
      <w:r>
        <w:t xml:space="preserve"> </w:t>
      </w:r>
      <w:r>
        <w:tab/>
        <w:t>Коригиращ бюджет № 5/2018 (COM(2018) 537), приет от Европейския парламент на 3 октомври 2018 г., няма отражение върху приходите.</w:t>
      </w:r>
    </w:p>
  </w:footnote>
  <w:footnote w:id="10">
    <w:p>
      <w:pPr>
        <w:pStyle w:val="FootnoteText"/>
        <w:rPr>
          <w:sz w:val="18"/>
          <w:szCs w:val="18"/>
        </w:rPr>
      </w:pPr>
      <w:r>
        <w:rPr>
          <w:rStyle w:val="FootnoteReference"/>
          <w:sz w:val="18"/>
          <w:szCs w:val="18"/>
        </w:rPr>
        <w:footnoteRef/>
      </w:r>
      <w:r>
        <w:rPr>
          <w:sz w:val="18"/>
          <w:szCs w:val="18"/>
        </w:rPr>
        <w:t xml:space="preserve"> </w:t>
      </w:r>
      <w:r>
        <w:rPr>
          <w:sz w:val="18"/>
          <w:szCs w:val="18"/>
        </w:rPr>
        <w:tab/>
      </w:r>
      <w:r>
        <w:t>В съответствие с Решение 2014/335 на Съвета, ако базата за ДДС на държава членка надвиши 50 % от нейния БНД, за тази база се определя таван на равнището на тези 50 %. За ПКБ 6/2018 четири държави членки ще имат таван на базата за ДДС, равен на 50 % от техния БНД: Хърватия, Кипър, Люксембург и Малта.</w:t>
      </w:r>
    </w:p>
  </w:footnote>
  <w:footnote w:id="11">
    <w:p>
      <w:pPr>
        <w:pStyle w:val="FootnoteText"/>
        <w:rPr>
          <w:rStyle w:val="FootnoteReference"/>
          <w:sz w:val="18"/>
          <w:szCs w:val="18"/>
        </w:rPr>
      </w:pPr>
      <w:r>
        <w:rPr>
          <w:rStyle w:val="FootnoteReference"/>
          <w:sz w:val="18"/>
          <w:szCs w:val="18"/>
        </w:rPr>
        <w:footnoteRef/>
      </w:r>
      <w:r>
        <w:rPr>
          <w:rStyle w:val="FootnoteReference"/>
          <w:sz w:val="18"/>
          <w:szCs w:val="18"/>
        </w:rPr>
        <w:t>.</w:t>
      </w:r>
      <w:r>
        <w:rPr>
          <w:rStyle w:val="FootnoteReference"/>
          <w:sz w:val="18"/>
          <w:szCs w:val="18"/>
        </w:rPr>
        <w:tab/>
      </w:r>
      <w:r>
        <w:t>Сумите в сиво произтичат от базите за ДДС с таван, както е обяснено по-горе в бележка под линия 9.</w:t>
      </w:r>
    </w:p>
  </w:footnote>
  <w:footnote w:id="12">
    <w:p>
      <w:pPr>
        <w:pStyle w:val="FootnoteText"/>
        <w:rPr>
          <w:sz w:val="18"/>
          <w:szCs w:val="18"/>
        </w:rPr>
      </w:pPr>
      <w:r>
        <w:rPr>
          <w:rStyle w:val="FootnoteReference"/>
        </w:rPr>
        <w:footnoteRef/>
      </w:r>
      <w:r>
        <w:tab/>
        <w:t>ОВ L 168, 7.6.2014 г., стр. 105—111.</w:t>
      </w:r>
    </w:p>
  </w:footnote>
  <w:footnote w:id="13">
    <w:p>
      <w:pPr>
        <w:pStyle w:val="FootnoteText"/>
        <w:rPr>
          <w:sz w:val="18"/>
          <w:szCs w:val="18"/>
        </w:rPr>
      </w:pPr>
      <w:r>
        <w:rPr>
          <w:rStyle w:val="FootnoteReference"/>
        </w:rPr>
        <w:footnoteRef/>
      </w:r>
      <w:r>
        <w:tab/>
        <w:t>Работен документ на Комисията от 14 май 2014 г. относно изчисляването, финансирането, изплащането и вписването в бюджета на корекцията на бюджетните дисбаланси в полза на Обединеното кралство („Корекцията за ОК“) в съответствие с членове 4 и 5 от Решение 2014/335/ЕО, Евратом на Съвета относно системата на собствените ресурси на Европейския съюз.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32265D7"/>
    <w:multiLevelType w:val="hybridMultilevel"/>
    <w:tmpl w:val="63E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8BE211A"/>
    <w:multiLevelType w:val="hybridMultilevel"/>
    <w:tmpl w:val="31B8D126"/>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BC3E06"/>
    <w:multiLevelType w:val="hybridMultilevel"/>
    <w:tmpl w:val="745C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642108"/>
    <w:multiLevelType w:val="multilevel"/>
    <w:tmpl w:val="33D02A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6">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20">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9AD6263"/>
    <w:multiLevelType w:val="hybridMultilevel"/>
    <w:tmpl w:val="9356C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724A4950"/>
    <w:multiLevelType w:val="hybridMultilevel"/>
    <w:tmpl w:val="71D67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7"/>
  </w:num>
  <w:num w:numId="4">
    <w:abstractNumId w:val="18"/>
  </w:num>
  <w:num w:numId="5">
    <w:abstractNumId w:val="12"/>
  </w:num>
  <w:num w:numId="6">
    <w:abstractNumId w:val="24"/>
  </w:num>
  <w:num w:numId="7">
    <w:abstractNumId w:val="8"/>
  </w:num>
  <w:num w:numId="8">
    <w:abstractNumId w:val="25"/>
  </w:num>
  <w:num w:numId="9">
    <w:abstractNumId w:val="0"/>
  </w:num>
  <w:num w:numId="10">
    <w:abstractNumId w:val="1"/>
  </w:num>
  <w:num w:numId="11">
    <w:abstractNumId w:val="14"/>
  </w:num>
  <w:num w:numId="12">
    <w:abstractNumId w:val="19"/>
  </w:num>
  <w:num w:numId="13">
    <w:abstractNumId w:val="20"/>
  </w:num>
  <w:num w:numId="14">
    <w:abstractNumId w:val="19"/>
  </w:num>
  <w:num w:numId="15">
    <w:abstractNumId w:val="19"/>
  </w:num>
  <w:num w:numId="16">
    <w:abstractNumId w:val="19"/>
  </w:num>
  <w:num w:numId="17">
    <w:abstractNumId w:val="6"/>
  </w:num>
  <w:num w:numId="18">
    <w:abstractNumId w:val="21"/>
  </w:num>
  <w:num w:numId="19">
    <w:abstractNumId w:val="29"/>
  </w:num>
  <w:num w:numId="20">
    <w:abstractNumId w:val="24"/>
  </w:num>
  <w:num w:numId="21">
    <w:abstractNumId w:val="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num>
  <w:num w:numId="25">
    <w:abstractNumId w:val="24"/>
  </w:num>
  <w:num w:numId="26">
    <w:abstractNumId w:val="24"/>
  </w:num>
  <w:num w:numId="27">
    <w:abstractNumId w:val="30"/>
  </w:num>
  <w:num w:numId="28">
    <w:abstractNumId w:val="4"/>
  </w:num>
  <w:num w:numId="29">
    <w:abstractNumId w:val="4"/>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4"/>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4"/>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4"/>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22"/>
  </w:num>
  <w:num w:numId="34">
    <w:abstractNumId w:val="5"/>
  </w:num>
  <w:num w:numId="35">
    <w:abstractNumId w:val="13"/>
  </w:num>
  <w:num w:numId="36">
    <w:abstractNumId w:val="15"/>
  </w:num>
  <w:num w:numId="37">
    <w:abstractNumId w:val="23"/>
  </w:num>
  <w:num w:numId="38">
    <w:abstractNumId w:val="31"/>
  </w:num>
  <w:num w:numId="39">
    <w:abstractNumId w:val="16"/>
  </w:num>
  <w:num w:numId="40">
    <w:abstractNumId w:val="11"/>
  </w:num>
  <w:num w:numId="41">
    <w:abstractNumId w:val="9"/>
  </w:num>
  <w:num w:numId="42">
    <w:abstractNumId w:val="26"/>
  </w:num>
  <w:num w:numId="43">
    <w:abstractNumId w:val="28"/>
  </w:num>
  <w:num w:numId="44">
    <w:abstractNumId w:val="3"/>
  </w:num>
  <w:num w:numId="45">
    <w:abstractNumId w:val="15"/>
  </w:num>
  <w:num w:numId="46">
    <w:abstractNumId w:val="15"/>
  </w:num>
  <w:num w:numId="47">
    <w:abstractNumId w:val="10"/>
  </w:num>
  <w:num w:numId="48">
    <w:abstractNumId w:val="7"/>
  </w:num>
  <w:num w:numId="4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61C3117-E7B8-4481-AA60-E2965BE18D46"/>
    <w:docVar w:name="LW_COVERPAGE_TYPE" w:val="1"/>
    <w:docVar w:name="LW_CROSSREFERENCE" w:val="&lt;UNUSED&gt;"/>
    <w:docVar w:name="LW_DocType" w:val="NORMAL"/>
    <w:docVar w:name="LW_EMISSION" w:val="12.10.2018"/>
    <w:docVar w:name="LW_EMISSION_ISODATE" w:val="2018-10-12"/>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3?\u1072?\u1084?\u1072?\u1083?\u1077?\u1085?\u1080?\u1077? \u1085?\u1072? \u1073?\u1102?\u1076?\u1078?\u1077?\u1090?\u1085?\u1080?\u1090?\u1077? \u1082?\u1088?\u1077?\u1076?\u1080?\u1090?\u1080? \u1079?\u1072? \u1087?\u1083?\u1072?\u1097?\u1072?\u1085?\u1080?\u1103? \u1080? \u1079?\u1072? \u1087?\u1086?\u1077?\u1090?\u1080? \u1079?\u1072?\u1076?\u1098?\u1083?\u1078?\u1077?\u1085?\u1080?\u1103? \u1074? \u1089?\u1098?\u1086?\u1090?\u1074?\u1077?\u1090?\u1089?\u1090?\u1074?\u1080?\u1077? \u1089? \u1072?\u1082?\u1090?\u1091?\u1072?\u1083?\u1080?\u1079?\u1080?\u1088?\u1072?\u1085?\u1080?\u1090?\u1077? \u1087?\u1088?\u1086?\u1075?\u1085?\u1086?\u1079?\u1080? \u1079?\u1072? \u1088?\u1072?\u1079?\u1093?\u1086?\u1076?\u1080?\u1090?\u1077? \u1080? \u1072?\u1082?\u1090?\u1091?\u1072?\u1083?\u1080?\u1079?\u1072?\u1094?\u1080?\u1103?\u1090?\u1072? \u1085?\u1072? \u1087?\u1088?\u1080?\u1093?\u1086?\u1076?\u1080?\u1090?\u1077? (\u1089?\u1086?\u1073?\u1089?\u1090?\u1074?\u1077?\u1085?\u1080? \u1088?\u1077?\u1089?\u1091?\u1088?\u1089?\u1080?)"/>
    <w:docVar w:name="LW_TITRE.OBJ.CP_PREVIOUS" w:val="&lt;UNUSED&gt;"/>
    <w:docVar w:name="LW_TYPE.DOC.CP" w:val="\u1055?\u1056?\u1054?\u1045?\u1050?\u1058? \u1053?\u1040? \u1050?\u1054?\u1056?\u1048?\u1043?\u1048?\u1056?\u1040?\u1065? \u1041?\u1070?\u1044?\u1046?\u1045?\u1058? \u8470? 6_x000b_\u1050?\u1066?\u1052? \u1054?\u1041?\u1065?\u1048?\u1071? \u1041?\u1070?\u1044?\u1046?\u1045?\u1058? \u1047?\u1040? 2018 \u1043?."/>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lang w:eastAsia="de-DE"/>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lang w:eastAsia="en-US"/>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lang w:eastAsia="en-US"/>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lang w:eastAsia="en-US"/>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lang w:eastAsia="en-US"/>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character" w:customStyle="1" w:styleId="FooterChar">
    <w:name w:val="Footer Char"/>
    <w:basedOn w:val="DefaultParagraphFont"/>
    <w:link w:val="Footer"/>
    <w:rPr>
      <w:rFonts w:eastAsiaTheme="minorHAnsi"/>
      <w:sz w:val="24"/>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en-US"/>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en-US"/>
    </w:rPr>
  </w:style>
  <w:style w:type="character" w:customStyle="1" w:styleId="Heading7Char">
    <w:name w:val="Heading 7 Char"/>
    <w:basedOn w:val="DefaultParagraphFont"/>
    <w:link w:val="Heading7"/>
    <w:uiPriority w:val="99"/>
    <w:rPr>
      <w:rFonts w:ascii="Arial" w:eastAsiaTheme="majorEastAsia" w:hAnsi="Arial" w:cs="Arial"/>
      <w:sz w:val="22"/>
      <w:lang w:eastAsia="en-US"/>
    </w:rPr>
  </w:style>
  <w:style w:type="character" w:customStyle="1" w:styleId="Heading8Char">
    <w:name w:val="Heading 8 Char"/>
    <w:basedOn w:val="DefaultParagraphFont"/>
    <w:link w:val="Heading8"/>
    <w:uiPriority w:val="99"/>
    <w:rPr>
      <w:rFonts w:ascii="Arial" w:eastAsiaTheme="majorEastAsia" w:hAnsi="Arial" w:cs="Arial"/>
      <w:i/>
      <w:iCs/>
      <w:sz w:val="22"/>
      <w:lang w:eastAsia="en-US"/>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en-US"/>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de-DE"/>
    </w:rPr>
  </w:style>
  <w:style w:type="paragraph" w:styleId="Caption">
    <w:name w:val="caption"/>
    <w:basedOn w:val="Normal"/>
    <w:next w:val="Normal"/>
    <w:semiHidden/>
    <w:unhideWhenUsed/>
    <w:qFormat/>
    <w:pPr>
      <w:spacing w:after="200"/>
    </w:pPr>
    <w:rPr>
      <w:b/>
      <w:bCs/>
      <w:color w:val="4F81BD" w:themeColor="accent1"/>
      <w:sz w:val="18"/>
      <w:szCs w:val="18"/>
      <w:lang w:eastAsia="en-US"/>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paragraph" w:customStyle="1" w:styleId="agbullets">
    <w:name w:val="ag_bullets"/>
    <w:basedOn w:val="Normal"/>
    <w:qFormat/>
    <w:pPr>
      <w:numPr>
        <w:numId w:val="48"/>
      </w:numPr>
    </w:pPr>
    <w:rPr>
      <w:sz w:val="22"/>
      <w:szCs w:val="20"/>
      <w:lang w:eastAsia="en-US"/>
    </w:rPr>
  </w:style>
  <w:style w:type="paragraph" w:customStyle="1" w:styleId="agtabbullets">
    <w:name w:val="ag_tab_bullets"/>
    <w:basedOn w:val="Normal"/>
    <w:qFormat/>
    <w:pPr>
      <w:numPr>
        <w:numId w:val="49"/>
      </w:numPr>
      <w:jc w:val="both"/>
    </w:pPr>
    <w:rPr>
      <w:sz w:val="18"/>
      <w:szCs w:val="20"/>
      <w:lang w:eastAsia="en-US"/>
    </w:rPr>
  </w:style>
  <w:style w:type="paragraph" w:customStyle="1" w:styleId="agfootnote">
    <w:name w:val="ag_footnote"/>
    <w:basedOn w:val="Normal"/>
    <w:qFormat/>
    <w:pPr>
      <w:spacing w:after="120"/>
      <w:jc w:val="both"/>
    </w:pPr>
    <w:rPr>
      <w:sz w:val="16"/>
      <w:szCs w:val="20"/>
      <w:lang w:eastAsia="en-US"/>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lang w:eastAsia="de-DE"/>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lang w:eastAsia="en-US"/>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lang w:eastAsia="en-US"/>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lang w:eastAsia="en-US"/>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lang w:eastAsia="en-US"/>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character" w:customStyle="1" w:styleId="FooterChar">
    <w:name w:val="Footer Char"/>
    <w:basedOn w:val="DefaultParagraphFont"/>
    <w:link w:val="Footer"/>
    <w:rPr>
      <w:rFonts w:eastAsiaTheme="minorHAnsi"/>
      <w:sz w:val="24"/>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en-US"/>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en-US"/>
    </w:rPr>
  </w:style>
  <w:style w:type="character" w:customStyle="1" w:styleId="Heading7Char">
    <w:name w:val="Heading 7 Char"/>
    <w:basedOn w:val="DefaultParagraphFont"/>
    <w:link w:val="Heading7"/>
    <w:uiPriority w:val="99"/>
    <w:rPr>
      <w:rFonts w:ascii="Arial" w:eastAsiaTheme="majorEastAsia" w:hAnsi="Arial" w:cs="Arial"/>
      <w:sz w:val="22"/>
      <w:lang w:eastAsia="en-US"/>
    </w:rPr>
  </w:style>
  <w:style w:type="character" w:customStyle="1" w:styleId="Heading8Char">
    <w:name w:val="Heading 8 Char"/>
    <w:basedOn w:val="DefaultParagraphFont"/>
    <w:link w:val="Heading8"/>
    <w:uiPriority w:val="99"/>
    <w:rPr>
      <w:rFonts w:ascii="Arial" w:eastAsiaTheme="majorEastAsia" w:hAnsi="Arial" w:cs="Arial"/>
      <w:i/>
      <w:iCs/>
      <w:sz w:val="22"/>
      <w:lang w:eastAsia="en-US"/>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en-US"/>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de-DE"/>
    </w:rPr>
  </w:style>
  <w:style w:type="paragraph" w:styleId="Caption">
    <w:name w:val="caption"/>
    <w:basedOn w:val="Normal"/>
    <w:next w:val="Normal"/>
    <w:semiHidden/>
    <w:unhideWhenUsed/>
    <w:qFormat/>
    <w:pPr>
      <w:spacing w:after="200"/>
    </w:pPr>
    <w:rPr>
      <w:b/>
      <w:bCs/>
      <w:color w:val="4F81BD" w:themeColor="accent1"/>
      <w:sz w:val="18"/>
      <w:szCs w:val="18"/>
      <w:lang w:eastAsia="en-US"/>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paragraph" w:customStyle="1" w:styleId="agbullets">
    <w:name w:val="ag_bullets"/>
    <w:basedOn w:val="Normal"/>
    <w:qFormat/>
    <w:pPr>
      <w:numPr>
        <w:numId w:val="48"/>
      </w:numPr>
    </w:pPr>
    <w:rPr>
      <w:sz w:val="22"/>
      <w:szCs w:val="20"/>
      <w:lang w:eastAsia="en-US"/>
    </w:rPr>
  </w:style>
  <w:style w:type="paragraph" w:customStyle="1" w:styleId="agtabbullets">
    <w:name w:val="ag_tab_bullets"/>
    <w:basedOn w:val="Normal"/>
    <w:qFormat/>
    <w:pPr>
      <w:numPr>
        <w:numId w:val="49"/>
      </w:numPr>
      <w:jc w:val="both"/>
    </w:pPr>
    <w:rPr>
      <w:sz w:val="18"/>
      <w:szCs w:val="20"/>
      <w:lang w:eastAsia="en-US"/>
    </w:rPr>
  </w:style>
  <w:style w:type="paragraph" w:customStyle="1" w:styleId="agfootnote">
    <w:name w:val="ag_footnote"/>
    <w:basedOn w:val="Normal"/>
    <w:qFormat/>
    <w:pPr>
      <w:spacing w:after="120"/>
      <w:jc w:val="both"/>
    </w:pPr>
    <w:rPr>
      <w:sz w:val="16"/>
      <w:szCs w:val="20"/>
      <w:lang w:eastAsia="en-US"/>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918">
      <w:bodyDiv w:val="1"/>
      <w:marLeft w:val="0"/>
      <w:marRight w:val="0"/>
      <w:marTop w:val="0"/>
      <w:marBottom w:val="0"/>
      <w:divBdr>
        <w:top w:val="none" w:sz="0" w:space="0" w:color="auto"/>
        <w:left w:val="none" w:sz="0" w:space="0" w:color="auto"/>
        <w:bottom w:val="none" w:sz="0" w:space="0" w:color="auto"/>
        <w:right w:val="none" w:sz="0" w:space="0" w:color="auto"/>
      </w:divBdr>
    </w:div>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65807294">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38367012">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30136016">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000183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3854170">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4671900">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05606241">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291863010">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20981910">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07015720">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50796095">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542599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656564208">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1417984">
      <w:bodyDiv w:val="1"/>
      <w:marLeft w:val="0"/>
      <w:marRight w:val="0"/>
      <w:marTop w:val="0"/>
      <w:marBottom w:val="0"/>
      <w:divBdr>
        <w:top w:val="none" w:sz="0" w:space="0" w:color="auto"/>
        <w:left w:val="none" w:sz="0" w:space="0" w:color="auto"/>
        <w:bottom w:val="none" w:sz="0" w:space="0" w:color="auto"/>
        <w:right w:val="none" w:sz="0" w:space="0" w:color="auto"/>
      </w:divBdr>
    </w:div>
    <w:div w:id="1804348720">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85487168">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05208242">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726B-9C76-48D1-8A2D-55EE4E15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5023</Words>
  <Characters>22856</Characters>
  <Application>Microsoft Office Word</Application>
  <DocSecurity>0</DocSecurity>
  <Lines>1428</Lines>
  <Paragraphs>1161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26718</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2018-09-21T13:21:00Z</dcterms:created>
  <dcterms:modified xsi:type="dcterms:W3CDTF">2018-10-16T08:40:00Z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