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6AB021DA-2561-422D-B98E-70FC273D16AE" style="width:450.4pt;height:320.6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ManualHeading1"/>
        <w:rPr>
          <w:noProof/>
        </w:rPr>
      </w:pPr>
      <w:bookmarkStart w:id="1" w:name="_GoBack"/>
      <w:bookmarkEnd w:id="1"/>
      <w:r>
        <w:lastRenderedPageBreak/>
        <w:t>1.</w:t>
      </w:r>
      <w:r>
        <w:tab/>
      </w:r>
      <w:r>
        <w:rPr>
          <w:noProof/>
        </w:rPr>
        <w:t>Предговор</w:t>
      </w:r>
    </w:p>
    <w:p>
      <w:pPr>
        <w:pStyle w:val="Text1"/>
        <w:rPr>
          <w:noProof/>
        </w:rPr>
      </w:pPr>
      <w:r>
        <w:rPr>
          <w:noProof/>
        </w:rPr>
        <w:t>В съответствие с член 7, параграф 1 от Вътрешното споразумение за 11-ия ЕФР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член 21, параграф 2 от Регламент (ЕС) 2015/323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относно финансовия регламент, приложим за 11-ия Европейски фонд за развитие (наричан по-долу „Финансовият регламент за 11-ия ЕФР“), Комисията представя в настоящия документ прогнози за поетите задължения, плащанията и вноските за периода 2018—2020 г., като взема предвид прогнозите на Европейската инвестиционна банка (ЕИБ). </w:t>
      </w:r>
    </w:p>
    <w:p>
      <w:pPr>
        <w:pStyle w:val="Text1"/>
        <w:rPr>
          <w:noProof/>
        </w:rPr>
      </w:pPr>
      <w:r>
        <w:rPr>
          <w:noProof/>
        </w:rPr>
        <w:t>В настоящия документ са представени прогнозите за финансовото изпълнение на ЕФР (от 8-ия до 11-ия ЕФР) за периода 2018—2020 г. Освен това в него се прави необвързваща прогноза за вноските за ЕФР от държавите членки за 2021 г. и 2022 г.</w:t>
      </w:r>
    </w:p>
    <w:p>
      <w:pPr>
        <w:pStyle w:val="Text1"/>
        <w:rPr>
          <w:noProof/>
        </w:rPr>
      </w:pPr>
      <w:r>
        <w:rPr>
          <w:noProof/>
        </w:rPr>
        <w:t xml:space="preserve">Вноските за инструментите на 9-ия, 10-ия и 11-ия ЕФР, управлявани от Европейската инвестиционна банка (ЕИБ) (Инвестиционния механизъм и лихвените субсидии), се внасят директно от държавите членки в ЕИБ.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Въведение</w:t>
      </w:r>
    </w:p>
    <w:p>
      <w:pPr>
        <w:pStyle w:val="Text1"/>
        <w:rPr>
          <w:noProof/>
        </w:rPr>
      </w:pPr>
      <w:r>
        <w:rPr>
          <w:noProof/>
        </w:rPr>
        <w:t>Комисията и ЕИБ актуализираха прогнозите си за поетите задължения и за плащанията за 2018 г., 2019 г. и 2020 г. за всяка една от страните от АКТБ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ОСТ</w:t>
      </w:r>
      <w:r>
        <w:rPr>
          <w:rStyle w:val="FootnoteReference"/>
          <w:noProof/>
        </w:rPr>
        <w:footnoteReference w:id="4"/>
      </w:r>
      <w:r>
        <w:rPr>
          <w:noProof/>
        </w:rPr>
        <w:t>. Прогнозите за плащанията по-специално бяха изготвени с цел да се помогне на държавите членки да предвидят възможно най-точно сумите, които трябва да заделят в националните си бюджети, като същевременно се осигури наличността на достатъчно финансови ресурси за ЕФР, за да се избегнат проблеми с ликвидността.</w:t>
      </w:r>
    </w:p>
    <w:p>
      <w:pPr>
        <w:pStyle w:val="Text1"/>
        <w:rPr>
          <w:noProof/>
        </w:rPr>
      </w:pPr>
      <w:r>
        <w:rPr>
          <w:noProof/>
        </w:rPr>
        <w:t>В съответствие с член 7 от Вътрешното споразумение за 11-ия ЕФР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член 21, параграф 2 от Финансовия регламент за 11-ия ЕФР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прогнозите за поетите задължения и за плащанията бяха актуализирани въз основа на последните прогнози.</w:t>
      </w:r>
    </w:p>
    <w:p>
      <w:pPr>
        <w:pStyle w:val="Text1"/>
        <w:rPr>
          <w:noProof/>
        </w:rPr>
      </w:pPr>
      <w:r>
        <w:rPr>
          <w:noProof/>
        </w:rPr>
        <w:t>В графиката по-долу е представено общото движение на брутните поети задължения и плащания от 1999 г. до 2017 г., като са включени и прогнозите за периода 2018—2020 г. (кумулирани суми за Комисията и ЕИБ).</w:t>
      </w:r>
    </w:p>
    <w:p>
      <w:pPr>
        <w:pStyle w:val="Text1"/>
        <w:ind w:left="0"/>
        <w:rPr>
          <w:noProof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t>Брутни поети задължения и плащания: движение през периода 1999—2020 г. (в милиони евро)</w:t>
      </w:r>
    </w:p>
    <w:p>
      <w:pPr>
        <w:pStyle w:val="Text1"/>
        <w:ind w:left="0"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61355" cy="277716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77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1"/>
        <w:ind w:left="0"/>
        <w:rPr>
          <w:noProof/>
        </w:rPr>
      </w:pPr>
      <w:r>
        <w:rPr>
          <w:noProof/>
        </w:rPr>
        <w:t>Забележка: данни за изпълнението на Европейските фондове за развитие до 31 декември 2017 г. (поети задължения и плащания) и прогнози за периода 2018—2020 г.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Финансови прогнози за периода 2018—2020 г. (в милиони евро)</w:t>
      </w:r>
    </w:p>
    <w:p>
      <w:pPr>
        <w:pStyle w:val="Text1"/>
        <w:rPr>
          <w:noProof/>
        </w:rPr>
      </w:pPr>
      <w:r>
        <w:rPr>
          <w:noProof/>
        </w:rPr>
        <w:t>Таблицата по-долу съдържа актуализация на поетите задължения, плащанията и вноските въз основа на последните прогнози на Комисията.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7"/>
        <w:gridCol w:w="1586"/>
        <w:gridCol w:w="1862"/>
        <w:gridCol w:w="1862"/>
        <w:gridCol w:w="1862"/>
      </w:tblGrid>
      <w:tr>
        <w:trPr>
          <w:trHeight w:val="240"/>
        </w:trPr>
        <w:tc>
          <w:tcPr>
            <w:tcW w:w="29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Прогнози за 2018—2020 г. (*)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</w:tr>
      <w:tr>
        <w:trPr>
          <w:trHeight w:val="240"/>
        </w:trPr>
        <w:tc>
          <w:tcPr>
            <w:tcW w:w="29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2018 г.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2019 г.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2020 г.</w:t>
            </w:r>
          </w:p>
        </w:tc>
      </w:tr>
      <w:tr>
        <w:trPr>
          <w:trHeight w:val="240"/>
        </w:trPr>
        <w:tc>
          <w:tcPr>
            <w:tcW w:w="29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</w:rPr>
              <w:t>(милиони евро)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</w:rPr>
              <w:t>(милиони евро)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</w:rPr>
              <w:t>(милиони евро)</w:t>
            </w:r>
          </w:p>
        </w:tc>
      </w:tr>
      <w:tr>
        <w:trPr>
          <w:trHeight w:val="240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</w:tr>
      <w:tr>
        <w:trPr>
          <w:trHeight w:val="240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Поети задължения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4 537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4 057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3 823</w:t>
            </w:r>
          </w:p>
        </w:tc>
      </w:tr>
      <w:tr>
        <w:trPr>
          <w:trHeight w:val="240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ЕИБ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930</w:t>
            </w:r>
          </w:p>
        </w:tc>
      </w:tr>
      <w:tr>
        <w:trPr>
          <w:trHeight w:val="33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Общо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5 417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4 753</w:t>
            </w:r>
          </w:p>
        </w:tc>
      </w:tr>
      <w:tr>
        <w:trPr>
          <w:trHeight w:val="240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</w:tr>
      <w:tr>
        <w:trPr>
          <w:trHeight w:val="240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Плащания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4 600</w:t>
            </w:r>
          </w:p>
        </w:tc>
      </w:tr>
      <w:tr>
        <w:trPr>
          <w:trHeight w:val="240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ЕИБ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605</w:t>
            </w:r>
          </w:p>
        </w:tc>
      </w:tr>
      <w:tr>
        <w:trPr>
          <w:trHeight w:val="33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Общо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4 755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5 205</w:t>
            </w:r>
          </w:p>
        </w:tc>
      </w:tr>
      <w:tr>
        <w:trPr>
          <w:trHeight w:val="240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</w:tr>
      <w:tr>
        <w:trPr>
          <w:trHeight w:val="240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Вноски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4 600</w:t>
            </w:r>
          </w:p>
        </w:tc>
      </w:tr>
      <w:tr>
        <w:trPr>
          <w:trHeight w:val="240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ЕИБ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250**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300</w:t>
            </w:r>
          </w:p>
        </w:tc>
      </w:tr>
      <w:tr>
        <w:trPr>
          <w:trHeight w:val="33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Общо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4 500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4 700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4 900</w:t>
            </w:r>
          </w:p>
        </w:tc>
      </w:tr>
    </w:tbl>
    <w:p>
      <w:pPr>
        <w:pStyle w:val="Text1"/>
        <w:ind w:left="0"/>
        <w:jc w:val="left"/>
        <w:rPr>
          <w:noProof/>
          <w:sz w:val="20"/>
          <w:szCs w:val="20"/>
        </w:rPr>
      </w:pPr>
      <w:r>
        <w:rPr>
          <w:noProof/>
          <w:sz w:val="20"/>
        </w:rPr>
        <w:t>* Брутни суми, т.е. без да са приспаднати отменените бюджетни кредити или събиранията/възстановяванията. Този подход съответства на използвания за общия бюджет на Съюза.</w:t>
      </w:r>
      <w:r>
        <w:rPr>
          <w:noProof/>
          <w:sz w:val="20"/>
          <w:szCs w:val="20"/>
        </w:rPr>
        <w:br/>
      </w:r>
      <w:r>
        <w:rPr>
          <w:noProof/>
          <w:sz w:val="20"/>
        </w:rPr>
        <w:t>** Вж. обяснителната бележка на ЕИБ от 17.11.2015 г., MD no: 151/15 ADD 1 ACP</w:t>
      </w:r>
    </w:p>
    <w:p>
      <w:pPr>
        <w:pStyle w:val="ManualHeading1"/>
        <w:rPr>
          <w:noProof/>
        </w:rPr>
      </w:pPr>
      <w:r>
        <w:rPr>
          <w:noProof/>
        </w:rPr>
        <w:br w:type="page"/>
      </w:r>
      <w:r>
        <w:lastRenderedPageBreak/>
        <w:t>4.</w:t>
      </w:r>
      <w:r>
        <w:tab/>
      </w:r>
      <w:r>
        <w:rPr>
          <w:noProof/>
        </w:rPr>
        <w:t>Необвързващи прогнози за вноските за периода 2021—2022 г. (в милиони евро)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2536"/>
        <w:gridCol w:w="2109"/>
        <w:gridCol w:w="2109"/>
      </w:tblGrid>
      <w:tr>
        <w:trPr>
          <w:trHeight w:val="315"/>
        </w:trPr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</w:tr>
      <w:tr>
        <w:trPr>
          <w:trHeight w:val="315"/>
        </w:trPr>
        <w:tc>
          <w:tcPr>
            <w:tcW w:w="273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Прогнози за периода 2020—2021 г.(*)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2021 г.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2022 г.</w:t>
            </w:r>
          </w:p>
        </w:tc>
      </w:tr>
      <w:tr>
        <w:trPr>
          <w:trHeight w:val="330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</w:rPr>
              <w:t>(милиони евро)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</w:rPr>
              <w:t>(милиони евро)</w:t>
            </w:r>
          </w:p>
        </w:tc>
      </w:tr>
      <w:tr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</w:tr>
      <w:tr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Вноски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4 000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3 500</w:t>
            </w:r>
          </w:p>
        </w:tc>
      </w:tr>
      <w:tr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ЕИБ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400</w:t>
            </w:r>
          </w:p>
        </w:tc>
      </w:tr>
      <w:tr>
        <w:trPr>
          <w:trHeight w:val="330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Общо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4 300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3 900</w:t>
            </w:r>
          </w:p>
        </w:tc>
      </w:tr>
    </w:tbl>
    <w:p>
      <w:pPr>
        <w:pStyle w:val="Text1"/>
        <w:ind w:left="0"/>
        <w:rPr>
          <w:noProof/>
          <w:sz w:val="20"/>
          <w:szCs w:val="20"/>
        </w:rPr>
      </w:pPr>
      <w:r>
        <w:rPr>
          <w:noProof/>
          <w:sz w:val="20"/>
        </w:rPr>
        <w:t>* Член 21, параграф 2 от Финансовия регламент за 11-ия ЕФР (Регламент (EС) 2015/323): индикативна необвързваща прогноза, базирана на статистически подход, за очаквания годишен размер на вноските за години n + 3 и n + 4.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Прогнози за финансовото изпълнение за 2018 г., 2019 г. и 2020 г.</w:t>
      </w:r>
    </w:p>
    <w:p>
      <w:pPr>
        <w:pStyle w:val="Text1"/>
        <w:rPr>
          <w:noProof/>
        </w:rPr>
      </w:pPr>
      <w:r>
        <w:rPr>
          <w:noProof/>
        </w:rPr>
        <w:t>Актуализираните прогнози са представени в приложения 1—3.</w:t>
      </w:r>
    </w:p>
    <w:p>
      <w:pPr>
        <w:pStyle w:val="Text1"/>
        <w:rPr>
          <w:noProof/>
        </w:rPr>
      </w:pPr>
      <w:r>
        <w:rPr>
          <w:noProof/>
        </w:rPr>
        <w:t>За 2018 г. прогнозите за поетите задължения, посочени в съобщението от юни 2018 г., бяха коригирани във възходяща посока след решение на Комисията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да увеличи финансирането от ЕФР за Извънредния доверителен фонд на ЕС за Африка с 650 милиона евро. Равнището на плащанията по ЕФР остава непроменено и се очаква да се консолидира на сегашната рекордна стойност от 4,2 милиарда евро.</w:t>
      </w:r>
    </w:p>
    <w:p>
      <w:pPr>
        <w:pStyle w:val="Text1"/>
        <w:rPr>
          <w:noProof/>
        </w:rPr>
      </w:pPr>
    </w:p>
    <w:p>
      <w:pPr>
        <w:pStyle w:val="Text1"/>
        <w:ind w:left="0"/>
        <w:rPr>
          <w:noProof/>
        </w:rPr>
      </w:pPr>
      <w:r>
        <w:rPr>
          <w:noProof/>
        </w:rPr>
        <w:t>Приложения 1, 2 и 3 показват съответно прогнозите за поетите задължения, за плащанията и за финансовото състояние, съпоставени с предишни прогнози за периода 2018—2020 г.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Приложения 4 и 5 показват съответно вноските за 2019 г. и за 2020 г. по части и държави членки.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Приложение 6 показва годишните вноски за периода 2018—2022 г. по държави членки.</w:t>
      </w:r>
    </w:p>
    <w:p>
      <w:pPr>
        <w:spacing w:after="0"/>
        <w:rPr>
          <w:b/>
          <w:bCs/>
          <w:noProof/>
          <w:szCs w:val="26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ManualHeading2"/>
        <w:rPr>
          <w:noProof/>
        </w:rPr>
      </w:pPr>
      <w:r>
        <w:t>5.1.</w:t>
      </w:r>
      <w:r>
        <w:tab/>
      </w:r>
      <w:r>
        <w:rPr>
          <w:noProof/>
        </w:rPr>
        <w:t>Приложение 1: Прогнози за поетите задължения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за 2018 г., 2019 г. и 2020 г. (в милиони евро)</w:t>
      </w:r>
    </w:p>
    <w:tbl>
      <w:tblPr>
        <w:tblW w:w="13060" w:type="dxa"/>
        <w:tblInd w:w="93" w:type="dxa"/>
        <w:tblLook w:val="04A0" w:firstRow="1" w:lastRow="0" w:firstColumn="1" w:lastColumn="0" w:noHBand="0" w:noVBand="1"/>
      </w:tblPr>
      <w:tblGrid>
        <w:gridCol w:w="3280"/>
        <w:gridCol w:w="1600"/>
        <w:gridCol w:w="1600"/>
        <w:gridCol w:w="1600"/>
        <w:gridCol w:w="1600"/>
        <w:gridCol w:w="1600"/>
        <w:gridCol w:w="1780"/>
      </w:tblGrid>
      <w:tr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 г.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2019 г.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2020 г.</w:t>
            </w:r>
          </w:p>
        </w:tc>
      </w:tr>
      <w:tr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2018 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2018 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2018 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Източна и Южна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1 070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1 070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Западна и Централна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1 355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1,355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1 071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Латинска Америка и Карибски басейн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Тихоокеански басейн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2 864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2 864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2 512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Други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Механизъм за подкрепа на мира, права на човека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ЕС—Африка, Механизъм за подкрепа на мира в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Планета и благоденствие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Доверителен фонд на ЕС за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Ресурси, оценка, процес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ГД ECHO, EACEA, ГД EAC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1 023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1 673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1 544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3 823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Инвестиционен механизъм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Лихвени субсидии (**)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ЕИБ*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930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ЕК+ЕИБ*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5 417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4 753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 Заради закръглянето сумата на посочените отделни закръглени суми може да се различава малко от съответните сборове.</w:t>
      </w: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** Включително лихвените субсидии, свързани с предишни ЕФР.</w:t>
      </w:r>
    </w:p>
    <w:p>
      <w:pPr>
        <w:pStyle w:val="Text1"/>
        <w:ind w:left="0"/>
        <w:jc w:val="left"/>
        <w:rPr>
          <w:noProof/>
          <w:sz w:val="20"/>
          <w:szCs w:val="20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5.2.</w:t>
      </w:r>
      <w:r>
        <w:tab/>
      </w:r>
      <w:r>
        <w:rPr>
          <w:noProof/>
        </w:rPr>
        <w:t>Приложение 2: Прогнози за плащанията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за 2018 г., 2019 г. и 2020 г. (в милиони евро)</w:t>
      </w:r>
    </w:p>
    <w:tbl>
      <w:tblPr>
        <w:tblW w:w="12880" w:type="dxa"/>
        <w:tblInd w:w="108" w:type="dxa"/>
        <w:tblLook w:val="04A0" w:firstRow="1" w:lastRow="0" w:firstColumn="1" w:lastColumn="0" w:noHBand="0" w:noVBand="1"/>
      </w:tblPr>
      <w:tblGrid>
        <w:gridCol w:w="3340"/>
        <w:gridCol w:w="1600"/>
        <w:gridCol w:w="1600"/>
        <w:gridCol w:w="1600"/>
        <w:gridCol w:w="1600"/>
        <w:gridCol w:w="1600"/>
        <w:gridCol w:w="1540"/>
      </w:tblGrid>
      <w:tr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 г.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2019 г.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2020 г.</w:t>
            </w:r>
          </w:p>
        </w:tc>
      </w:tr>
      <w:tr>
        <w:trPr>
          <w:trHeight w:val="51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2018 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2018 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2018 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Източна и Южна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Западна и Централна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1 893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Латинска Америка и Карибски басейн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Тихоокеански басейн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2 851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2 851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3 148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Други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Механизъм за подкрепа на мира, права на човека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ЕС—Африка, Механизъм за подкрепа на мира в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Планета и благоденствие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Ресурси, оценка, процес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ГД ECHO, EACEA, ГД EAC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1 348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1 348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1 252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4 600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Инвестиционен механизъм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575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Лихвени субсидии (**)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ЕИБ*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605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 + ЕИБ*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5 180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5 205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 Заради закръглянето сумата на посочените отделни закръглени суми може да се различава малко от съответните сборове.</w:t>
      </w: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** Включително лихвените субсидии, свързани с предишни ЕФР.</w:t>
      </w:r>
    </w:p>
    <w:p>
      <w:pPr>
        <w:pStyle w:val="Text1"/>
        <w:ind w:left="0"/>
        <w:jc w:val="left"/>
        <w:rPr>
          <w:noProof/>
          <w:sz w:val="20"/>
          <w:szCs w:val="20"/>
        </w:rPr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425" w:right="964" w:bottom="964" w:left="964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5.3.</w:t>
      </w:r>
      <w:r>
        <w:tab/>
      </w:r>
      <w:r>
        <w:rPr>
          <w:noProof/>
        </w:rPr>
        <w:t>Приложение 3: Финансово състояние, прогнози за периода 2018—2020 г. и необвързващи прогнози за периода 2021—2022 г. (в милиони евро):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4730"/>
        <w:gridCol w:w="1873"/>
        <w:gridCol w:w="1325"/>
        <w:gridCol w:w="1428"/>
        <w:gridCol w:w="1873"/>
        <w:gridCol w:w="1325"/>
        <w:gridCol w:w="1428"/>
      </w:tblGrid>
      <w:tr>
        <w:trPr>
          <w:trHeight w:val="39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Съобщение от юни 2018 г.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>1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Съобщение от октомври 2018 г.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>1</w:t>
            </w:r>
          </w:p>
        </w:tc>
      </w:tr>
      <w:tr>
        <w:trPr>
          <w:trHeight w:val="199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Комисия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ЕИБ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 xml:space="preserve"> 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ОБЩО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Комисия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ЕИБ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 xml:space="preserve"> 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ОБЩО</w:t>
            </w:r>
          </w:p>
        </w:tc>
      </w:tr>
      <w:tr>
        <w:trPr>
          <w:trHeight w:val="19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Салдо към 31.12.2017 г.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 xml:space="preserve"> 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336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336</w:t>
            </w:r>
          </w:p>
        </w:tc>
      </w:tr>
      <w:tr>
        <w:trPr>
          <w:trHeight w:val="199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2018 г.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2018 г.: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4 250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4 500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4 250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4 500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1-ва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2 050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2 200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2 050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2 200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2-ра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1 300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1 400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1 300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1 400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3-та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Възстановявания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 xml:space="preserve"> 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330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330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Вноски и корекции за 2018 г., получени през 2017 г.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-173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-173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-173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-173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Вноски и корекции за 2019 г., получени през 2018 г.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Събирания, лихви и други приходи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68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Общо плащания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 xml:space="preserve"> 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-4 200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-555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-4 755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-4 200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-555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-4 755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Салдо към 31.12.2018 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241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47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288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229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77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306</w:t>
            </w:r>
          </w:p>
        </w:tc>
      </w:tr>
      <w:tr>
        <w:trPr>
          <w:trHeight w:val="199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2019 г.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2019 г.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4 600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4 900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4 400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4 700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1-ва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2 000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2 100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2-ра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1 500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1 600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3-та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1 000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Възстановявания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 xml:space="preserve"> 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320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320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Вноски и корекции за 2019 г., получени през 2018 г.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Събирания, лихви и други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65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Общо плащания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 xml:space="preserve"> 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-4 600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-580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-5 180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-4 400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-580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-4 980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Салдо към 31.12.2019 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321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67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388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294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117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411</w:t>
            </w:r>
          </w:p>
        </w:tc>
      </w:tr>
      <w:tr>
        <w:trPr>
          <w:trHeight w:val="199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2020 г.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2020 г.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4 600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4 900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4 600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4 900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Възстановявания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 xml:space="preserve"> 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330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330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Събирания, лихви и други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65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Общо плащания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 xml:space="preserve"> 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-4 600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-605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-5 205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Салдо към 31.12.2020 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359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142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501</w:t>
            </w:r>
          </w:p>
        </w:tc>
      </w:tr>
      <w:tr>
        <w:trPr>
          <w:trHeight w:val="199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2021 г.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2021 г.</w:t>
            </w:r>
            <w:r>
              <w:rPr>
                <w:rFonts w:ascii="Arial" w:hAnsi="Arial"/>
                <w:noProof/>
                <w:color w:val="FF0000"/>
                <w:sz w:val="18"/>
                <w:vertAlign w:val="superscript"/>
              </w:rPr>
              <w:t xml:space="preserve"> 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4 700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5 000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4 000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4 300</w:t>
            </w:r>
          </w:p>
        </w:tc>
      </w:tr>
      <w:tr>
        <w:trPr>
          <w:trHeight w:val="199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2022 г.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2022 г.</w:t>
            </w:r>
            <w:r>
              <w:rPr>
                <w:rFonts w:ascii="Arial" w:hAnsi="Arial"/>
                <w:noProof/>
                <w:color w:val="FF0000"/>
                <w:sz w:val="18"/>
                <w:vertAlign w:val="superscript"/>
              </w:rPr>
              <w:t xml:space="preserve"> 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3 500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400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3 900</w:t>
            </w:r>
          </w:p>
        </w:tc>
      </w:tr>
    </w:tbl>
    <w:p>
      <w:pPr>
        <w:pStyle w:val="Text1"/>
        <w:spacing w:before="0" w:after="0"/>
        <w:ind w:left="851"/>
        <w:jc w:val="left"/>
        <w:rPr>
          <w:noProof/>
          <w:sz w:val="14"/>
          <w:szCs w:val="14"/>
        </w:rPr>
      </w:pPr>
    </w:p>
    <w:p>
      <w:pPr>
        <w:pStyle w:val="Text1"/>
        <w:spacing w:before="0" w:after="0"/>
        <w:ind w:left="851"/>
        <w:jc w:val="left"/>
        <w:rPr>
          <w:noProof/>
          <w:sz w:val="14"/>
          <w:szCs w:val="14"/>
        </w:rPr>
      </w:pPr>
      <w:r>
        <w:rPr>
          <w:noProof/>
          <w:sz w:val="14"/>
        </w:rPr>
        <w:t>1</w:t>
      </w:r>
      <w:r>
        <w:rPr>
          <w:noProof/>
        </w:rPr>
        <w:tab/>
      </w:r>
      <w:r>
        <w:rPr>
          <w:noProof/>
          <w:sz w:val="14"/>
        </w:rPr>
        <w:t>Налични оперативни суми съгласно съобщението на Комисията до Съвета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2</w:t>
      </w:r>
      <w:r>
        <w:rPr>
          <w:noProof/>
        </w:rPr>
        <w:tab/>
      </w:r>
      <w:r>
        <w:rPr>
          <w:noProof/>
          <w:sz w:val="14"/>
        </w:rPr>
        <w:t>След приспадане на таксите за управление на ЕИБ;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3</w:t>
      </w:r>
      <w:r>
        <w:rPr>
          <w:noProof/>
        </w:rPr>
        <w:tab/>
      </w:r>
      <w:r>
        <w:rPr>
          <w:noProof/>
          <w:sz w:val="14"/>
        </w:rPr>
        <w:t>Включително лихвените субсидии, свързани с предишни ЕФР;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4</w:t>
      </w:r>
      <w:r>
        <w:rPr>
          <w:noProof/>
        </w:rPr>
        <w:tab/>
      </w:r>
      <w:r>
        <w:rPr>
          <w:noProof/>
          <w:sz w:val="14"/>
        </w:rPr>
        <w:t>Член 21, параграф 2, буква г) от Финансовия регламент: необвързваща прогноза, базирана на статистически подход, за очаквания годишен размер на вноските за години n + 3 и n + 4;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5</w:t>
      </w:r>
      <w:r>
        <w:rPr>
          <w:noProof/>
        </w:rPr>
        <w:tab/>
      </w:r>
      <w:r>
        <w:rPr>
          <w:noProof/>
          <w:sz w:val="14"/>
        </w:rPr>
        <w:t xml:space="preserve">Съгласно член 21, параграф 1 поканите за вноски първо оползотворяват една след друга сумите, предвидени за предходни ЕФР. Поради това поканите в рамките на 11-ия ЕФР за финансиране на ПСОФ са допълнително </w:t>
      </w:r>
      <w:r>
        <w:rPr>
          <w:noProof/>
          <w:sz w:val="14"/>
        </w:rPr>
        <w:tab/>
        <w:t>отложени.</w:t>
      </w:r>
    </w:p>
    <w:p>
      <w:pPr>
        <w:pStyle w:val="Text1"/>
        <w:spacing w:before="0" w:after="0"/>
        <w:ind w:left="851"/>
        <w:jc w:val="left"/>
        <w:rPr>
          <w:noProof/>
          <w:sz w:val="14"/>
          <w:szCs w:val="14"/>
        </w:rPr>
      </w:pPr>
      <w:r>
        <w:rPr>
          <w:noProof/>
          <w:sz w:val="14"/>
        </w:rPr>
        <w:t>6—7</w:t>
      </w:r>
      <w:r>
        <w:rPr>
          <w:noProof/>
        </w:rPr>
        <w:tab/>
      </w:r>
      <w:r>
        <w:rPr>
          <w:noProof/>
          <w:sz w:val="14"/>
        </w:rPr>
        <w:t>Салдото на паричната наличност на ЕФР никога не може да бъде отрицателно. Евентуалните отрицателни стойности в таблицата показват недостиг на бюджетни кредити за плащания.</w:t>
      </w:r>
    </w:p>
    <w:p>
      <w:pPr>
        <w:pStyle w:val="Text1"/>
        <w:spacing w:before="0" w:after="0"/>
        <w:ind w:left="851"/>
        <w:jc w:val="left"/>
        <w:rPr>
          <w:noProof/>
          <w:sz w:val="14"/>
          <w:szCs w:val="14"/>
        </w:rPr>
      </w:pPr>
    </w:p>
    <w:p>
      <w:pPr>
        <w:rPr>
          <w:noProof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418" w:right="820" w:bottom="1418" w:left="1418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5.4.</w:t>
      </w:r>
      <w:r>
        <w:tab/>
      </w:r>
      <w:r>
        <w:rPr>
          <w:noProof/>
        </w:rPr>
        <w:t>Приложение 4: Вноски на държавите членки за 2019 г. (в евро)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30"/>
        <w:gridCol w:w="1097"/>
        <w:gridCol w:w="1097"/>
        <w:gridCol w:w="1076"/>
        <w:gridCol w:w="1179"/>
        <w:gridCol w:w="1076"/>
        <w:gridCol w:w="1179"/>
        <w:gridCol w:w="1076"/>
        <w:gridCol w:w="1076"/>
        <w:gridCol w:w="1076"/>
        <w:gridCol w:w="1179"/>
        <w:gridCol w:w="1179"/>
      </w:tblGrid>
      <w:tr>
        <w:trPr>
          <w:trHeight w:val="282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ДЪРЖАВИ ЧЛЕНКИ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Коефициент за 10-ия ЕФР в %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Коефициент за 11-ия ЕФР в %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1-ва част от вноската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2-ра част от вноската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3-та част от вноската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ЕИБ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за 2019 г.</w:t>
            </w:r>
          </w:p>
        </w:tc>
      </w:tr>
      <w:tr>
        <w:trPr>
          <w:trHeight w:val="225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БЕЛГИЯ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3 530 000,00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64 985 400,00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3 530 000,00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48 739 050,00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3 530 000,00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29 243 430,00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10 590 000,00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142 967 880,00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153 557 880,00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БЪЛГАРИЯ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4 370 600,00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3 277 950,00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1 966 770,00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9 615 320,00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10 035 320,00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ЧЕШКА РЕПУБЛИКА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15 949 000,00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11 961 750,00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7 177 050,00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1 530 000,00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35 087 800,00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36 617 800,00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ДАНИЯ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2 000 000,00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39 609 000,00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2 000 000,00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29 706 750,00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2 000 000,00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17 824 050,00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6 000 000,00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87 139 800,00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93 139 800,00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ГЕРМАНИЯ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20 500 000,00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411 596 000,00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20 500 000,00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308 697 000,00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20 500 000,00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185 218 200,00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61 500 000,00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905 511 200,00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967 011 200,00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ЕСТОНИЯ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1 727 000,00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1 295 250,00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777 150,00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3 799 400,00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3 949 400,00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ИРЛАНДИЯ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18 801 200,00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14 100 900,00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8 460 540,00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2 730 000,00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41 362 640,00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44 092 640,00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ГЪРЦИЯ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30 147 000,00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22 610 250,00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13 566 150,00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4 410 000,00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66 323 400,00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70 733 400,00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ИСПАНИЯ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7 850 000,00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158 649 600,00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7 850 000,00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118 987 200,00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7 850 000,00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71 392 320,00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23 550 000,00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349 029 120,00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372 579 120,00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ФРАНЦИЯ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19 550 000,00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356 253 800,00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19 550 000,00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267 190 350,00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19 550 000,00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160 314 210,00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58 650 000,00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783 758 360,00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842 408 360,00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ХЪРВАТИЯ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4 503 600,00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3 377 700,00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2 026 620,00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9 907 920,00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9 907 920,00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ИТАЛИЯ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12 860 000,00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250 601 800,00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12 860 000,00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187 951 350,00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12 860 000,00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112 770 810,00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38 580 000,00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551 323 960,00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589 903 960,00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КИПЪР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2 232 400,00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1 674 300,00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1 004 580,00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4 911 280,00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5 181 280,00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ЛАТВИЯ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2 322 400,00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1 741 800,00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1 045 080,00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5 109 280,00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5 319 280,00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ЛИТВА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3 615 400,00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2 711 550,00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1 626 930,00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7 953 880,00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8 313 880,00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ЛЮКСЕМБУРГ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5 101 800,00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3 826 350,00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2 295 810,00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11 223 960,00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12 033 960,00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УНГАРИЯ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12 291 200,00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9 218 400,00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5 531 040,00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1 650 000,00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27 040 640,00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28 690 640,00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МАЛТА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760 200,00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570 150,00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342 090,00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1 672 440,00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1 762 440,00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НИДЕРЛАНДИЯ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4 850 000,00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95 535 600,00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4 850 000,00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71 651 700,00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4 850 000,00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42 991 020,00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14 550 000,00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210 178 320,00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224 728 320,00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АВСТРИЯ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2 410 000,00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47 951 400,00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2 410 000,00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35 963 550,00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2 410 000,00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21 578 130,00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7 230 000,00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105 493 080,00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112 723 080,00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ПОЛША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1 300 000,00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40 146 800,00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1 300 000,00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30 110 100,00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1 300 000,00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18 066 060,00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3 900 000,00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88 322 960,00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92 222 960,00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ПОРТУГАЛИЯ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23 935 800,00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1 150 000,00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17 951 850,00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1 150 000,00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10 771 110,00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3 450 000,00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52 658 760,00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56 108 760,00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РУМЪНИЯ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14 363 000,00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10 772 250,00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6 463 350,00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1 110 000,00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31 598 600,00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32 708 600,00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СЛОВЕНИЯ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4 490 400,00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3 367 800,00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2 020 680,00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9 878 880,00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10 418 880,00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СЛОВАКИЯ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7 523 200,00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5 642 400,00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3 385 440,00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16 551 040,00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17 181 040,00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ФИНЛАНДИЯ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30 181 800,00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22 636 350,00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13 581 810,00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4 410 000,00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66 399 960,00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70 809 960,00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ШВЕЦИЯ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2 740 000,00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58 782 200,00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2 740 000,00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44 086 650,00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2 740 000,00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26 451 990,00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8 220 000,00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129 320 840,00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137 540 840,00</w:t>
            </w:r>
          </w:p>
        </w:tc>
      </w:tr>
      <w:tr>
        <w:trPr>
          <w:trHeight w:val="24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ОБЕДИНЕНО КРАЛСТВО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14 820 000,00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293 572 400,00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14 820 000,00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220 179 300,00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14 820 000,00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132 107 580,00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44 460 000,00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645 859 280,00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690 319 280,00</w:t>
            </w:r>
          </w:p>
        </w:tc>
      </w:tr>
      <w:tr>
        <w:trPr>
          <w:trHeight w:val="282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ЕС-28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100 000 000,00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2 000 000 000,00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100 000 000,00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1 500 000 000,00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100 000 000,00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900 000 000,00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300 000 000,00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4 400 000 000,00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4 700 000 000,00</w:t>
            </w:r>
          </w:p>
        </w:tc>
      </w:tr>
    </w:tbl>
    <w:p>
      <w:pPr>
        <w:pStyle w:val="ManualHeading2"/>
        <w:rPr>
          <w:noProof/>
        </w:rPr>
      </w:pPr>
      <w:r>
        <w:t>5.5.</w:t>
      </w:r>
      <w:r>
        <w:tab/>
      </w:r>
      <w:r>
        <w:rPr>
          <w:noProof/>
        </w:rPr>
        <w:t>Приложение 5: Вноски на държавите членки за 2020 г. (в евро)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7"/>
        <w:gridCol w:w="1091"/>
        <w:gridCol w:w="1090"/>
        <w:gridCol w:w="1068"/>
        <w:gridCol w:w="1170"/>
        <w:gridCol w:w="1068"/>
        <w:gridCol w:w="1170"/>
        <w:gridCol w:w="1068"/>
        <w:gridCol w:w="1170"/>
        <w:gridCol w:w="1068"/>
        <w:gridCol w:w="1170"/>
        <w:gridCol w:w="1170"/>
      </w:tblGrid>
      <w:tr>
        <w:trPr>
          <w:trHeight w:val="282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ДЪРЖАВИ ЧЛЕНКИ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Коефициент за 10-ия ЕФР в %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Коефициент за 11-ия ЕФР в %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1-ва част от вноската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2-ра част от вноската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3-та част от вноската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ЕИБ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за 2020 г.</w:t>
            </w:r>
          </w:p>
        </w:tc>
      </w:tr>
      <w:tr>
        <w:trPr>
          <w:trHeight w:val="22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БЕЛГИЯ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3 530 000,00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64 985 400,00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3 530 000,00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51 988 320,00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3 530 000,00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32 492 700,00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10 590 000,00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149 466 420,00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160 056 420,00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БЪЛГАРИЯ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4 370 600,00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3 496 480,00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2 185 300,00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10 052 380,00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10 472 380,00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ЧЕШКА РЕПУБЛИКА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15 949 000,00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12 759 200,00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7 974 500,00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1 530 000,00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36 682 700,00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38 212 700,00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ДАНИЯ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2 000 000,00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39 609 000,00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2 000 000,00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31 687 200,00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2 000 000,00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19 804 500,00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6 000 000,00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91 100 700,00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97 100 700,00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ГЕРМАНИЯ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20 500 000,00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411 596 000,00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20 500 000,00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329 276 800,00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20 500 000,00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205 798 000,00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61 500 000,00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946 670 800,00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1 008 170 800,00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ЕСТОНИЯ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1 727 000,00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1 381 600,00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863 500,00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3 972 100,00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4 122 100,00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ИРЛАНДИЯ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18 801 200,00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15 040 960,00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9 400 600,00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2 730 000,00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43 242 760,00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45 972 760,00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ГЪРЦИЯ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30 147 000,00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24 117 600,00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15 073 500,00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4 410 000,00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69 338 100,00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73 748 100,00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ИСПАНИЯ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7 850 000,00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158 649 600,00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7 850 000,00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126 919 680,00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7 850 000,00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79 324 800,00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23 550 000,00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364 894 080,00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388 444 080,00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ФРАНЦИЯ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19 550 000,00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356 253 800,00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19 550 000,00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285 003 040,00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19 550 000,00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178 126 900,00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58 650 000,00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819 383 740,00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878 033 740,00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ХЪРВАТИЯ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4 503 600,00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3 602 880,00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2 251 800,00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10 358 280,00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10 358 280,00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ИТАЛИЯ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12 860 000,00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250 601 800,00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12 860 000,00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200 481 440,00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12 860 000,00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125 300 900,00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38 580 000,00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576 384 140,00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614 964 140,00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КИПЪР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2 232 400,00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1 785 920,00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1 116 200,00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5 134 520,00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5 404 520,00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ЛАТВИЯ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2 322 400,00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1 857 920,00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1 161 200,00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5 341 520,00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5 551 520,00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ЛИТВА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3 615 400,00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2 892 320,00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1 807 700,00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8 315 420,00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8 675 420,00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ЛЮКСЕМБУРГ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5 101 800,00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4 081 440,00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2 550 900,00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11 734 140,00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12 544 140,00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УНГАРИЯ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12 291 200,00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9 832 960,00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6 145 600,00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1 650 000,00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28 269 760,00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29 919 760,00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МАЛТА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760 200,00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608 160,00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380 100,00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1 748 460,00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1 838 460,00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НИДЕРЛАНДИЯ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4 850 000,00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95 535 600,00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4 850 000,00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76 428 480,00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4 850 000,00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47 767 800,00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14 550 000,00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219 731 880,00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234 281 880,00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АВСТРИЯ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2 410 000,00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47 951 400,00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2 410 000,00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38 361 120,00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2 410 000,00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23 975 700,00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7 230 000,00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110 288 220,00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117 518 220,00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ПОЛША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1 300 000,00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40 146 800,00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1 300 000,00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32 117 440,00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1 300 000,00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20 073 400,00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3 900 000,00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92 337 640,00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96 237 640,00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ПОРТУГАЛИЯ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23 935 800,00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1 150 000,00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19 148 640,00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1 150 000,00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11 967 900,00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3 450 000,00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55 052 340,00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58 502 340,00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РУМЪНИЯ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14 363 000,00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11 490 400,00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7 181 500,00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1 110 000,00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33 034 900,00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34 144 900,00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СЛОВЕНИЯ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4 490 400,00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3 592 320,00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2 245 200,00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10 327 920,00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10 867 920,00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СЛОВАКИЯ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7 523 200,00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6 018 560,00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3 761 600,00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17 303 360,00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17 933 360,00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ФИНЛАНДИЯ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30 181 800,00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24 145 440,00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1 470 000,00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15 090 900,00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4 410 000,00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69 418 140,00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73 828 140,00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ШВЕЦИЯ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2 740 000,00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58 782 200,00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2 740 000,00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47 025 760,00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2 740 000,00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29 391 100,00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8 220 000,00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135 199 060,00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143 419 060,00</w:t>
            </w:r>
          </w:p>
        </w:tc>
      </w:tr>
      <w:tr>
        <w:trPr>
          <w:trHeight w:val="240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ОБЕДИНЕНО КРАЛСТВО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14 820 000,00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293 572 400,00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14 820 000,00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234 857 920,00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14 820 000,00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146 786 200,00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44 460 000,00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675 216 520,00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719 676 520,00</w:t>
            </w:r>
          </w:p>
        </w:tc>
      </w:tr>
      <w:tr>
        <w:trPr>
          <w:trHeight w:val="282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ЕС-28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100 000 000,00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2 000 000 000,00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100 000 000,00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1 600 000 000,00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100 000 000,00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1 000 000 000,00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300 000 000,00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4 600 000 000,00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4 900 000 000,00</w:t>
            </w:r>
          </w:p>
        </w:tc>
      </w:tr>
    </w:tbl>
    <w:p>
      <w:pPr>
        <w:pStyle w:val="ManualHeading2"/>
        <w:rPr>
          <w:noProof/>
        </w:rPr>
      </w:pPr>
      <w:r>
        <w:t>5.6.</w:t>
      </w:r>
      <w:r>
        <w:tab/>
      </w:r>
      <w:r>
        <w:rPr>
          <w:noProof/>
        </w:rPr>
        <w:t>Приложение 6: Вноски на държавите членки за 2018—2022 г. (в евро)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2"/>
        <w:gridCol w:w="705"/>
        <w:gridCol w:w="722"/>
        <w:gridCol w:w="1103"/>
        <w:gridCol w:w="796"/>
        <w:gridCol w:w="1354"/>
        <w:gridCol w:w="796"/>
        <w:gridCol w:w="1354"/>
        <w:gridCol w:w="796"/>
        <w:gridCol w:w="1354"/>
        <w:gridCol w:w="737"/>
        <w:gridCol w:w="796"/>
        <w:gridCol w:w="1354"/>
        <w:gridCol w:w="791"/>
      </w:tblGrid>
      <w:tr>
        <w:trPr>
          <w:trHeight w:val="252"/>
        </w:trPr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ДЪРЖАВИ ЧЛЕНКИ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2018 г.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2019 г.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2020 г.</w:t>
            </w:r>
          </w:p>
        </w:tc>
        <w:tc>
          <w:tcPr>
            <w:tcW w:w="10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2021 г.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2022 г.</w:t>
            </w:r>
          </w:p>
        </w:tc>
      </w:tr>
      <w:tr>
        <w:trPr>
          <w:trHeight w:val="252"/>
        </w:trPr>
        <w:tc>
          <w:tcPr>
            <w:tcW w:w="5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ЕФР</w:t>
            </w:r>
          </w:p>
        </w:tc>
        <w:tc>
          <w:tcPr>
            <w:tcW w:w="254" w:type="pct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ЕФР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11-и ЕФР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10-и ЕФР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11-и ЕФР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10-и ЕФР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11-и ЕФР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10-и ЕФР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11-и ЕФР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10-и ЕФР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11-и ЕФР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11-и ЕФР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11-и ЕФР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БЕЛГИЯ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138 093 975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8 825 000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142 967 880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10 590 000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149 466 420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10 590 000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129 970 800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2 471 000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7 473 321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113 724 450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12 997 080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БЪЛГАРИЯ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9 287 525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9 615 320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10 052 380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8 741 200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98 000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502 619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7 648 550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874 120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ЧЕШКА РЕПУБЛИКА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33 891 625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1 275 000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35 087 800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1 530 000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36 682 700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1 530 000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31 898 000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357 000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1 834 135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27 910 750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3 189 800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ДАНИЯ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84 169 125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5 000 000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87 139 800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6 000 000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91 100 700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6 000 000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79 218 000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1 400 000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4 555 035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69 315 750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7 921 800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ГЕРМАНИЯ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874 641 500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51 250 000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905 511 200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61 500 000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946 670 800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61 500 000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823 192 000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14 350 000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47 333 540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720 293 000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82 319 200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ЕСТОНИЯ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3 669 875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3 799 400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3 972 100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3 454 000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198 605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3 022 250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345 400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ИРЛАНДИЯ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39 952 550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2 275 000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41 362 640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2 730 000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43 242 760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2 730 000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37 602 400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637 000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2 162 138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32 902 100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3 760 240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ГЪРЦИЯ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64 062 375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3 675 000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66 323 400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4 410 000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69 338 100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4 410 000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60 294 000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1 029 000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3 466 905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52 757 250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6 029 400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ИСПАНИЯ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337 130 400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19 625 000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349 029 120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23 550 000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364 894 080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23 550 000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317 299 200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5 495 000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18 244 704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277 636 800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31 729 920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ФРАНЦИЯ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757 039 325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48 875 000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783 758 360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58 650 000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819 383 740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58 650 000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712 507 600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13 685 000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40 969 187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623 444 150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71 250 760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ХЪРВАТИЯ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9 570 150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9 907 920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10 358 280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9 007 200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517 914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7 881 300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900 720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ИТАЛИЯ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532 528 825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32 150 000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551 323 960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38 580 000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576 384 140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38 580 000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501 203 600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9 002 000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28 819 207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438 553 150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50 120 360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КИПЪР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4 743 850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4 911 280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5 134 520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4 464 800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256 726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3 906 700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446 480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ЛАТВИЯ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4 935 100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5 109 280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5 341 520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4 644 800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49 000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267 076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4 064 200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464 480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ЛИТВА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7 682 725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7 953 880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8 315 420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7 230 800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84 000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415 771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6 326 950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723 080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ЛЮКСЕМБУРГ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10 841 325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11 223 960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11 734 140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10 203 600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189 000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586 707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8 928 150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1 020 360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УНГАРИЯ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26 118 800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1 375 000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27 040 640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28 269 760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1 650 000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24 582 400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385 000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1 413 488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21 509 600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2 458 240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МАЛТА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1 615 425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1 672 440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1 748 460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1 520 400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87 423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1 330 350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152 040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НИДЕРЛАНДИЯ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203 013 150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12 125 000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210 178 320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14 550 000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219 731 880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14 550 000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191 071 200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3 395 000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10 986 594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167 187 300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19 107 120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АВСТРИЯ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101 896 725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6 025 000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105 493 080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7 230 000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110 288 220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7 230 000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95 902 800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1 687 000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5 514 411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83 914 950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9 590 280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ПОЛША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85 311 950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3 250 000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88 322 960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3 900 000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92 337 640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3 900 000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80 293 600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4 616 882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70 256 900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8 029 360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ПОРТУГАЛИЯ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50 863 575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2 875 000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52 658 760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3 450 000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55 052 340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3 450 000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47 871 600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805 000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2 752 617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41 887 650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4 787 160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РУМЪНИЯ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30 521 375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31 598 600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1 110 000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33 034 900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1 110 000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28 726 000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259 000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1 651 745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25 135 250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2 872 600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СЛОВЕНИЯ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9 542 100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9 878 880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10 327 920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8 980 800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126 000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516 396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7 858 200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898 080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СЛОВАКИЯ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15 986 800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525 000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16 551 040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17 303 360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15 046 400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147 000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865 168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13 165 600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1 504 640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ФИНЛАНДИЯ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64 136 325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3 675 000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66 399 960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4 410 000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69 418 140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4 410 000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60 363 600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1 029 000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3 470 907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52 818 150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6 036 360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ШВЕЦИЯ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124 912 175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6 850 000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129 320 840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8 220 000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135 199 060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8 220 000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117 564 400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1 918 000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6 759 953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102 868 850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11 756 440</w:t>
            </w:r>
          </w:p>
        </w:tc>
      </w:tr>
      <w:tr>
        <w:trPr>
          <w:trHeight w:val="240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ОБЕДИНЕНО КРАЛСТВО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623 841 350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37 050 000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645 859 280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44 460 000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675 216 520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44 460 000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587 144 800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10 374 000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33 760 826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513 751 700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58 714 480</w:t>
            </w:r>
          </w:p>
        </w:tc>
      </w:tr>
      <w:tr>
        <w:trPr>
          <w:trHeight w:val="252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ЕС-28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4 250 000 000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250 000 000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4 400 000 000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300 000 000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4 600 000 000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300 000 000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4 000 000 000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70 000 000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230 000 000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3 500 000 000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400 000 000</w:t>
            </w:r>
          </w:p>
        </w:tc>
      </w:tr>
      <w:tr>
        <w:trPr>
          <w:trHeight w:val="252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4 500 000 000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4 700 000 000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4 900 000 000</w:t>
            </w:r>
          </w:p>
        </w:tc>
        <w:tc>
          <w:tcPr>
            <w:tcW w:w="10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4 300 000 000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3 900 000 000</w:t>
            </w:r>
          </w:p>
        </w:tc>
      </w:tr>
    </w:tbl>
    <w:p>
      <w:pPr>
        <w:rPr>
          <w:noProof/>
        </w:rPr>
      </w:pPr>
    </w:p>
    <w:sectPr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53241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6278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76331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72791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Вътрешно споразумение между представителите на правителствата на държавите — 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 (ОВ L 210, 6.8.2013 г., стр. 1—14).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2015/323 на Съвета от 2 март 2015 г. относно финансовия регламент, приложим за 11-ия Европейски фонд за развитие (ОВ L 58, 3.3.2015 г., стр. 17—38).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Държави от Африка, Карибите и Тихоокеанския басейн.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Отвъдморски страни и територии.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L 210, 6.8.2013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ОВ L 58, 3.3.2015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C(2018)4437 final, 6.7.2018 г. Решение на Комисията относно специална мярка за принос към Извънредния доверителен фонд на Европейския съюз за стабилност и преодоляване на първопричините за незаконната миграция и разселването на хора в Африка, която следва да бъде финансирана от 11-ия Европейски фонд за развитие.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Брутни поети задължения, т.е. без да са приспаднати отменените бюджетни кредити.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Брутни плащания, т.е. без приспадане на събиранията.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22DF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A0623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68AEF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E18D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509B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803C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66AF1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6743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  <w:lvlOverride w:ilvl="0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6AB021DA-2561-422D-B98E-70FC273D16AE"/>
    <w:docVar w:name="LW_COVERPAGE_TYPE" w:val="1"/>
    <w:docVar w:name="LW_CROSSREFERENCE" w:val="&lt;UNUSED&gt;"/>
    <w:docVar w:name="LW_DocType" w:val="NORMAL"/>
    <w:docVar w:name="LW_EMISSION" w:val="16.10.2018"/>
    <w:docVar w:name="LW_EMISSION_ISODATE" w:val="2018-10-16"/>
    <w:docVar w:name="LW_EMISSION_LOCATION" w:val="BRX"/>
    <w:docVar w:name="LW_EMISSION_PREFIX" w:val="Брюксел, "/>
    <w:docVar w:name="LW_EMISSION_SUFFIX" w:val=" \u1075?."/>
    <w:docVar w:name="LW_ID_DOCTYPE_NONLW" w:val="CP-010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8) 68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45?\u1074?\u1088?\u1086?\u1087?\u1077?\u1081?\u1089?\u1082?\u1080? \u1092?\u1086?\u1085?\u1076? \u1079?\u1072? \u1088?\u1072?\u1079?\u1074?\u1080?\u1090?\u1080?\u1077? (\u1045?\u1060?\u1056?): \u1087?\u1088?\u1086?\u1075?\u1085?\u1086?\u1079?\u1080? \u1079?\u1072? \u1087?\u1086?\u1077?\u1090?\u1080?\u1090?\u1077? \u1079?\u1072?\u1076?\u1098?\u1083?\u1078?\u1077?\u1085?\u1080?\u1103?, \u1087?\u1083?\u1072?\u1097?\u1072?\u1085?\u1080?\u1103?\u1090?\u1072? \u1080? \u1074?\u1085?\u1086?\u1089?\u1082?\u1080?\u1090?\u1077? \u1085?\u1072? \u1076?\u1098?\u1088?\u1078?\u1072?\u1074?\u1080?\u1090?\u1077? \u1095?\u1083?\u1077?\u1085?\u1082?\u1080? \u1079?\u1072? 2018 \u1075?., 2019 \u1075?. \u1080? 2020 \u1075?. \u1080? \u1085?\u1077?\u1086?\u1073?\u1074?\u1098?\u1088?\u1079?\u1074?\u1072?\u1097?\u1072? \u1087?\u1088?\u1086?\u1075?\u1085?\u1086?\u1079?\u1072? \u1079?\u1072? \u1087?\u1077?\u1088?\u1080?\u1086?\u1076?\u1072? 2021\u8212?2022 \u1075?."/>
    <w:docVar w:name="LW_TYPE.DOC.CP" w:val="\u1057?\u1066?\u1054?\u1041?\u1065?\u1045?\u1053?\u1048?\u1045? \u1053?\u1040? \u1050?\u1054?\u1052?\u1048?\u1057?\u1048?\u1071?\u1058?\u1040? \u1044?\u1054? \u1057?\u1066?\u1042?\u1045?\u1058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IntrtEEE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semiHidden/>
    <w:unhideWhenUsed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">
    <w:name w:val="List Number"/>
    <w:basedOn w:val="Normal"/>
    <w:semiHidden/>
    <w:unhideWhenUsed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2">
    <w:name w:val="List Bullet 2"/>
    <w:basedOn w:val="Normal"/>
    <w:semiHidden/>
    <w:unhideWhenUsed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3">
    <w:name w:val="List Bullet 3"/>
    <w:basedOn w:val="Normal"/>
    <w:semiHidden/>
    <w:unhideWhenUsed/>
    <w:pPr>
      <w:numPr>
        <w:numId w:val="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4">
    <w:name w:val="List Bullet 4"/>
    <w:basedOn w:val="Normal"/>
    <w:semiHidden/>
    <w:unhideWhenUsed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2">
    <w:name w:val="List Number 2"/>
    <w:basedOn w:val="Normal"/>
    <w:semiHidden/>
    <w:unhideWhenUsed/>
    <w:pPr>
      <w:numPr>
        <w:numId w:val="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3">
    <w:name w:val="List Number 3"/>
    <w:basedOn w:val="Normal"/>
    <w:semiHidden/>
    <w:unhideWhenUsed/>
    <w:pPr>
      <w:numPr>
        <w:numId w:val="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4">
    <w:name w:val="List Number 4"/>
    <w:basedOn w:val="Normal"/>
    <w:semiHidden/>
    <w:unhideWhenUsed/>
    <w:pPr>
      <w:numPr>
        <w:numId w:val="9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1">
    <w:name w:val="NumPar 1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2">
    <w:name w:val="NumPar 2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oint0number">
    <w:name w:val="Point 0 (numb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  <w:rPr>
      <w:rFonts w:eastAsia="Times New Roman"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IntrtEEE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semiHidden/>
    <w:unhideWhenUsed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">
    <w:name w:val="List Number"/>
    <w:basedOn w:val="Normal"/>
    <w:semiHidden/>
    <w:unhideWhenUsed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2">
    <w:name w:val="List Bullet 2"/>
    <w:basedOn w:val="Normal"/>
    <w:semiHidden/>
    <w:unhideWhenUsed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3">
    <w:name w:val="List Bullet 3"/>
    <w:basedOn w:val="Normal"/>
    <w:semiHidden/>
    <w:unhideWhenUsed/>
    <w:pPr>
      <w:numPr>
        <w:numId w:val="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4">
    <w:name w:val="List Bullet 4"/>
    <w:basedOn w:val="Normal"/>
    <w:semiHidden/>
    <w:unhideWhenUsed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2">
    <w:name w:val="List Number 2"/>
    <w:basedOn w:val="Normal"/>
    <w:semiHidden/>
    <w:unhideWhenUsed/>
    <w:pPr>
      <w:numPr>
        <w:numId w:val="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3">
    <w:name w:val="List Number 3"/>
    <w:basedOn w:val="Normal"/>
    <w:semiHidden/>
    <w:unhideWhenUsed/>
    <w:pPr>
      <w:numPr>
        <w:numId w:val="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4">
    <w:name w:val="List Number 4"/>
    <w:basedOn w:val="Normal"/>
    <w:semiHidden/>
    <w:unhideWhenUsed/>
    <w:pPr>
      <w:numPr>
        <w:numId w:val="9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1">
    <w:name w:val="NumPar 1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2">
    <w:name w:val="NumPar 2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oint0number">
    <w:name w:val="Point 0 (numb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  <w:rPr>
      <w:rFonts w:eastAsia="Times New Roman"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7056-5BEC-418D-B773-715C6E31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12</Pages>
  <Words>4557</Words>
  <Characters>17958</Characters>
  <Application>Microsoft Office Word</Application>
  <DocSecurity>0</DocSecurity>
  <Lines>2244</Lines>
  <Paragraphs>2046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35</cp:revision>
  <cp:lastPrinted>2017-09-04T17:00:00Z</cp:lastPrinted>
  <dcterms:created xsi:type="dcterms:W3CDTF">2017-10-17T12:14:00Z</dcterms:created>
  <dcterms:modified xsi:type="dcterms:W3CDTF">2018-10-09T08:28:00Z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6.0.1, Build 20180503</vt:lpwstr>
  </property>
  <property fmtid="{D5CDD505-2E9C-101B-9397-08002B2CF9AE}" pid="7" name="Created using">
    <vt:lpwstr>LW 6.0.1, Build 20180503</vt:lpwstr>
  </property>
</Properties>
</file>