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3DB1C12-8F51-4CC6-A663-9C5ECE34E4AB"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ManualHeading1"/>
        <w:rPr>
          <w:noProof/>
        </w:rPr>
      </w:pPr>
      <w:bookmarkStart w:id="1" w:name="_GoBack"/>
      <w:bookmarkEnd w:id="1"/>
      <w:r>
        <w:lastRenderedPageBreak/>
        <w:t>1.</w:t>
      </w:r>
      <w:r>
        <w:tab/>
      </w:r>
      <w:r>
        <w:rPr>
          <w:noProof/>
        </w:rPr>
        <w:t>Foreword</w:t>
      </w:r>
    </w:p>
    <w:p>
      <w:pPr>
        <w:pStyle w:val="Text1"/>
        <w:rPr>
          <w:noProof/>
        </w:rPr>
      </w:pPr>
      <w:r>
        <w:rPr>
          <w:noProof/>
        </w:rPr>
        <w:t>In accordance with Article 7(1) of the 11</w:t>
      </w:r>
      <w:r>
        <w:rPr>
          <w:noProof/>
          <w:vertAlign w:val="superscript"/>
        </w:rPr>
        <w:t>th</w:t>
      </w:r>
      <w:r>
        <w:rPr>
          <w:noProof/>
        </w:rPr>
        <w:t xml:space="preserve"> EDF Internal Agreement</w:t>
      </w:r>
      <w:r>
        <w:rPr>
          <w:rStyle w:val="FootnoteReference"/>
          <w:noProof/>
        </w:rPr>
        <w:footnoteReference w:id="1"/>
      </w:r>
      <w:r>
        <w:rPr>
          <w:noProof/>
        </w:rPr>
        <w:t xml:space="preserve"> and Article 21(2) of Council Regulation (EU) 2015/323</w:t>
      </w:r>
      <w:r>
        <w:rPr>
          <w:rStyle w:val="FootnoteReference"/>
          <w:noProof/>
        </w:rPr>
        <w:footnoteReference w:id="2"/>
      </w:r>
      <w:r>
        <w:rPr>
          <w:noProof/>
        </w:rPr>
        <w:t xml:space="preserve"> on the Financial Regulation applicable to the 11</w:t>
      </w:r>
      <w:r>
        <w:rPr>
          <w:noProof/>
          <w:vertAlign w:val="superscript"/>
        </w:rPr>
        <w:t>th</w:t>
      </w:r>
      <w:r>
        <w:rPr>
          <w:noProof/>
        </w:rPr>
        <w:t xml:space="preserve"> European Development Fund (hereinafter referred to as "11</w:t>
      </w:r>
      <w:r>
        <w:rPr>
          <w:noProof/>
          <w:vertAlign w:val="superscript"/>
        </w:rPr>
        <w:t>th</w:t>
      </w:r>
      <w:r>
        <w:rPr>
          <w:noProof/>
        </w:rPr>
        <w:t xml:space="preserve"> EDF Financial Regulation"), the Commission presents in this document estimates of commitments, payments and contributions for the period 2018 to 2020, taking into account the forecasts of the European Investment Bank (EIB). </w:t>
      </w:r>
    </w:p>
    <w:p>
      <w:pPr>
        <w:pStyle w:val="Text1"/>
        <w:rPr>
          <w:noProof/>
        </w:rPr>
      </w:pPr>
      <w:r>
        <w:rPr>
          <w:noProof/>
        </w:rPr>
        <w:t>This document sets out the financial implementation forecasts of the EDFs (Eighth to 11</w:t>
      </w:r>
      <w:r>
        <w:rPr>
          <w:noProof/>
          <w:vertAlign w:val="superscript"/>
        </w:rPr>
        <w:t>th</w:t>
      </w:r>
      <w:r>
        <w:rPr>
          <w:noProof/>
        </w:rPr>
        <w:t>) for 2018 until 2020. In addition, this document makes a non-binding estimation, for the EDF contributions from the Member States, for the years 2021 and 2022.</w:t>
      </w:r>
    </w:p>
    <w:p>
      <w:pPr>
        <w:pStyle w:val="Text1"/>
        <w:rPr>
          <w:noProof/>
        </w:rPr>
      </w:pPr>
      <w:r>
        <w:rPr>
          <w:noProof/>
        </w:rPr>
        <w:t>Member States contribute funds directly to the European Investment Bank (EIB) for the instruments which it manages under the Ninth, 10</w:t>
      </w:r>
      <w:r>
        <w:rPr>
          <w:noProof/>
          <w:vertAlign w:val="superscript"/>
        </w:rPr>
        <w:t>th</w:t>
      </w:r>
      <w:r>
        <w:rPr>
          <w:noProof/>
        </w:rPr>
        <w:t>, and 11</w:t>
      </w:r>
      <w:r>
        <w:rPr>
          <w:noProof/>
          <w:vertAlign w:val="superscript"/>
        </w:rPr>
        <w:t>th</w:t>
      </w:r>
      <w:r>
        <w:rPr>
          <w:noProof/>
        </w:rPr>
        <w:t xml:space="preserve"> EDFs (the Investment Facility and interest-rate subsidies). </w:t>
      </w:r>
    </w:p>
    <w:p>
      <w:pPr>
        <w:pStyle w:val="ManualHeading1"/>
        <w:rPr>
          <w:noProof/>
        </w:rPr>
      </w:pPr>
      <w:r>
        <w:t>2.</w:t>
      </w:r>
      <w:r>
        <w:tab/>
      </w:r>
      <w:r>
        <w:rPr>
          <w:noProof/>
        </w:rPr>
        <w:t>Introduction</w:t>
      </w:r>
    </w:p>
    <w:p>
      <w:pPr>
        <w:pStyle w:val="Text1"/>
        <w:rPr>
          <w:noProof/>
        </w:rPr>
      </w:pPr>
      <w:r>
        <w:rPr>
          <w:noProof/>
        </w:rPr>
        <w:t>The Commission and the EIB have updated their commitment and payment forecasts for 2018, 2019 and 2020 for each of the ACP countries</w:t>
      </w:r>
      <w:r>
        <w:rPr>
          <w:rStyle w:val="FootnoteReference"/>
          <w:noProof/>
        </w:rPr>
        <w:footnoteReference w:id="3"/>
      </w:r>
      <w:r>
        <w:rPr>
          <w:noProof/>
        </w:rPr>
        <w:t xml:space="preserve"> and the OCTs</w:t>
      </w:r>
      <w:r>
        <w:rPr>
          <w:rStyle w:val="FootnoteReference"/>
          <w:noProof/>
        </w:rPr>
        <w:footnoteReference w:id="4"/>
      </w:r>
      <w:r>
        <w:rPr>
          <w:noProof/>
        </w:rPr>
        <w:t>. The payment forecasts in particular have been compiled with the aim of helping Member States to assess as accurately as possible the amounts they need to earmark in their national budgets while ensuring that sufficient financial resources are available for the EDF to avoid liquidity problems.</w:t>
      </w:r>
    </w:p>
    <w:p>
      <w:pPr>
        <w:pStyle w:val="Text1"/>
        <w:rPr>
          <w:noProof/>
        </w:rPr>
      </w:pPr>
      <w:r>
        <w:rPr>
          <w:noProof/>
        </w:rPr>
        <w:t>In accordance with Article 7 of the 11</w:t>
      </w:r>
      <w:r>
        <w:rPr>
          <w:noProof/>
          <w:vertAlign w:val="superscript"/>
        </w:rPr>
        <w:t>th</w:t>
      </w:r>
      <w:r>
        <w:rPr>
          <w:noProof/>
        </w:rPr>
        <w:t xml:space="preserve"> EDF Internal Agreement</w:t>
      </w:r>
      <w:r>
        <w:rPr>
          <w:rStyle w:val="FootnoteReference"/>
          <w:noProof/>
        </w:rPr>
        <w:footnoteReference w:id="5"/>
      </w:r>
      <w:r>
        <w:rPr>
          <w:noProof/>
        </w:rPr>
        <w:t xml:space="preserve"> and Article 21(2) of the 11</w:t>
      </w:r>
      <w:r>
        <w:rPr>
          <w:noProof/>
          <w:vertAlign w:val="superscript"/>
        </w:rPr>
        <w:t>th</w:t>
      </w:r>
      <w:r>
        <w:rPr>
          <w:noProof/>
        </w:rPr>
        <w:t xml:space="preserve"> EDF Financial Regulation</w:t>
      </w:r>
      <w:r>
        <w:rPr>
          <w:rStyle w:val="FootnoteReference"/>
          <w:noProof/>
        </w:rPr>
        <w:footnoteReference w:id="6"/>
      </w:r>
      <w:r>
        <w:rPr>
          <w:noProof/>
        </w:rPr>
        <w:t>, the estimates of commitments and payments have been updated following the latest forecasts.</w:t>
      </w:r>
    </w:p>
    <w:p>
      <w:pPr>
        <w:pStyle w:val="Text1"/>
        <w:rPr>
          <w:noProof/>
        </w:rPr>
      </w:pPr>
      <w:r>
        <w:rPr>
          <w:noProof/>
        </w:rPr>
        <w:t>The graph below shows the general evolution in gross commitments and payments since 1999 until 2017 and projections for the period 2018-2020 (Commission and EIB cumulated amounts).</w:t>
      </w:r>
    </w:p>
    <w:p>
      <w:pPr>
        <w:pStyle w:val="Text1"/>
        <w:ind w:left="0"/>
        <w:rPr>
          <w:noProof/>
        </w:rPr>
      </w:pPr>
    </w:p>
    <w:p>
      <w:pPr>
        <w:rPr>
          <w:rFonts w:ascii="Times New Roman" w:hAnsi="Times New Roman" w:cs="Times New Roman"/>
          <w:b/>
          <w:noProof/>
          <w:sz w:val="24"/>
          <w:szCs w:val="24"/>
        </w:rPr>
      </w:pPr>
      <w:r>
        <w:rPr>
          <w:rFonts w:ascii="Times New Roman" w:hAnsi="Times New Roman" w:cs="Times New Roman"/>
          <w:b/>
          <w:noProof/>
          <w:sz w:val="24"/>
          <w:szCs w:val="24"/>
        </w:rPr>
        <w:br w:type="page"/>
      </w:r>
    </w:p>
    <w:p>
      <w:pPr>
        <w:rPr>
          <w:rFonts w:ascii="Times New Roman" w:hAnsi="Times New Roman" w:cs="Times New Roman"/>
          <w:b/>
          <w:noProof/>
          <w:sz w:val="24"/>
          <w:szCs w:val="24"/>
        </w:rPr>
      </w:pPr>
      <w:r>
        <w:rPr>
          <w:rFonts w:ascii="Times New Roman" w:hAnsi="Times New Roman" w:cs="Times New Roman"/>
          <w:b/>
          <w:noProof/>
          <w:sz w:val="24"/>
          <w:szCs w:val="24"/>
        </w:rPr>
        <w:t>Gross commitments and payments: trend 1999-2020 (EUR Million)</w:t>
      </w:r>
    </w:p>
    <w:p>
      <w:pPr>
        <w:pStyle w:val="Text1"/>
        <w:ind w:left="0"/>
        <w:rPr>
          <w:noProof/>
        </w:rPr>
      </w:pPr>
      <w:r>
        <w:rPr>
          <w:noProof/>
          <w:lang w:val="en-US" w:eastAsia="en-US"/>
        </w:rPr>
        <w:drawing>
          <wp:inline distT="0" distB="0" distL="0" distR="0">
            <wp:extent cx="5761355" cy="277716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1355" cy="2777162"/>
                    </a:xfrm>
                    <a:prstGeom prst="rect">
                      <a:avLst/>
                    </a:prstGeom>
                  </pic:spPr>
                </pic:pic>
              </a:graphicData>
            </a:graphic>
          </wp:inline>
        </w:drawing>
      </w:r>
    </w:p>
    <w:p>
      <w:pPr>
        <w:pStyle w:val="Text1"/>
        <w:ind w:left="0"/>
        <w:rPr>
          <w:noProof/>
        </w:rPr>
      </w:pPr>
      <w:r>
        <w:rPr>
          <w:noProof/>
        </w:rPr>
        <w:t>Note: Figures from implementation of the European Development Funds until 31 December 2017 (commitments and payments) and forecasts for 2018-2020.</w:t>
      </w:r>
    </w:p>
    <w:p>
      <w:pPr>
        <w:pStyle w:val="ManualHeading1"/>
        <w:rPr>
          <w:noProof/>
        </w:rPr>
      </w:pPr>
      <w:r>
        <w:t>3.</w:t>
      </w:r>
      <w:r>
        <w:tab/>
      </w:r>
      <w:r>
        <w:rPr>
          <w:noProof/>
        </w:rPr>
        <w:t>Financial forecasts for 2018 - 2020</w:t>
      </w:r>
      <w:r>
        <w:rPr>
          <w:noProof/>
          <w:szCs w:val="24"/>
        </w:rPr>
        <w:t xml:space="preserve"> (EUR Million)</w:t>
      </w:r>
    </w:p>
    <w:p>
      <w:pPr>
        <w:pStyle w:val="Text1"/>
        <w:rPr>
          <w:noProof/>
        </w:rPr>
      </w:pPr>
      <w:r>
        <w:rPr>
          <w:noProof/>
        </w:rPr>
        <w:t>The following table provides an update of the commitments, the payments and of the contributions, based on the Commission's latest forecasts.</w:t>
      </w:r>
    </w:p>
    <w:tbl>
      <w:tblPr>
        <w:tblW w:w="5000" w:type="pct"/>
        <w:tblLook w:val="04A0" w:firstRow="1" w:lastRow="0" w:firstColumn="1" w:lastColumn="0" w:noHBand="0" w:noVBand="1"/>
      </w:tblPr>
      <w:tblGrid>
        <w:gridCol w:w="2251"/>
        <w:gridCol w:w="1950"/>
        <w:gridCol w:w="1696"/>
        <w:gridCol w:w="1696"/>
        <w:gridCol w:w="1696"/>
      </w:tblGrid>
      <w:tr>
        <w:trPr>
          <w:trHeight w:val="240"/>
        </w:trPr>
        <w:tc>
          <w:tcPr>
            <w:tcW w:w="2902"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Forecasts 2018-2020 (*)</w:t>
            </w:r>
          </w:p>
        </w:tc>
        <w:tc>
          <w:tcPr>
            <w:tcW w:w="699"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c>
          <w:tcPr>
            <w:tcW w:w="699"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c>
          <w:tcPr>
            <w:tcW w:w="699"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r>
      <w:tr>
        <w:trPr>
          <w:trHeight w:val="240"/>
        </w:trPr>
        <w:tc>
          <w:tcPr>
            <w:tcW w:w="2902" w:type="pct"/>
            <w:gridSpan w:val="2"/>
            <w:vMerge/>
            <w:tcBorders>
              <w:top w:val="single" w:sz="8" w:space="0" w:color="auto"/>
              <w:left w:val="single" w:sz="8" w:space="0" w:color="auto"/>
              <w:bottom w:val="single" w:sz="8" w:space="0" w:color="000000"/>
              <w:right w:val="single" w:sz="8" w:space="0" w:color="000000"/>
            </w:tcBorders>
            <w:vAlign w:val="center"/>
            <w:hideMark/>
          </w:tcPr>
          <w:p>
            <w:pPr>
              <w:spacing w:after="0" w:line="240" w:lineRule="auto"/>
              <w:rPr>
                <w:rFonts w:ascii="Times New Roman" w:eastAsia="Times New Roman" w:hAnsi="Times New Roman" w:cs="Times New Roman"/>
                <w:b/>
                <w:bCs/>
                <w:noProof/>
                <w:sz w:val="24"/>
                <w:szCs w:val="24"/>
                <w:lang w:eastAsia="en-GB"/>
              </w:rPr>
            </w:pP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2018</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2019</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2020</w:t>
            </w:r>
          </w:p>
        </w:tc>
      </w:tr>
      <w:tr>
        <w:trPr>
          <w:trHeight w:val="240"/>
        </w:trPr>
        <w:tc>
          <w:tcPr>
            <w:tcW w:w="2902" w:type="pct"/>
            <w:gridSpan w:val="2"/>
            <w:vMerge/>
            <w:tcBorders>
              <w:top w:val="single" w:sz="8" w:space="0" w:color="auto"/>
              <w:left w:val="single" w:sz="8" w:space="0" w:color="auto"/>
              <w:bottom w:val="single" w:sz="8" w:space="0" w:color="000000"/>
              <w:right w:val="single" w:sz="8" w:space="0" w:color="000000"/>
            </w:tcBorders>
            <w:vAlign w:val="center"/>
            <w:hideMark/>
          </w:tcPr>
          <w:p>
            <w:pPr>
              <w:spacing w:after="0" w:line="240" w:lineRule="auto"/>
              <w:rPr>
                <w:rFonts w:ascii="Times New Roman" w:eastAsia="Times New Roman" w:hAnsi="Times New Roman" w:cs="Times New Roman"/>
                <w:b/>
                <w:bCs/>
                <w:noProof/>
                <w:sz w:val="24"/>
                <w:szCs w:val="24"/>
                <w:lang w:eastAsia="en-GB"/>
              </w:rPr>
            </w:pPr>
          </w:p>
        </w:tc>
        <w:tc>
          <w:tcPr>
            <w:tcW w:w="69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
                <w:bCs/>
                <w:noProof/>
                <w:sz w:val="24"/>
                <w:szCs w:val="24"/>
                <w:lang w:eastAsia="en-GB"/>
              </w:rPr>
              <w:t> </w:t>
            </w:r>
            <w:r>
              <w:rPr>
                <w:rFonts w:ascii="Times New Roman" w:eastAsia="Times New Roman" w:hAnsi="Times New Roman" w:cs="Times New Roman"/>
                <w:bCs/>
                <w:noProof/>
                <w:sz w:val="24"/>
                <w:szCs w:val="24"/>
                <w:lang w:eastAsia="en-GB"/>
              </w:rPr>
              <w:t>(EUR Million)</w:t>
            </w:r>
          </w:p>
        </w:tc>
        <w:tc>
          <w:tcPr>
            <w:tcW w:w="69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r>
              <w:rPr>
                <w:rFonts w:ascii="Times New Roman" w:eastAsia="Times New Roman" w:hAnsi="Times New Roman" w:cs="Times New Roman"/>
                <w:bCs/>
                <w:noProof/>
                <w:sz w:val="24"/>
                <w:szCs w:val="24"/>
                <w:lang w:eastAsia="en-GB"/>
              </w:rPr>
              <w:t>(EUR Million)</w:t>
            </w:r>
          </w:p>
        </w:tc>
        <w:tc>
          <w:tcPr>
            <w:tcW w:w="69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r>
              <w:rPr>
                <w:rFonts w:ascii="Times New Roman" w:eastAsia="Times New Roman" w:hAnsi="Times New Roman" w:cs="Times New Roman"/>
                <w:bCs/>
                <w:noProof/>
                <w:sz w:val="24"/>
                <w:szCs w:val="24"/>
                <w:lang w:eastAsia="en-GB"/>
              </w:rPr>
              <w:t>(EUR Million)</w:t>
            </w:r>
          </w:p>
        </w:tc>
      </w:tr>
      <w:tr>
        <w:trPr>
          <w:trHeight w:val="240"/>
        </w:trPr>
        <w:tc>
          <w:tcPr>
            <w:tcW w:w="1532"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370"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69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r>
      <w:tr>
        <w:trPr>
          <w:trHeight w:val="240"/>
        </w:trPr>
        <w:tc>
          <w:tcPr>
            <w:tcW w:w="1532"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Commitments</w:t>
            </w:r>
          </w:p>
        </w:tc>
        <w:tc>
          <w:tcPr>
            <w:tcW w:w="1370"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Commission</w:t>
            </w:r>
          </w:p>
        </w:tc>
        <w:tc>
          <w:tcPr>
            <w:tcW w:w="69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4,537</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4,057</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3,823</w:t>
            </w:r>
          </w:p>
        </w:tc>
      </w:tr>
      <w:tr>
        <w:trPr>
          <w:trHeight w:val="240"/>
        </w:trPr>
        <w:tc>
          <w:tcPr>
            <w:tcW w:w="1532"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370"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EIB</w:t>
            </w:r>
          </w:p>
        </w:tc>
        <w:tc>
          <w:tcPr>
            <w:tcW w:w="69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880</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930</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930</w:t>
            </w:r>
          </w:p>
        </w:tc>
      </w:tr>
      <w:tr>
        <w:trPr>
          <w:trHeight w:val="330"/>
        </w:trPr>
        <w:tc>
          <w:tcPr>
            <w:tcW w:w="1532"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370"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Total</w:t>
            </w:r>
          </w:p>
        </w:tc>
        <w:tc>
          <w:tcPr>
            <w:tcW w:w="699" w:type="pct"/>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5,417</w:t>
            </w:r>
          </w:p>
        </w:tc>
        <w:tc>
          <w:tcPr>
            <w:tcW w:w="69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4,987</w:t>
            </w:r>
          </w:p>
        </w:tc>
        <w:tc>
          <w:tcPr>
            <w:tcW w:w="69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4,753</w:t>
            </w:r>
          </w:p>
        </w:tc>
      </w:tr>
      <w:tr>
        <w:trPr>
          <w:trHeight w:val="240"/>
        </w:trPr>
        <w:tc>
          <w:tcPr>
            <w:tcW w:w="1532"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370"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69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r>
      <w:tr>
        <w:trPr>
          <w:trHeight w:val="240"/>
        </w:trPr>
        <w:tc>
          <w:tcPr>
            <w:tcW w:w="1532"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Payments</w:t>
            </w:r>
          </w:p>
        </w:tc>
        <w:tc>
          <w:tcPr>
            <w:tcW w:w="1370"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Commission</w:t>
            </w:r>
          </w:p>
        </w:tc>
        <w:tc>
          <w:tcPr>
            <w:tcW w:w="69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4,200</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4,400</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4,600</w:t>
            </w:r>
          </w:p>
        </w:tc>
      </w:tr>
      <w:tr>
        <w:trPr>
          <w:trHeight w:val="240"/>
        </w:trPr>
        <w:tc>
          <w:tcPr>
            <w:tcW w:w="1532"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370"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EIB</w:t>
            </w:r>
          </w:p>
        </w:tc>
        <w:tc>
          <w:tcPr>
            <w:tcW w:w="69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555</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580</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605</w:t>
            </w:r>
          </w:p>
        </w:tc>
      </w:tr>
      <w:tr>
        <w:trPr>
          <w:trHeight w:val="330"/>
        </w:trPr>
        <w:tc>
          <w:tcPr>
            <w:tcW w:w="1532"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370"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Total</w:t>
            </w:r>
          </w:p>
        </w:tc>
        <w:tc>
          <w:tcPr>
            <w:tcW w:w="699" w:type="pct"/>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4,755</w:t>
            </w:r>
          </w:p>
        </w:tc>
        <w:tc>
          <w:tcPr>
            <w:tcW w:w="69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4,980</w:t>
            </w:r>
          </w:p>
        </w:tc>
        <w:tc>
          <w:tcPr>
            <w:tcW w:w="69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5,205</w:t>
            </w:r>
          </w:p>
        </w:tc>
      </w:tr>
      <w:tr>
        <w:trPr>
          <w:trHeight w:val="240"/>
        </w:trPr>
        <w:tc>
          <w:tcPr>
            <w:tcW w:w="1532"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370"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69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r>
      <w:tr>
        <w:trPr>
          <w:trHeight w:val="240"/>
        </w:trPr>
        <w:tc>
          <w:tcPr>
            <w:tcW w:w="1532"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lang w:eastAsia="en-GB"/>
              </w:rPr>
            </w:pPr>
            <w:r>
              <w:rPr>
                <w:rFonts w:ascii="Times New Roman" w:eastAsia="Times New Roman" w:hAnsi="Times New Roman" w:cs="Times New Roman"/>
                <w:noProof/>
                <w:color w:val="FF0000"/>
                <w:sz w:val="24"/>
                <w:szCs w:val="24"/>
                <w:lang w:eastAsia="en-GB"/>
              </w:rPr>
              <w:t>Contributions</w:t>
            </w:r>
          </w:p>
        </w:tc>
        <w:tc>
          <w:tcPr>
            <w:tcW w:w="1370"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Commission</w:t>
            </w:r>
          </w:p>
        </w:tc>
        <w:tc>
          <w:tcPr>
            <w:tcW w:w="69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4,250</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4,400</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4,600</w:t>
            </w:r>
          </w:p>
        </w:tc>
      </w:tr>
      <w:tr>
        <w:trPr>
          <w:trHeight w:val="240"/>
        </w:trPr>
        <w:tc>
          <w:tcPr>
            <w:tcW w:w="1532"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370"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EIB</w:t>
            </w:r>
          </w:p>
        </w:tc>
        <w:tc>
          <w:tcPr>
            <w:tcW w:w="69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250**</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300</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300</w:t>
            </w:r>
          </w:p>
        </w:tc>
      </w:tr>
      <w:tr>
        <w:trPr>
          <w:trHeight w:val="330"/>
        </w:trPr>
        <w:tc>
          <w:tcPr>
            <w:tcW w:w="1532"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370"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lang w:eastAsia="en-GB"/>
              </w:rPr>
            </w:pPr>
            <w:r>
              <w:rPr>
                <w:rFonts w:ascii="Times New Roman" w:eastAsia="Times New Roman" w:hAnsi="Times New Roman" w:cs="Times New Roman"/>
                <w:noProof/>
                <w:color w:val="FF0000"/>
                <w:sz w:val="24"/>
                <w:szCs w:val="24"/>
                <w:lang w:eastAsia="en-GB"/>
              </w:rPr>
              <w:t>Total</w:t>
            </w:r>
          </w:p>
        </w:tc>
        <w:tc>
          <w:tcPr>
            <w:tcW w:w="699" w:type="pct"/>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lang w:eastAsia="en-GB"/>
              </w:rPr>
            </w:pPr>
            <w:r>
              <w:rPr>
                <w:rFonts w:ascii="Times New Roman" w:eastAsia="Times New Roman" w:hAnsi="Times New Roman" w:cs="Times New Roman"/>
                <w:noProof/>
                <w:color w:val="FF0000"/>
                <w:sz w:val="24"/>
                <w:szCs w:val="24"/>
                <w:lang w:eastAsia="en-GB"/>
              </w:rPr>
              <w:t>4,500</w:t>
            </w:r>
          </w:p>
        </w:tc>
        <w:tc>
          <w:tcPr>
            <w:tcW w:w="69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lang w:eastAsia="en-GB"/>
              </w:rPr>
            </w:pPr>
            <w:r>
              <w:rPr>
                <w:rFonts w:ascii="Times New Roman" w:eastAsia="Times New Roman" w:hAnsi="Times New Roman" w:cs="Times New Roman"/>
                <w:noProof/>
                <w:color w:val="FF0000"/>
                <w:sz w:val="24"/>
                <w:szCs w:val="24"/>
                <w:lang w:eastAsia="en-GB"/>
              </w:rPr>
              <w:t>4,700</w:t>
            </w:r>
          </w:p>
        </w:tc>
        <w:tc>
          <w:tcPr>
            <w:tcW w:w="69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lang w:eastAsia="en-GB"/>
              </w:rPr>
            </w:pPr>
            <w:r>
              <w:rPr>
                <w:rFonts w:ascii="Times New Roman" w:eastAsia="Times New Roman" w:hAnsi="Times New Roman" w:cs="Times New Roman"/>
                <w:noProof/>
                <w:color w:val="FF0000"/>
                <w:sz w:val="24"/>
                <w:szCs w:val="24"/>
                <w:lang w:eastAsia="en-GB"/>
              </w:rPr>
              <w:t>4,900</w:t>
            </w:r>
          </w:p>
        </w:tc>
      </w:tr>
    </w:tbl>
    <w:p>
      <w:pPr>
        <w:pStyle w:val="Text1"/>
        <w:ind w:left="0"/>
        <w:jc w:val="left"/>
        <w:rPr>
          <w:noProof/>
          <w:sz w:val="20"/>
          <w:szCs w:val="20"/>
        </w:rPr>
      </w:pPr>
      <w:r>
        <w:rPr>
          <w:noProof/>
          <w:sz w:val="20"/>
          <w:szCs w:val="20"/>
        </w:rPr>
        <w:t>* Gross amounts, i.e. no decommitments or recoveries/reflows have been deducted. This approach is in line with approach used for the general budget of the Union.</w:t>
      </w:r>
      <w:r>
        <w:rPr>
          <w:noProof/>
          <w:sz w:val="20"/>
          <w:szCs w:val="20"/>
        </w:rPr>
        <w:br/>
        <w:t>** ref. EIB explanatory note for information of 17/11/2015, MD no: 151/15 ADD 1 ACP</w:t>
      </w:r>
    </w:p>
    <w:p>
      <w:pPr>
        <w:pStyle w:val="ManualHeading1"/>
        <w:rPr>
          <w:noProof/>
        </w:rPr>
      </w:pPr>
      <w:r>
        <w:rPr>
          <w:noProof/>
        </w:rPr>
        <w:br w:type="page"/>
      </w:r>
      <w:r>
        <w:t>4.</w:t>
      </w:r>
      <w:r>
        <w:tab/>
      </w:r>
      <w:r>
        <w:rPr>
          <w:noProof/>
        </w:rPr>
        <w:t>Non-binding Estimates of contributions for 2021 - 2022</w:t>
      </w:r>
      <w:r>
        <w:rPr>
          <w:noProof/>
          <w:szCs w:val="24"/>
        </w:rPr>
        <w:t xml:space="preserve"> (EUR Million)</w:t>
      </w:r>
    </w:p>
    <w:tbl>
      <w:tblPr>
        <w:tblW w:w="5000" w:type="pct"/>
        <w:tblLook w:val="04A0" w:firstRow="1" w:lastRow="0" w:firstColumn="1" w:lastColumn="0" w:noHBand="0" w:noVBand="1"/>
      </w:tblPr>
      <w:tblGrid>
        <w:gridCol w:w="2535"/>
        <w:gridCol w:w="2536"/>
        <w:gridCol w:w="2109"/>
        <w:gridCol w:w="2109"/>
      </w:tblGrid>
      <w:tr>
        <w:trPr>
          <w:trHeight w:val="315"/>
        </w:trPr>
        <w:tc>
          <w:tcPr>
            <w:tcW w:w="1365" w:type="pct"/>
            <w:tcBorders>
              <w:top w:val="single" w:sz="8" w:space="0" w:color="auto"/>
              <w:left w:val="single" w:sz="8" w:space="0" w:color="auto"/>
              <w:bottom w:val="nil"/>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c>
          <w:tcPr>
            <w:tcW w:w="1365" w:type="pct"/>
            <w:tcBorders>
              <w:top w:val="single" w:sz="8"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c>
          <w:tcPr>
            <w:tcW w:w="1135" w:type="pct"/>
            <w:tcBorders>
              <w:top w:val="single" w:sz="8" w:space="0" w:color="auto"/>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c>
          <w:tcPr>
            <w:tcW w:w="1135"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r>
      <w:tr>
        <w:trPr>
          <w:trHeight w:val="315"/>
        </w:trPr>
        <w:tc>
          <w:tcPr>
            <w:tcW w:w="2730" w:type="pct"/>
            <w:gridSpan w:val="2"/>
            <w:tcBorders>
              <w:top w:val="nil"/>
              <w:left w:val="single" w:sz="8" w:space="0" w:color="auto"/>
              <w:bottom w:val="nil"/>
              <w:right w:val="single" w:sz="4" w:space="0" w:color="000000"/>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Forecasts 2020-2021 (*)</w:t>
            </w:r>
          </w:p>
        </w:tc>
        <w:tc>
          <w:tcPr>
            <w:tcW w:w="1135"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2021</w:t>
            </w:r>
          </w:p>
        </w:tc>
        <w:tc>
          <w:tcPr>
            <w:tcW w:w="1135"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2022</w:t>
            </w:r>
          </w:p>
        </w:tc>
      </w:tr>
      <w:tr>
        <w:trPr>
          <w:trHeight w:val="330"/>
        </w:trPr>
        <w:tc>
          <w:tcPr>
            <w:tcW w:w="1365" w:type="pct"/>
            <w:tcBorders>
              <w:top w:val="nil"/>
              <w:left w:val="single" w:sz="8" w:space="0" w:color="auto"/>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c>
          <w:tcPr>
            <w:tcW w:w="1365"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c>
          <w:tcPr>
            <w:tcW w:w="1135" w:type="pct"/>
            <w:tcBorders>
              <w:top w:val="nil"/>
              <w:left w:val="single" w:sz="4" w:space="0" w:color="auto"/>
              <w:bottom w:val="single" w:sz="8"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r>
              <w:rPr>
                <w:rFonts w:ascii="Times New Roman" w:eastAsia="Times New Roman" w:hAnsi="Times New Roman" w:cs="Times New Roman"/>
                <w:bCs/>
                <w:noProof/>
                <w:sz w:val="24"/>
                <w:szCs w:val="24"/>
                <w:lang w:eastAsia="en-GB"/>
              </w:rPr>
              <w:t>(EUR Million)</w:t>
            </w:r>
          </w:p>
        </w:tc>
        <w:tc>
          <w:tcPr>
            <w:tcW w:w="1135"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r>
              <w:rPr>
                <w:rFonts w:ascii="Times New Roman" w:eastAsia="Times New Roman" w:hAnsi="Times New Roman" w:cs="Times New Roman"/>
                <w:bCs/>
                <w:noProof/>
                <w:sz w:val="24"/>
                <w:szCs w:val="24"/>
                <w:lang w:eastAsia="en-GB"/>
              </w:rPr>
              <w:t>(EUR Million)</w:t>
            </w:r>
          </w:p>
        </w:tc>
      </w:tr>
      <w:tr>
        <w:trPr>
          <w:trHeight w:val="315"/>
        </w:trPr>
        <w:tc>
          <w:tcPr>
            <w:tcW w:w="1365"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365"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13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135"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r>
      <w:tr>
        <w:trPr>
          <w:trHeight w:val="315"/>
        </w:trPr>
        <w:tc>
          <w:tcPr>
            <w:tcW w:w="1365"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lang w:eastAsia="en-GB"/>
              </w:rPr>
            </w:pPr>
            <w:r>
              <w:rPr>
                <w:rFonts w:ascii="Times New Roman" w:eastAsia="Times New Roman" w:hAnsi="Times New Roman" w:cs="Times New Roman"/>
                <w:noProof/>
                <w:color w:val="FF0000"/>
                <w:sz w:val="24"/>
                <w:szCs w:val="24"/>
                <w:lang w:eastAsia="en-GB"/>
              </w:rPr>
              <w:t>Contributions</w:t>
            </w:r>
          </w:p>
        </w:tc>
        <w:tc>
          <w:tcPr>
            <w:tcW w:w="1365"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Commission</w:t>
            </w:r>
          </w:p>
        </w:tc>
        <w:tc>
          <w:tcPr>
            <w:tcW w:w="113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4,000</w:t>
            </w:r>
          </w:p>
        </w:tc>
        <w:tc>
          <w:tcPr>
            <w:tcW w:w="1135"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3,500</w:t>
            </w:r>
          </w:p>
        </w:tc>
      </w:tr>
      <w:tr>
        <w:trPr>
          <w:trHeight w:val="315"/>
        </w:trPr>
        <w:tc>
          <w:tcPr>
            <w:tcW w:w="1365"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365"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EIB</w:t>
            </w:r>
          </w:p>
        </w:tc>
        <w:tc>
          <w:tcPr>
            <w:tcW w:w="113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300</w:t>
            </w:r>
          </w:p>
        </w:tc>
        <w:tc>
          <w:tcPr>
            <w:tcW w:w="1135"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400</w:t>
            </w:r>
          </w:p>
        </w:tc>
      </w:tr>
      <w:tr>
        <w:trPr>
          <w:trHeight w:val="330"/>
        </w:trPr>
        <w:tc>
          <w:tcPr>
            <w:tcW w:w="1365"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365"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lang w:eastAsia="en-GB"/>
              </w:rPr>
            </w:pPr>
            <w:r>
              <w:rPr>
                <w:rFonts w:ascii="Times New Roman" w:eastAsia="Times New Roman" w:hAnsi="Times New Roman" w:cs="Times New Roman"/>
                <w:noProof/>
                <w:color w:val="FF0000"/>
                <w:sz w:val="24"/>
                <w:szCs w:val="24"/>
                <w:lang w:eastAsia="en-GB"/>
              </w:rPr>
              <w:t>Total</w:t>
            </w:r>
          </w:p>
        </w:tc>
        <w:tc>
          <w:tcPr>
            <w:tcW w:w="1135" w:type="pct"/>
            <w:tcBorders>
              <w:top w:val="nil"/>
              <w:left w:val="single" w:sz="4" w:space="0" w:color="auto"/>
              <w:bottom w:val="single" w:sz="8"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lang w:eastAsia="en-GB"/>
              </w:rPr>
            </w:pPr>
            <w:r>
              <w:rPr>
                <w:rFonts w:ascii="Times New Roman" w:eastAsia="Times New Roman" w:hAnsi="Times New Roman" w:cs="Times New Roman"/>
                <w:noProof/>
                <w:color w:val="FF0000"/>
                <w:sz w:val="24"/>
                <w:szCs w:val="24"/>
                <w:lang w:eastAsia="en-GB"/>
              </w:rPr>
              <w:t>4,300</w:t>
            </w:r>
          </w:p>
        </w:tc>
        <w:tc>
          <w:tcPr>
            <w:tcW w:w="1135"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lang w:eastAsia="en-GB"/>
              </w:rPr>
            </w:pPr>
            <w:r>
              <w:rPr>
                <w:rFonts w:ascii="Times New Roman" w:eastAsia="Times New Roman" w:hAnsi="Times New Roman" w:cs="Times New Roman"/>
                <w:noProof/>
                <w:color w:val="FF0000"/>
                <w:sz w:val="24"/>
                <w:szCs w:val="24"/>
                <w:lang w:eastAsia="en-GB"/>
              </w:rPr>
              <w:t>3,900</w:t>
            </w:r>
          </w:p>
        </w:tc>
      </w:tr>
    </w:tbl>
    <w:p>
      <w:pPr>
        <w:pStyle w:val="Text1"/>
        <w:ind w:left="0"/>
        <w:rPr>
          <w:noProof/>
          <w:sz w:val="20"/>
          <w:szCs w:val="20"/>
        </w:rPr>
      </w:pPr>
      <w:r>
        <w:rPr>
          <w:noProof/>
          <w:sz w:val="20"/>
          <w:szCs w:val="20"/>
        </w:rPr>
        <w:t>* Art.21 (2) 11</w:t>
      </w:r>
      <w:r>
        <w:rPr>
          <w:noProof/>
          <w:sz w:val="20"/>
          <w:szCs w:val="20"/>
          <w:vertAlign w:val="superscript"/>
        </w:rPr>
        <w:t>th</w:t>
      </w:r>
      <w:r>
        <w:rPr>
          <w:noProof/>
          <w:sz w:val="20"/>
          <w:szCs w:val="20"/>
        </w:rPr>
        <w:t xml:space="preserve"> EDF Financial Regulation (EU 2015/323): indicative, non-binding forecast based on a statistical approach for the expected annual amounts of contributions for the years n + 3 and n + 4.</w:t>
      </w:r>
    </w:p>
    <w:p>
      <w:pPr>
        <w:pStyle w:val="ManualHeading1"/>
        <w:rPr>
          <w:noProof/>
        </w:rPr>
      </w:pPr>
      <w:r>
        <w:t>5.</w:t>
      </w:r>
      <w:r>
        <w:tab/>
      </w:r>
      <w:r>
        <w:rPr>
          <w:noProof/>
        </w:rPr>
        <w:t>Financial implementation forecasts for 2018, 2019 and 2020.</w:t>
      </w:r>
    </w:p>
    <w:p>
      <w:pPr>
        <w:pStyle w:val="Text1"/>
        <w:rPr>
          <w:noProof/>
        </w:rPr>
      </w:pPr>
      <w:r>
        <w:rPr>
          <w:noProof/>
        </w:rPr>
        <w:t>The updated forecasts are set out in attachments 1 to 3.</w:t>
      </w:r>
    </w:p>
    <w:p>
      <w:pPr>
        <w:pStyle w:val="Text1"/>
        <w:rPr>
          <w:noProof/>
        </w:rPr>
      </w:pPr>
      <w:r>
        <w:rPr>
          <w:noProof/>
        </w:rPr>
        <w:t>For 2018, the estimates for commitments that were indicated in the June 2018 Communication, have been revised upwards following a Decision</w:t>
      </w:r>
      <w:r>
        <w:rPr>
          <w:rStyle w:val="FootnoteReference"/>
          <w:noProof/>
        </w:rPr>
        <w:footnoteReference w:id="7"/>
      </w:r>
      <w:r>
        <w:rPr>
          <w:noProof/>
        </w:rPr>
        <w:t xml:space="preserve"> from the Commission to increase the funding from the EDF to the EU Emergency Trust Fund for Africa by EUR 650 million. The level of EDF payments remains unchanged and should consolidate at the current record level of EUR 4.2 billion.</w:t>
      </w:r>
    </w:p>
    <w:p>
      <w:pPr>
        <w:pStyle w:val="Text1"/>
        <w:rPr>
          <w:noProof/>
        </w:rPr>
      </w:pPr>
    </w:p>
    <w:p>
      <w:pPr>
        <w:pStyle w:val="Text1"/>
        <w:ind w:left="0"/>
        <w:rPr>
          <w:noProof/>
        </w:rPr>
      </w:pPr>
      <w:r>
        <w:rPr>
          <w:noProof/>
        </w:rPr>
        <w:t>Attachments 1, 2 and 3 show respectively forecasts of commitments, forecasts of payments and the financial situation compared with previous forecasts for the period 2018-2020.</w:t>
      </w:r>
    </w:p>
    <w:p>
      <w:pPr>
        <w:pStyle w:val="Text1"/>
        <w:ind w:left="0"/>
        <w:rPr>
          <w:noProof/>
        </w:rPr>
      </w:pPr>
      <w:r>
        <w:rPr>
          <w:noProof/>
        </w:rPr>
        <w:t>Attachments 4 and 5 show respectively contributions for 2019 and for 2020 per instalment and per Member State.</w:t>
      </w:r>
    </w:p>
    <w:p>
      <w:pPr>
        <w:pStyle w:val="Text1"/>
        <w:ind w:left="0"/>
        <w:rPr>
          <w:noProof/>
        </w:rPr>
      </w:pPr>
      <w:r>
        <w:rPr>
          <w:noProof/>
        </w:rPr>
        <w:t>Attachment 6 shows the yearly contributions for the period 2018-2022 per Member State.</w:t>
      </w:r>
    </w:p>
    <w:p>
      <w:pPr>
        <w:spacing w:after="0"/>
        <w:rPr>
          <w:b/>
          <w:bCs/>
          <w:noProof/>
          <w:szCs w:val="26"/>
        </w:rPr>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pgNumType w:start="1"/>
          <w:cols w:space="720"/>
          <w:docGrid w:linePitch="299"/>
        </w:sectPr>
      </w:pPr>
    </w:p>
    <w:p>
      <w:pPr>
        <w:pStyle w:val="ManualHeading2"/>
        <w:rPr>
          <w:noProof/>
        </w:rPr>
      </w:pPr>
      <w:r>
        <w:t>5.1.</w:t>
      </w:r>
      <w:r>
        <w:tab/>
      </w:r>
      <w:r>
        <w:rPr>
          <w:noProof/>
        </w:rPr>
        <w:t>Attachment 1: Forecasts for commitments</w:t>
      </w:r>
      <w:r>
        <w:rPr>
          <w:rStyle w:val="FootnoteReference"/>
          <w:noProof/>
        </w:rPr>
        <w:footnoteReference w:id="8"/>
      </w:r>
      <w:r>
        <w:rPr>
          <w:noProof/>
        </w:rPr>
        <w:t xml:space="preserve"> for 2018, 2019 and 2020 (EUR million)</w:t>
      </w:r>
    </w:p>
    <w:tbl>
      <w:tblPr>
        <w:tblW w:w="13060" w:type="dxa"/>
        <w:tblInd w:w="93" w:type="dxa"/>
        <w:tblLook w:val="04A0" w:firstRow="1" w:lastRow="0" w:firstColumn="1" w:lastColumn="0" w:noHBand="0" w:noVBand="1"/>
      </w:tblPr>
      <w:tblGrid>
        <w:gridCol w:w="3280"/>
        <w:gridCol w:w="1600"/>
        <w:gridCol w:w="1600"/>
        <w:gridCol w:w="1600"/>
        <w:gridCol w:w="1600"/>
        <w:gridCol w:w="1600"/>
        <w:gridCol w:w="1780"/>
      </w:tblGrid>
      <w:tr>
        <w:trPr>
          <w:trHeight w:val="255"/>
        </w:trPr>
        <w:tc>
          <w:tcPr>
            <w:tcW w:w="328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eastAsia="en-GB"/>
              </w:rPr>
            </w:pPr>
          </w:p>
        </w:tc>
        <w:tc>
          <w:tcPr>
            <w:tcW w:w="32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2018</w:t>
            </w:r>
          </w:p>
        </w:tc>
        <w:tc>
          <w:tcPr>
            <w:tcW w:w="3200" w:type="dxa"/>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2019</w:t>
            </w:r>
          </w:p>
        </w:tc>
        <w:tc>
          <w:tcPr>
            <w:tcW w:w="3380" w:type="dxa"/>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2020</w:t>
            </w:r>
          </w:p>
        </w:tc>
      </w:tr>
      <w:tr>
        <w:trPr>
          <w:trHeight w:val="510"/>
        </w:trPr>
        <w:tc>
          <w:tcPr>
            <w:tcW w:w="328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xml:space="preserve">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Communication June 2018</w:t>
            </w:r>
          </w:p>
        </w:tc>
        <w:tc>
          <w:tcPr>
            <w:tcW w:w="160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Communication October 2018</w:t>
            </w:r>
          </w:p>
        </w:tc>
        <w:tc>
          <w:tcPr>
            <w:tcW w:w="160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Communication June 2018</w:t>
            </w:r>
          </w:p>
        </w:tc>
        <w:tc>
          <w:tcPr>
            <w:tcW w:w="160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Communication October 2018</w:t>
            </w:r>
          </w:p>
        </w:tc>
        <w:tc>
          <w:tcPr>
            <w:tcW w:w="160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Communication June 2018</w:t>
            </w:r>
          </w:p>
        </w:tc>
        <w:tc>
          <w:tcPr>
            <w:tcW w:w="178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Communication October 2018</w:t>
            </w:r>
          </w:p>
        </w:tc>
      </w:tr>
      <w:tr>
        <w:trPr>
          <w:trHeight w:val="255"/>
        </w:trPr>
        <w:tc>
          <w:tcPr>
            <w:tcW w:w="3280" w:type="dxa"/>
            <w:tcBorders>
              <w:top w:val="single" w:sz="4" w:space="0" w:color="auto"/>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Regions</w:t>
            </w:r>
          </w:p>
        </w:tc>
        <w:tc>
          <w:tcPr>
            <w:tcW w:w="16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78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2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East and Southern Africa</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1,070</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1,070</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986</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78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2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West and Central Africa</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1,355</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1,355</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1,071</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78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2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Latin America and Caribbean</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208</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208</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240</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78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2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Pacific</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231</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231</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216</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78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2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Sub-total*</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2,864</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2,864</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2,512</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78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r>
      <w:tr>
        <w:trPr>
          <w:trHeight w:val="255"/>
        </w:trPr>
        <w:tc>
          <w:tcPr>
            <w:tcW w:w="3280" w:type="dxa"/>
            <w:tcBorders>
              <w:top w:val="nil"/>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Other</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78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2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Peace Facility, Human rights</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359</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359</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340</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78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2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EU-Africa, African Peace Facility</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201</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201</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700</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78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28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Planet and Prosperity</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236</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236</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287</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78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28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EUTF Africa</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650</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78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28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Resources, Evaluation, process</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211</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211</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199</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78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28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DG ECHO, EACEA, DG EAC</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16</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16</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78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2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Sub-total*</w:t>
            </w:r>
          </w:p>
        </w:tc>
        <w:tc>
          <w:tcPr>
            <w:tcW w:w="1600" w:type="dxa"/>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1,023</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1,673</w:t>
            </w:r>
          </w:p>
        </w:tc>
        <w:tc>
          <w:tcPr>
            <w:tcW w:w="16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1,544</w:t>
            </w:r>
          </w:p>
        </w:tc>
        <w:tc>
          <w:tcPr>
            <w:tcW w:w="16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78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r>
      <w:tr>
        <w:trPr>
          <w:trHeight w:val="255"/>
        </w:trPr>
        <w:tc>
          <w:tcPr>
            <w:tcW w:w="3280" w:type="dxa"/>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Total European Commission*</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3,887</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4,537</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3,857</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4,057</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78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3,823</w:t>
            </w:r>
          </w:p>
        </w:tc>
      </w:tr>
      <w:tr>
        <w:trPr>
          <w:trHeight w:val="255"/>
        </w:trPr>
        <w:tc>
          <w:tcPr>
            <w:tcW w:w="3280" w:type="dxa"/>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Investment facility</w:t>
            </w:r>
          </w:p>
        </w:tc>
        <w:tc>
          <w:tcPr>
            <w:tcW w:w="16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800</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800</w:t>
            </w:r>
          </w:p>
        </w:tc>
        <w:tc>
          <w:tcPr>
            <w:tcW w:w="16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850</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850</w:t>
            </w:r>
          </w:p>
        </w:tc>
        <w:tc>
          <w:tcPr>
            <w:tcW w:w="16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78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850</w:t>
            </w:r>
          </w:p>
        </w:tc>
      </w:tr>
      <w:tr>
        <w:trPr>
          <w:trHeight w:val="255"/>
        </w:trPr>
        <w:tc>
          <w:tcPr>
            <w:tcW w:w="3280" w:type="dxa"/>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Interest rate subsidies (**)</w:t>
            </w:r>
          </w:p>
        </w:tc>
        <w:tc>
          <w:tcPr>
            <w:tcW w:w="1600" w:type="dxa"/>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w:t>
            </w:r>
          </w:p>
        </w:tc>
        <w:tc>
          <w:tcPr>
            <w:tcW w:w="16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w:t>
            </w:r>
          </w:p>
        </w:tc>
        <w:tc>
          <w:tcPr>
            <w:tcW w:w="16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78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w:t>
            </w:r>
          </w:p>
        </w:tc>
      </w:tr>
      <w:tr>
        <w:trPr>
          <w:trHeight w:val="255"/>
        </w:trPr>
        <w:tc>
          <w:tcPr>
            <w:tcW w:w="3280" w:type="dxa"/>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Total EIB*</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880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880</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930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930</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78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930</w:t>
            </w:r>
          </w:p>
        </w:tc>
      </w:tr>
      <w:tr>
        <w:trPr>
          <w:trHeight w:val="255"/>
        </w:trPr>
        <w:tc>
          <w:tcPr>
            <w:tcW w:w="3280" w:type="dxa"/>
            <w:tcBorders>
              <w:top w:val="nil"/>
              <w:left w:val="single" w:sz="4" w:space="0" w:color="auto"/>
              <w:bottom w:val="single" w:sz="4" w:space="0" w:color="auto"/>
              <w:right w:val="nil"/>
            </w:tcBorders>
            <w:shd w:val="clear" w:color="auto" w:fill="auto"/>
            <w:noWrap/>
            <w:vAlign w:val="center"/>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TOTAL EC+EIB*</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4,767</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5,417</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4,787</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4,987</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78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4,753</w:t>
            </w:r>
          </w:p>
        </w:tc>
      </w:tr>
    </w:tbl>
    <w:p>
      <w:pPr>
        <w:spacing w:after="0"/>
        <w:rPr>
          <w:rFonts w:ascii="Times New Roman" w:hAnsi="Times New Roman" w:cs="Times New Roman"/>
          <w:noProof/>
          <w:sz w:val="20"/>
          <w:szCs w:val="20"/>
        </w:rPr>
      </w:pPr>
    </w:p>
    <w:p>
      <w:pPr>
        <w:spacing w:after="0"/>
        <w:rPr>
          <w:rFonts w:ascii="Times New Roman" w:hAnsi="Times New Roman" w:cs="Times New Roman"/>
          <w:noProof/>
          <w:sz w:val="20"/>
          <w:szCs w:val="20"/>
        </w:rPr>
      </w:pPr>
      <w:r>
        <w:rPr>
          <w:rFonts w:ascii="Times New Roman" w:hAnsi="Times New Roman" w:cs="Times New Roman"/>
          <w:noProof/>
          <w:sz w:val="20"/>
          <w:szCs w:val="20"/>
        </w:rPr>
        <w:t>* Due to rounding effects, the sum of individual rounded amounts shown may differ slightly from the corresponding totals</w:t>
      </w:r>
    </w:p>
    <w:p>
      <w:pPr>
        <w:spacing w:after="0"/>
        <w:rPr>
          <w:rFonts w:ascii="Times New Roman" w:hAnsi="Times New Roman" w:cs="Times New Roman"/>
          <w:noProof/>
          <w:sz w:val="20"/>
          <w:szCs w:val="20"/>
        </w:rPr>
      </w:pPr>
      <w:r>
        <w:rPr>
          <w:rFonts w:ascii="Times New Roman" w:hAnsi="Times New Roman" w:cs="Times New Roman"/>
          <w:noProof/>
          <w:sz w:val="20"/>
          <w:szCs w:val="20"/>
        </w:rPr>
        <w:t>** Including interest rate subsidies under previous EDFs</w:t>
      </w:r>
    </w:p>
    <w:p>
      <w:pPr>
        <w:pStyle w:val="Text1"/>
        <w:ind w:left="0"/>
        <w:jc w:val="left"/>
        <w:rPr>
          <w:noProof/>
          <w:sz w:val="20"/>
          <w:szCs w:val="20"/>
        </w:rPr>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1418" w:right="1418" w:bottom="1418" w:left="1418" w:header="709" w:footer="709" w:gutter="0"/>
          <w:cols w:space="720"/>
          <w:docGrid w:linePitch="360"/>
        </w:sectPr>
      </w:pPr>
    </w:p>
    <w:p>
      <w:pPr>
        <w:pStyle w:val="ManualHeading2"/>
        <w:rPr>
          <w:noProof/>
        </w:rPr>
      </w:pPr>
      <w:r>
        <w:t>5.2.</w:t>
      </w:r>
      <w:r>
        <w:tab/>
      </w:r>
      <w:r>
        <w:rPr>
          <w:noProof/>
        </w:rPr>
        <w:t>Attachment 2: Forecasts for payments</w:t>
      </w:r>
      <w:r>
        <w:rPr>
          <w:rStyle w:val="FootnoteReference"/>
          <w:noProof/>
        </w:rPr>
        <w:footnoteReference w:id="9"/>
      </w:r>
      <w:r>
        <w:rPr>
          <w:noProof/>
        </w:rPr>
        <w:t xml:space="preserve"> for 2018, 2019 and 2020 (EUR million)</w:t>
      </w:r>
    </w:p>
    <w:tbl>
      <w:tblPr>
        <w:tblW w:w="12880" w:type="dxa"/>
        <w:tblInd w:w="108" w:type="dxa"/>
        <w:tblLook w:val="04A0" w:firstRow="1" w:lastRow="0" w:firstColumn="1" w:lastColumn="0" w:noHBand="0" w:noVBand="1"/>
      </w:tblPr>
      <w:tblGrid>
        <w:gridCol w:w="3340"/>
        <w:gridCol w:w="1600"/>
        <w:gridCol w:w="1600"/>
        <w:gridCol w:w="1600"/>
        <w:gridCol w:w="1600"/>
        <w:gridCol w:w="1600"/>
        <w:gridCol w:w="1594"/>
      </w:tblGrid>
      <w:tr>
        <w:trPr>
          <w:trHeight w:val="255"/>
        </w:trPr>
        <w:tc>
          <w:tcPr>
            <w:tcW w:w="334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eastAsia="en-GB"/>
              </w:rPr>
            </w:pPr>
          </w:p>
        </w:tc>
        <w:tc>
          <w:tcPr>
            <w:tcW w:w="32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2018</w:t>
            </w:r>
          </w:p>
        </w:tc>
        <w:tc>
          <w:tcPr>
            <w:tcW w:w="3200" w:type="dxa"/>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2019</w:t>
            </w:r>
          </w:p>
        </w:tc>
        <w:tc>
          <w:tcPr>
            <w:tcW w:w="3140" w:type="dxa"/>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2020</w:t>
            </w:r>
          </w:p>
        </w:tc>
      </w:tr>
      <w:tr>
        <w:trPr>
          <w:trHeight w:val="510"/>
        </w:trPr>
        <w:tc>
          <w:tcPr>
            <w:tcW w:w="334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xml:space="preserve">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Communication June 2018</w:t>
            </w:r>
          </w:p>
        </w:tc>
        <w:tc>
          <w:tcPr>
            <w:tcW w:w="160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Communication October 2018</w:t>
            </w:r>
          </w:p>
        </w:tc>
        <w:tc>
          <w:tcPr>
            <w:tcW w:w="160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Communication June 2018</w:t>
            </w:r>
          </w:p>
        </w:tc>
        <w:tc>
          <w:tcPr>
            <w:tcW w:w="160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Communication October 2018</w:t>
            </w:r>
          </w:p>
        </w:tc>
        <w:tc>
          <w:tcPr>
            <w:tcW w:w="160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Communication June 2018</w:t>
            </w:r>
          </w:p>
        </w:tc>
        <w:tc>
          <w:tcPr>
            <w:tcW w:w="154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Communication October 2018</w:t>
            </w:r>
          </w:p>
        </w:tc>
      </w:tr>
      <w:tr>
        <w:trPr>
          <w:trHeight w:val="255"/>
        </w:trPr>
        <w:tc>
          <w:tcPr>
            <w:tcW w:w="3340" w:type="dxa"/>
            <w:tcBorders>
              <w:top w:val="single" w:sz="4" w:space="0" w:color="auto"/>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Regions</w:t>
            </w:r>
          </w:p>
        </w:tc>
        <w:tc>
          <w:tcPr>
            <w:tcW w:w="16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3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East and Southern Africa</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827</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827</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936</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3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West and Central Africa</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1,770</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1,770</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1,893</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3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Latin America and Caribbean</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157</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157</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223</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3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Pacific</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97</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97</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96</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3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Sub-total*</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2,851</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2,851</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3,148</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5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r>
      <w:tr>
        <w:trPr>
          <w:trHeight w:val="255"/>
        </w:trPr>
        <w:tc>
          <w:tcPr>
            <w:tcW w:w="3340" w:type="dxa"/>
            <w:tcBorders>
              <w:top w:val="nil"/>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Other </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3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Peace Facility, Human rights</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227</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227</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240</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3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EU-Africa, African Peace Facility</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371</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371</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400</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34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Planet and Prosperity</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405</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405</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375</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34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Resources, Evaluation, process</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158</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158</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159</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34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DG ECHO, EACEA, DG EAC</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187</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187</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78</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3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Sub-total*</w:t>
            </w:r>
          </w:p>
        </w:tc>
        <w:tc>
          <w:tcPr>
            <w:tcW w:w="1600" w:type="dxa"/>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1,348</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1,348</w:t>
            </w:r>
          </w:p>
        </w:tc>
        <w:tc>
          <w:tcPr>
            <w:tcW w:w="16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1,252</w:t>
            </w:r>
          </w:p>
        </w:tc>
        <w:tc>
          <w:tcPr>
            <w:tcW w:w="16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54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r>
      <w:tr>
        <w:trPr>
          <w:trHeight w:val="255"/>
        </w:trPr>
        <w:tc>
          <w:tcPr>
            <w:tcW w:w="3340" w:type="dxa"/>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Total European Commission*</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4,200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4,200</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4,600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4,400</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54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4,600</w:t>
            </w:r>
          </w:p>
        </w:tc>
      </w:tr>
      <w:tr>
        <w:trPr>
          <w:trHeight w:val="255"/>
        </w:trPr>
        <w:tc>
          <w:tcPr>
            <w:tcW w:w="3340" w:type="dxa"/>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Investment facility</w:t>
            </w:r>
          </w:p>
        </w:tc>
        <w:tc>
          <w:tcPr>
            <w:tcW w:w="16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525</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525</w:t>
            </w:r>
          </w:p>
        </w:tc>
        <w:tc>
          <w:tcPr>
            <w:tcW w:w="16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550</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550</w:t>
            </w:r>
          </w:p>
        </w:tc>
        <w:tc>
          <w:tcPr>
            <w:tcW w:w="16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575</w:t>
            </w:r>
          </w:p>
        </w:tc>
      </w:tr>
      <w:tr>
        <w:trPr>
          <w:trHeight w:val="255"/>
        </w:trPr>
        <w:tc>
          <w:tcPr>
            <w:tcW w:w="3340" w:type="dxa"/>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Interest rate subsidies (**)</w:t>
            </w:r>
          </w:p>
        </w:tc>
        <w:tc>
          <w:tcPr>
            <w:tcW w:w="1600" w:type="dxa"/>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w:t>
            </w:r>
          </w:p>
        </w:tc>
        <w:tc>
          <w:tcPr>
            <w:tcW w:w="16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w:t>
            </w:r>
          </w:p>
        </w:tc>
        <w:tc>
          <w:tcPr>
            <w:tcW w:w="16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54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w:t>
            </w:r>
          </w:p>
        </w:tc>
      </w:tr>
      <w:tr>
        <w:trPr>
          <w:trHeight w:val="255"/>
        </w:trPr>
        <w:tc>
          <w:tcPr>
            <w:tcW w:w="3340" w:type="dxa"/>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Total EIB*</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555</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555</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580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580</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54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605</w:t>
            </w:r>
          </w:p>
        </w:tc>
      </w:tr>
      <w:tr>
        <w:trPr>
          <w:trHeight w:val="255"/>
        </w:trPr>
        <w:tc>
          <w:tcPr>
            <w:tcW w:w="3340" w:type="dxa"/>
            <w:tcBorders>
              <w:top w:val="nil"/>
              <w:left w:val="single" w:sz="4" w:space="0" w:color="auto"/>
              <w:bottom w:val="single"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TOTAL European Commission + EIB*</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4,755</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4,755</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5,180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4,980</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54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5,205</w:t>
            </w:r>
          </w:p>
        </w:tc>
      </w:tr>
    </w:tbl>
    <w:p>
      <w:pPr>
        <w:spacing w:after="0"/>
        <w:rPr>
          <w:rFonts w:ascii="Times New Roman" w:hAnsi="Times New Roman" w:cs="Times New Roman"/>
          <w:noProof/>
          <w:sz w:val="20"/>
          <w:szCs w:val="20"/>
        </w:rPr>
      </w:pPr>
    </w:p>
    <w:p>
      <w:pPr>
        <w:spacing w:after="0"/>
        <w:rPr>
          <w:rFonts w:ascii="Times New Roman" w:hAnsi="Times New Roman" w:cs="Times New Roman"/>
          <w:noProof/>
          <w:sz w:val="20"/>
          <w:szCs w:val="20"/>
        </w:rPr>
      </w:pPr>
      <w:r>
        <w:rPr>
          <w:rFonts w:ascii="Times New Roman" w:hAnsi="Times New Roman" w:cs="Times New Roman"/>
          <w:noProof/>
          <w:sz w:val="20"/>
          <w:szCs w:val="20"/>
        </w:rPr>
        <w:t>* Due to the rounding effects, the sum of individual rounded amounts shown may differ slightly from the corresponding totals</w:t>
      </w:r>
    </w:p>
    <w:p>
      <w:pPr>
        <w:spacing w:after="0"/>
        <w:rPr>
          <w:rFonts w:ascii="Times New Roman" w:hAnsi="Times New Roman" w:cs="Times New Roman"/>
          <w:noProof/>
          <w:sz w:val="20"/>
          <w:szCs w:val="20"/>
        </w:rPr>
      </w:pPr>
      <w:r>
        <w:rPr>
          <w:rFonts w:ascii="Times New Roman" w:hAnsi="Times New Roman" w:cs="Times New Roman"/>
          <w:noProof/>
          <w:sz w:val="20"/>
          <w:szCs w:val="20"/>
        </w:rPr>
        <w:t>** Including interest rate subsidies under previous EDFs</w:t>
      </w:r>
    </w:p>
    <w:p>
      <w:pPr>
        <w:pStyle w:val="Text1"/>
        <w:ind w:left="0"/>
        <w:jc w:val="left"/>
        <w:rPr>
          <w:noProof/>
          <w:sz w:val="20"/>
          <w:szCs w:val="20"/>
        </w:rPr>
        <w:sectPr>
          <w:headerReference w:type="even" r:id="rId29"/>
          <w:headerReference w:type="default" r:id="rId30"/>
          <w:footerReference w:type="even" r:id="rId31"/>
          <w:footerReference w:type="default" r:id="rId32"/>
          <w:headerReference w:type="first" r:id="rId33"/>
          <w:footerReference w:type="first" r:id="rId34"/>
          <w:pgSz w:w="16838" w:h="11906" w:orient="landscape"/>
          <w:pgMar w:top="425" w:right="964" w:bottom="964" w:left="964" w:header="709" w:footer="709" w:gutter="0"/>
          <w:cols w:space="720"/>
          <w:docGrid w:linePitch="360"/>
        </w:sectPr>
      </w:pPr>
    </w:p>
    <w:p>
      <w:pPr>
        <w:pStyle w:val="ManualHeading2"/>
        <w:rPr>
          <w:noProof/>
        </w:rPr>
      </w:pPr>
      <w:r>
        <w:t>5.3.</w:t>
      </w:r>
      <w:r>
        <w:tab/>
      </w:r>
      <w:r>
        <w:rPr>
          <w:noProof/>
        </w:rPr>
        <w:t>Attachment 3: Financial situation, forecasts for 2018-2020 and non-binding estimations for 2021 - 2022 (EUR million):</w:t>
      </w:r>
    </w:p>
    <w:tbl>
      <w:tblPr>
        <w:tblW w:w="5000" w:type="pct"/>
        <w:tblLook w:val="04A0" w:firstRow="1" w:lastRow="0" w:firstColumn="1" w:lastColumn="0" w:noHBand="0" w:noVBand="1"/>
      </w:tblPr>
      <w:tblGrid>
        <w:gridCol w:w="834"/>
        <w:gridCol w:w="4730"/>
        <w:gridCol w:w="1873"/>
        <w:gridCol w:w="1325"/>
        <w:gridCol w:w="1428"/>
        <w:gridCol w:w="1873"/>
        <w:gridCol w:w="1325"/>
        <w:gridCol w:w="1428"/>
      </w:tblGrid>
      <w:tr>
        <w:trPr>
          <w:trHeight w:val="390"/>
        </w:trPr>
        <w:tc>
          <w:tcPr>
            <w:tcW w:w="281"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lang w:eastAsia="en-GB"/>
              </w:rPr>
            </w:pPr>
          </w:p>
        </w:tc>
        <w:tc>
          <w:tcPr>
            <w:tcW w:w="1596"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lang w:eastAsia="en-GB"/>
              </w:rPr>
            </w:pPr>
          </w:p>
        </w:tc>
        <w:tc>
          <w:tcPr>
            <w:tcW w:w="1561"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 xml:space="preserve">Communication June 2018 </w:t>
            </w:r>
            <w:r>
              <w:rPr>
                <w:rFonts w:ascii="Arial" w:eastAsia="Times New Roman" w:hAnsi="Arial" w:cs="Arial"/>
                <w:b/>
                <w:bCs/>
                <w:noProof/>
                <w:sz w:val="18"/>
                <w:szCs w:val="18"/>
                <w:vertAlign w:val="superscript"/>
                <w:lang w:eastAsia="en-GB"/>
              </w:rPr>
              <w:t>1</w:t>
            </w:r>
          </w:p>
        </w:tc>
        <w:tc>
          <w:tcPr>
            <w:tcW w:w="1561" w:type="pct"/>
            <w:gridSpan w:val="3"/>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 xml:space="preserve">Communication October 2018 </w:t>
            </w:r>
            <w:r>
              <w:rPr>
                <w:rFonts w:ascii="Arial" w:eastAsia="Times New Roman" w:hAnsi="Arial" w:cs="Arial"/>
                <w:b/>
                <w:bCs/>
                <w:noProof/>
                <w:sz w:val="18"/>
                <w:szCs w:val="18"/>
                <w:vertAlign w:val="superscript"/>
                <w:lang w:eastAsia="en-GB"/>
              </w:rPr>
              <w:t>1</w:t>
            </w:r>
          </w:p>
        </w:tc>
      </w:tr>
      <w:tr>
        <w:trPr>
          <w:trHeight w:val="199"/>
        </w:trPr>
        <w:tc>
          <w:tcPr>
            <w:tcW w:w="281"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lang w:eastAsia="en-GB"/>
              </w:rPr>
            </w:pPr>
          </w:p>
        </w:tc>
        <w:tc>
          <w:tcPr>
            <w:tcW w:w="1596" w:type="pct"/>
            <w:tcBorders>
              <w:top w:val="nil"/>
              <w:left w:val="nil"/>
              <w:bottom w:val="nil"/>
              <w:right w:val="nil"/>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p>
        </w:tc>
        <w:tc>
          <w:tcPr>
            <w:tcW w:w="632"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Commission</w:t>
            </w:r>
          </w:p>
        </w:tc>
        <w:tc>
          <w:tcPr>
            <w:tcW w:w="447"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EIB</w:t>
            </w:r>
            <w:r>
              <w:rPr>
                <w:rFonts w:ascii="Arial" w:eastAsia="Times New Roman" w:hAnsi="Arial" w:cs="Arial"/>
                <w:b/>
                <w:bCs/>
                <w:noProof/>
                <w:sz w:val="18"/>
                <w:szCs w:val="18"/>
                <w:vertAlign w:val="superscript"/>
                <w:lang w:eastAsia="en-GB"/>
              </w:rPr>
              <w:t xml:space="preserve"> 6</w:t>
            </w:r>
          </w:p>
        </w:tc>
        <w:tc>
          <w:tcPr>
            <w:tcW w:w="482" w:type="pct"/>
            <w:tcBorders>
              <w:top w:val="nil"/>
              <w:left w:val="nil"/>
              <w:bottom w:val="nil"/>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TOTAL</w:t>
            </w:r>
          </w:p>
        </w:tc>
        <w:tc>
          <w:tcPr>
            <w:tcW w:w="63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Commission</w:t>
            </w:r>
          </w:p>
        </w:tc>
        <w:tc>
          <w:tcPr>
            <w:tcW w:w="447"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EIB</w:t>
            </w:r>
            <w:r>
              <w:rPr>
                <w:rFonts w:ascii="Arial" w:eastAsia="Times New Roman" w:hAnsi="Arial" w:cs="Arial"/>
                <w:b/>
                <w:bCs/>
                <w:noProof/>
                <w:sz w:val="18"/>
                <w:szCs w:val="18"/>
                <w:vertAlign w:val="superscript"/>
                <w:lang w:eastAsia="en-GB"/>
              </w:rPr>
              <w:t xml:space="preserve"> 6</w:t>
            </w:r>
          </w:p>
        </w:tc>
        <w:tc>
          <w:tcPr>
            <w:tcW w:w="482" w:type="pct"/>
            <w:tcBorders>
              <w:top w:val="nil"/>
              <w:left w:val="nil"/>
              <w:bottom w:val="nil"/>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TOTAL</w:t>
            </w:r>
          </w:p>
        </w:tc>
      </w:tr>
      <w:tr>
        <w:trPr>
          <w:trHeight w:val="199"/>
        </w:trPr>
        <w:tc>
          <w:tcPr>
            <w:tcW w:w="28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 </w:t>
            </w:r>
          </w:p>
        </w:tc>
        <w:tc>
          <w:tcPr>
            <w:tcW w:w="1596" w:type="pct"/>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Balance 31/12/2017</w:t>
            </w:r>
            <w:r>
              <w:rPr>
                <w:rFonts w:ascii="Arial" w:eastAsia="Times New Roman" w:hAnsi="Arial" w:cs="Arial"/>
                <w:b/>
                <w:bCs/>
                <w:noProof/>
                <w:sz w:val="18"/>
                <w:szCs w:val="18"/>
                <w:vertAlign w:val="superscript"/>
                <w:lang w:eastAsia="en-GB"/>
              </w:rPr>
              <w:t xml:space="preserve"> 4</w:t>
            </w:r>
          </w:p>
        </w:tc>
        <w:tc>
          <w:tcPr>
            <w:tcW w:w="63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284</w:t>
            </w:r>
          </w:p>
        </w:tc>
        <w:tc>
          <w:tcPr>
            <w:tcW w:w="447"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52</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336</w:t>
            </w:r>
          </w:p>
        </w:tc>
        <w:tc>
          <w:tcPr>
            <w:tcW w:w="63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284</w:t>
            </w:r>
          </w:p>
        </w:tc>
        <w:tc>
          <w:tcPr>
            <w:tcW w:w="447"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52</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336</w:t>
            </w:r>
          </w:p>
        </w:tc>
      </w:tr>
      <w:tr>
        <w:trPr>
          <w:trHeight w:val="199"/>
        </w:trPr>
        <w:tc>
          <w:tcPr>
            <w:tcW w:w="281"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2018</w:t>
            </w:r>
          </w:p>
        </w:tc>
        <w:tc>
          <w:tcPr>
            <w:tcW w:w="1596"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18"/>
                <w:szCs w:val="18"/>
                <w:lang w:eastAsia="en-GB"/>
              </w:rPr>
            </w:pPr>
            <w:r>
              <w:rPr>
                <w:rFonts w:ascii="Arial" w:eastAsia="Times New Roman" w:hAnsi="Arial" w:cs="Arial"/>
                <w:noProof/>
                <w:color w:val="FF0000"/>
                <w:sz w:val="18"/>
                <w:szCs w:val="18"/>
                <w:lang w:eastAsia="en-GB"/>
              </w:rPr>
              <w:t>Member States Contributions for 2018:</w:t>
            </w:r>
          </w:p>
        </w:tc>
        <w:tc>
          <w:tcPr>
            <w:tcW w:w="632"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4,250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250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4,500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4,250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250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4,500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eastAsia="en-GB"/>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lang w:eastAsia="en-GB"/>
              </w:rPr>
            </w:pPr>
            <w:r>
              <w:rPr>
                <w:rFonts w:ascii="Arial" w:eastAsia="Times New Roman" w:hAnsi="Arial" w:cs="Arial"/>
                <w:i/>
                <w:iCs/>
                <w:noProof/>
                <w:sz w:val="18"/>
                <w:szCs w:val="18"/>
                <w:lang w:eastAsia="en-GB"/>
              </w:rPr>
              <w:t xml:space="preserve">     1st instalment</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2,050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150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2,200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2,050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150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2,200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eastAsia="en-GB"/>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lang w:eastAsia="en-GB"/>
              </w:rPr>
            </w:pPr>
            <w:r>
              <w:rPr>
                <w:rFonts w:ascii="Arial" w:eastAsia="Times New Roman" w:hAnsi="Arial" w:cs="Arial"/>
                <w:i/>
                <w:iCs/>
                <w:noProof/>
                <w:sz w:val="18"/>
                <w:szCs w:val="18"/>
                <w:lang w:eastAsia="en-GB"/>
              </w:rPr>
              <w:t xml:space="preserve">     2nd instalment</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1,300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1,400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1,300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1,400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eastAsia="en-GB"/>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lang w:eastAsia="en-GB"/>
              </w:rPr>
            </w:pPr>
            <w:r>
              <w:rPr>
                <w:rFonts w:ascii="Arial" w:eastAsia="Times New Roman" w:hAnsi="Arial" w:cs="Arial"/>
                <w:i/>
                <w:iCs/>
                <w:noProof/>
                <w:sz w:val="18"/>
                <w:szCs w:val="18"/>
                <w:lang w:eastAsia="en-GB"/>
              </w:rPr>
              <w:t xml:space="preserve">     3rd instalment</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900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900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900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900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eastAsia="en-GB"/>
              </w:rPr>
            </w:pPr>
          </w:p>
        </w:tc>
        <w:tc>
          <w:tcPr>
            <w:tcW w:w="1596"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Reflows</w:t>
            </w:r>
            <w:r>
              <w:rPr>
                <w:rFonts w:ascii="Arial" w:eastAsia="Times New Roman" w:hAnsi="Arial" w:cs="Arial"/>
                <w:noProof/>
                <w:sz w:val="18"/>
                <w:szCs w:val="18"/>
                <w:vertAlign w:val="superscript"/>
                <w:lang w:eastAsia="en-GB"/>
              </w:rPr>
              <w:t xml:space="preserve"> 2</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300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300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330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330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eastAsia="en-GB"/>
              </w:rPr>
            </w:pPr>
          </w:p>
        </w:tc>
        <w:tc>
          <w:tcPr>
            <w:tcW w:w="1596"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Contrib. &amp; Adjust. 2018 received in 2017</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-173</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-173</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-173</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-173</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eastAsia="en-GB"/>
              </w:rPr>
            </w:pPr>
          </w:p>
        </w:tc>
        <w:tc>
          <w:tcPr>
            <w:tcW w:w="1596"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Contrib. &amp; Adjust. 2019 received in 2018</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eastAsia="en-GB"/>
              </w:rPr>
            </w:pPr>
          </w:p>
        </w:tc>
        <w:tc>
          <w:tcPr>
            <w:tcW w:w="1596"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Recoveries, interest and other incomes</w:t>
            </w:r>
          </w:p>
        </w:tc>
        <w:tc>
          <w:tcPr>
            <w:tcW w:w="632"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80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80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68</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68</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eastAsia="en-GB"/>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Total payments</w:t>
            </w:r>
            <w:r>
              <w:rPr>
                <w:rFonts w:ascii="Arial" w:eastAsia="Times New Roman" w:hAnsi="Arial" w:cs="Arial"/>
                <w:noProof/>
                <w:sz w:val="18"/>
                <w:szCs w:val="18"/>
                <w:vertAlign w:val="superscript"/>
                <w:lang w:eastAsia="en-GB"/>
              </w:rPr>
              <w:t xml:space="preserve"> 3</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-4,200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-555</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-4,755</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-4,200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-555</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-4,755</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eastAsia="en-GB"/>
              </w:rPr>
            </w:pPr>
          </w:p>
        </w:tc>
        <w:tc>
          <w:tcPr>
            <w:tcW w:w="1596" w:type="pct"/>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Balance at 31/12/2018</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241</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47</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288</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229</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77</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306</w:t>
            </w:r>
          </w:p>
        </w:tc>
      </w:tr>
      <w:tr>
        <w:trPr>
          <w:trHeight w:val="199"/>
        </w:trPr>
        <w:tc>
          <w:tcPr>
            <w:tcW w:w="281"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2019</w:t>
            </w:r>
          </w:p>
        </w:tc>
        <w:tc>
          <w:tcPr>
            <w:tcW w:w="1596"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18"/>
                <w:szCs w:val="18"/>
                <w:lang w:eastAsia="en-GB"/>
              </w:rPr>
            </w:pPr>
            <w:r>
              <w:rPr>
                <w:rFonts w:ascii="Arial" w:eastAsia="Times New Roman" w:hAnsi="Arial" w:cs="Arial"/>
                <w:noProof/>
                <w:color w:val="FF0000"/>
                <w:sz w:val="18"/>
                <w:szCs w:val="18"/>
                <w:lang w:eastAsia="en-GB"/>
              </w:rPr>
              <w:t>Member States Contributions for 2019:</w:t>
            </w:r>
          </w:p>
        </w:tc>
        <w:tc>
          <w:tcPr>
            <w:tcW w:w="632"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4,600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300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4,900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4,400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300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4,700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eastAsia="en-GB"/>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lang w:eastAsia="en-GB"/>
              </w:rPr>
            </w:pPr>
            <w:r>
              <w:rPr>
                <w:rFonts w:ascii="Arial" w:eastAsia="Times New Roman" w:hAnsi="Arial" w:cs="Arial"/>
                <w:i/>
                <w:iCs/>
                <w:noProof/>
                <w:sz w:val="18"/>
                <w:szCs w:val="18"/>
                <w:lang w:eastAsia="en-GB"/>
              </w:rPr>
              <w:t xml:space="preserve">     1st instalment</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2,000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2,100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eastAsia="en-GB"/>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lang w:eastAsia="en-GB"/>
              </w:rPr>
            </w:pPr>
            <w:r>
              <w:rPr>
                <w:rFonts w:ascii="Arial" w:eastAsia="Times New Roman" w:hAnsi="Arial" w:cs="Arial"/>
                <w:i/>
                <w:iCs/>
                <w:noProof/>
                <w:sz w:val="18"/>
                <w:szCs w:val="18"/>
                <w:lang w:eastAsia="en-GB"/>
              </w:rPr>
              <w:t xml:space="preserve">     2nd instalment</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1,500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1,600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eastAsia="en-GB"/>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lang w:eastAsia="en-GB"/>
              </w:rPr>
            </w:pPr>
            <w:r>
              <w:rPr>
                <w:rFonts w:ascii="Arial" w:eastAsia="Times New Roman" w:hAnsi="Arial" w:cs="Arial"/>
                <w:i/>
                <w:iCs/>
                <w:noProof/>
                <w:sz w:val="18"/>
                <w:szCs w:val="18"/>
                <w:lang w:eastAsia="en-GB"/>
              </w:rPr>
              <w:t xml:space="preserve">     3rd instalment</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900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1,000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eastAsia="en-GB"/>
              </w:rPr>
            </w:pPr>
          </w:p>
        </w:tc>
        <w:tc>
          <w:tcPr>
            <w:tcW w:w="1596"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Reflows</w:t>
            </w:r>
            <w:r>
              <w:rPr>
                <w:rFonts w:ascii="Arial" w:eastAsia="Times New Roman" w:hAnsi="Arial" w:cs="Arial"/>
                <w:noProof/>
                <w:sz w:val="18"/>
                <w:szCs w:val="18"/>
                <w:vertAlign w:val="superscript"/>
                <w:lang w:eastAsia="en-GB"/>
              </w:rPr>
              <w:t xml:space="preserve"> 2</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300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300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320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320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eastAsia="en-GB"/>
              </w:rPr>
            </w:pPr>
          </w:p>
        </w:tc>
        <w:tc>
          <w:tcPr>
            <w:tcW w:w="1596"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Contrib. &amp; Adjust. 2019 received in 2018</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eastAsia="en-GB"/>
              </w:rPr>
            </w:pPr>
          </w:p>
        </w:tc>
        <w:tc>
          <w:tcPr>
            <w:tcW w:w="1596"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Recoveries, interest and other</w:t>
            </w:r>
          </w:p>
        </w:tc>
        <w:tc>
          <w:tcPr>
            <w:tcW w:w="632"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80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80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65</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65</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eastAsia="en-GB"/>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Total payments</w:t>
            </w:r>
            <w:r>
              <w:rPr>
                <w:rFonts w:ascii="Arial" w:eastAsia="Times New Roman" w:hAnsi="Arial" w:cs="Arial"/>
                <w:noProof/>
                <w:sz w:val="18"/>
                <w:szCs w:val="18"/>
                <w:vertAlign w:val="superscript"/>
                <w:lang w:eastAsia="en-GB"/>
              </w:rPr>
              <w:t xml:space="preserve"> 3</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-4,600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-580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-5,180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-4,400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-580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-4,980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eastAsia="en-GB"/>
              </w:rPr>
            </w:pPr>
          </w:p>
        </w:tc>
        <w:tc>
          <w:tcPr>
            <w:tcW w:w="1596" w:type="pct"/>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Balance at 31/12/2019</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321</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67</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388</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294</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117</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411</w:t>
            </w:r>
          </w:p>
        </w:tc>
      </w:tr>
      <w:tr>
        <w:trPr>
          <w:trHeight w:val="199"/>
        </w:trPr>
        <w:tc>
          <w:tcPr>
            <w:tcW w:w="281"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2020</w:t>
            </w:r>
          </w:p>
        </w:tc>
        <w:tc>
          <w:tcPr>
            <w:tcW w:w="1596"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18"/>
                <w:szCs w:val="18"/>
                <w:lang w:eastAsia="en-GB"/>
              </w:rPr>
            </w:pPr>
            <w:r>
              <w:rPr>
                <w:rFonts w:ascii="Arial" w:eastAsia="Times New Roman" w:hAnsi="Arial" w:cs="Arial"/>
                <w:noProof/>
                <w:color w:val="FF0000"/>
                <w:sz w:val="18"/>
                <w:szCs w:val="18"/>
                <w:lang w:eastAsia="en-GB"/>
              </w:rPr>
              <w:t>Member States Contributions for 2020:</w:t>
            </w:r>
          </w:p>
        </w:tc>
        <w:tc>
          <w:tcPr>
            <w:tcW w:w="632"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4,600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300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4,900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4,600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300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4,900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eastAsia="en-GB"/>
              </w:rPr>
            </w:pPr>
          </w:p>
        </w:tc>
        <w:tc>
          <w:tcPr>
            <w:tcW w:w="1596"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Reflows</w:t>
            </w:r>
            <w:r>
              <w:rPr>
                <w:rFonts w:ascii="Arial" w:eastAsia="Times New Roman" w:hAnsi="Arial" w:cs="Arial"/>
                <w:noProof/>
                <w:sz w:val="18"/>
                <w:szCs w:val="18"/>
                <w:vertAlign w:val="superscript"/>
                <w:lang w:eastAsia="en-GB"/>
              </w:rPr>
              <w:t xml:space="preserve"> 2</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330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330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eastAsia="en-GB"/>
              </w:rPr>
            </w:pPr>
          </w:p>
        </w:tc>
        <w:tc>
          <w:tcPr>
            <w:tcW w:w="1596"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Recoveries, interest and other</w:t>
            </w:r>
          </w:p>
        </w:tc>
        <w:tc>
          <w:tcPr>
            <w:tcW w:w="632"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65</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65</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eastAsia="en-GB"/>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Total payments</w:t>
            </w:r>
            <w:r>
              <w:rPr>
                <w:rFonts w:ascii="Arial" w:eastAsia="Times New Roman" w:hAnsi="Arial" w:cs="Arial"/>
                <w:noProof/>
                <w:sz w:val="18"/>
                <w:szCs w:val="18"/>
                <w:vertAlign w:val="superscript"/>
                <w:lang w:eastAsia="en-GB"/>
              </w:rPr>
              <w:t xml:space="preserve"> 3</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-4,600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-605</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-5,205</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eastAsia="en-GB"/>
              </w:rPr>
            </w:pPr>
          </w:p>
        </w:tc>
        <w:tc>
          <w:tcPr>
            <w:tcW w:w="1596" w:type="pct"/>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Balance at 31/12/2020</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 </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 </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 </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359</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142</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501</w:t>
            </w:r>
          </w:p>
        </w:tc>
      </w:tr>
      <w:tr>
        <w:trPr>
          <w:trHeight w:val="199"/>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2021</w:t>
            </w:r>
          </w:p>
        </w:tc>
        <w:tc>
          <w:tcPr>
            <w:tcW w:w="1596" w:type="pct"/>
            <w:tcBorders>
              <w:top w:val="nil"/>
              <w:left w:val="nil"/>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color w:val="FF0000"/>
                <w:sz w:val="18"/>
                <w:szCs w:val="18"/>
                <w:lang w:eastAsia="en-GB"/>
              </w:rPr>
            </w:pPr>
            <w:r>
              <w:rPr>
                <w:rFonts w:ascii="Arial" w:eastAsia="Times New Roman" w:hAnsi="Arial" w:cs="Arial"/>
                <w:noProof/>
                <w:color w:val="FF0000"/>
                <w:sz w:val="18"/>
                <w:szCs w:val="18"/>
                <w:lang w:eastAsia="en-GB"/>
              </w:rPr>
              <w:t>Member States Contributions for 2021</w:t>
            </w:r>
            <w:r>
              <w:rPr>
                <w:rFonts w:ascii="Arial" w:eastAsia="Times New Roman" w:hAnsi="Arial" w:cs="Arial"/>
                <w:noProof/>
                <w:color w:val="FF0000"/>
                <w:sz w:val="18"/>
                <w:szCs w:val="18"/>
                <w:vertAlign w:val="superscript"/>
                <w:lang w:eastAsia="en-GB"/>
              </w:rPr>
              <w:t xml:space="preserve"> 5</w:t>
            </w:r>
          </w:p>
        </w:tc>
        <w:tc>
          <w:tcPr>
            <w:tcW w:w="63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4,700</w:t>
            </w:r>
          </w:p>
        </w:tc>
        <w:tc>
          <w:tcPr>
            <w:tcW w:w="447"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300</w:t>
            </w:r>
          </w:p>
        </w:tc>
        <w:tc>
          <w:tcPr>
            <w:tcW w:w="48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5,000</w:t>
            </w:r>
          </w:p>
        </w:tc>
        <w:tc>
          <w:tcPr>
            <w:tcW w:w="63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4,000</w:t>
            </w:r>
          </w:p>
        </w:tc>
        <w:tc>
          <w:tcPr>
            <w:tcW w:w="447"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300</w:t>
            </w:r>
          </w:p>
        </w:tc>
        <w:tc>
          <w:tcPr>
            <w:tcW w:w="48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4,300</w:t>
            </w:r>
          </w:p>
        </w:tc>
      </w:tr>
      <w:tr>
        <w:trPr>
          <w:trHeight w:val="199"/>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2022</w:t>
            </w:r>
          </w:p>
        </w:tc>
        <w:tc>
          <w:tcPr>
            <w:tcW w:w="1596" w:type="pct"/>
            <w:tcBorders>
              <w:top w:val="nil"/>
              <w:left w:val="nil"/>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color w:val="FF0000"/>
                <w:sz w:val="18"/>
                <w:szCs w:val="18"/>
                <w:lang w:eastAsia="en-GB"/>
              </w:rPr>
            </w:pPr>
            <w:r>
              <w:rPr>
                <w:rFonts w:ascii="Arial" w:eastAsia="Times New Roman" w:hAnsi="Arial" w:cs="Arial"/>
                <w:noProof/>
                <w:color w:val="FF0000"/>
                <w:sz w:val="18"/>
                <w:szCs w:val="18"/>
                <w:lang w:eastAsia="en-GB"/>
              </w:rPr>
              <w:t>Member States Contributions for 2022</w:t>
            </w:r>
            <w:r>
              <w:rPr>
                <w:rFonts w:ascii="Arial" w:eastAsia="Times New Roman" w:hAnsi="Arial" w:cs="Arial"/>
                <w:noProof/>
                <w:color w:val="FF0000"/>
                <w:sz w:val="18"/>
                <w:szCs w:val="18"/>
                <w:vertAlign w:val="superscript"/>
                <w:lang w:eastAsia="en-GB"/>
              </w:rPr>
              <w:t xml:space="preserve"> 5</w:t>
            </w:r>
          </w:p>
        </w:tc>
        <w:tc>
          <w:tcPr>
            <w:tcW w:w="63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 </w:t>
            </w:r>
          </w:p>
        </w:tc>
        <w:tc>
          <w:tcPr>
            <w:tcW w:w="447"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 </w:t>
            </w:r>
          </w:p>
        </w:tc>
        <w:tc>
          <w:tcPr>
            <w:tcW w:w="48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 </w:t>
            </w:r>
          </w:p>
        </w:tc>
        <w:tc>
          <w:tcPr>
            <w:tcW w:w="63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3,500</w:t>
            </w:r>
          </w:p>
        </w:tc>
        <w:tc>
          <w:tcPr>
            <w:tcW w:w="447"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400</w:t>
            </w:r>
          </w:p>
        </w:tc>
        <w:tc>
          <w:tcPr>
            <w:tcW w:w="48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3,900</w:t>
            </w:r>
          </w:p>
        </w:tc>
      </w:tr>
    </w:tbl>
    <w:p>
      <w:pPr>
        <w:pStyle w:val="Text1"/>
        <w:spacing w:before="0" w:after="0"/>
        <w:ind w:left="851"/>
        <w:jc w:val="left"/>
        <w:rPr>
          <w:noProof/>
          <w:sz w:val="14"/>
          <w:szCs w:val="14"/>
        </w:rPr>
      </w:pPr>
    </w:p>
    <w:p>
      <w:pPr>
        <w:pStyle w:val="Text1"/>
        <w:spacing w:before="0" w:after="0"/>
        <w:ind w:left="851"/>
        <w:jc w:val="left"/>
        <w:rPr>
          <w:noProof/>
          <w:sz w:val="14"/>
          <w:szCs w:val="14"/>
        </w:rPr>
      </w:pPr>
      <w:r>
        <w:rPr>
          <w:noProof/>
          <w:sz w:val="14"/>
          <w:szCs w:val="14"/>
        </w:rPr>
        <w:t>1</w:t>
      </w:r>
      <w:r>
        <w:rPr>
          <w:noProof/>
          <w:sz w:val="14"/>
          <w:szCs w:val="14"/>
        </w:rPr>
        <w:tab/>
        <w:t>Funds available for operations as per Communication from the Commission to the Council;</w:t>
      </w:r>
      <w:r>
        <w:rPr>
          <w:noProof/>
          <w:sz w:val="14"/>
          <w:szCs w:val="14"/>
        </w:rPr>
        <w:br/>
        <w:t>2</w:t>
      </w:r>
      <w:r>
        <w:rPr>
          <w:noProof/>
          <w:sz w:val="14"/>
          <w:szCs w:val="14"/>
        </w:rPr>
        <w:tab/>
        <w:t>Net of EIB management fees;</w:t>
      </w:r>
      <w:r>
        <w:rPr>
          <w:noProof/>
          <w:sz w:val="14"/>
          <w:szCs w:val="14"/>
        </w:rPr>
        <w:br/>
        <w:t>3</w:t>
      </w:r>
      <w:r>
        <w:rPr>
          <w:noProof/>
          <w:sz w:val="14"/>
          <w:szCs w:val="14"/>
        </w:rPr>
        <w:tab/>
        <w:t>Including interest rates subsidies under the previous EDFs;</w:t>
      </w:r>
      <w:r>
        <w:rPr>
          <w:noProof/>
          <w:sz w:val="14"/>
          <w:szCs w:val="14"/>
        </w:rPr>
        <w:br/>
        <w:t>4</w:t>
      </w:r>
      <w:r>
        <w:rPr>
          <w:noProof/>
          <w:sz w:val="14"/>
          <w:szCs w:val="14"/>
        </w:rPr>
        <w:tab/>
        <w:t>Art.21(2)(d) Financial Regulation: non-binding forecast based on a statistical approach for the expected annual contributions for the years n + 3 and n + 4;</w:t>
      </w:r>
      <w:r>
        <w:rPr>
          <w:noProof/>
          <w:sz w:val="14"/>
          <w:szCs w:val="14"/>
        </w:rPr>
        <w:br/>
        <w:t>5</w:t>
      </w:r>
      <w:r>
        <w:rPr>
          <w:noProof/>
          <w:sz w:val="14"/>
          <w:szCs w:val="14"/>
        </w:rPr>
        <w:tab/>
        <w:t>Art.21(1), calls for contributions shall first use up the amounts laid down for previous EDFs, one after the other. Therefore calls under the 11th EDF to finance the IFE are further delayed.</w:t>
      </w:r>
    </w:p>
    <w:p>
      <w:pPr>
        <w:pStyle w:val="Text1"/>
        <w:spacing w:before="0" w:after="0"/>
        <w:ind w:left="851"/>
        <w:jc w:val="left"/>
        <w:rPr>
          <w:noProof/>
          <w:sz w:val="14"/>
          <w:szCs w:val="14"/>
        </w:rPr>
      </w:pPr>
      <w:r>
        <w:rPr>
          <w:noProof/>
          <w:sz w:val="14"/>
          <w:szCs w:val="14"/>
        </w:rPr>
        <w:t>6-7</w:t>
      </w:r>
      <w:r>
        <w:rPr>
          <w:noProof/>
          <w:sz w:val="14"/>
          <w:szCs w:val="14"/>
        </w:rPr>
        <w:tab/>
        <w:t>The EDF treasury balance can never be negative. Any negative amounts in the table indicates a shortage of payment credits.</w:t>
      </w:r>
    </w:p>
    <w:p>
      <w:pPr>
        <w:pStyle w:val="Text1"/>
        <w:spacing w:before="0" w:after="0"/>
        <w:ind w:left="851"/>
        <w:jc w:val="left"/>
        <w:rPr>
          <w:noProof/>
          <w:sz w:val="14"/>
          <w:szCs w:val="14"/>
        </w:rPr>
      </w:pPr>
    </w:p>
    <w:p>
      <w:pPr>
        <w:rPr>
          <w:noProof/>
        </w:rPr>
        <w:sectPr>
          <w:headerReference w:type="even" r:id="rId35"/>
          <w:headerReference w:type="default" r:id="rId36"/>
          <w:footerReference w:type="even" r:id="rId37"/>
          <w:footerReference w:type="default" r:id="rId38"/>
          <w:headerReference w:type="first" r:id="rId39"/>
          <w:footerReference w:type="first" r:id="rId40"/>
          <w:pgSz w:w="16838" w:h="11906" w:orient="landscape"/>
          <w:pgMar w:top="1418" w:right="820" w:bottom="1418" w:left="1418" w:header="709" w:footer="709" w:gutter="0"/>
          <w:cols w:space="720"/>
          <w:docGrid w:linePitch="360"/>
        </w:sectPr>
      </w:pPr>
    </w:p>
    <w:p>
      <w:pPr>
        <w:pStyle w:val="ManualHeading2"/>
        <w:rPr>
          <w:noProof/>
        </w:rPr>
      </w:pPr>
      <w:r>
        <w:t>5.4.</w:t>
      </w:r>
      <w:r>
        <w:tab/>
      </w:r>
      <w:r>
        <w:rPr>
          <w:noProof/>
        </w:rPr>
        <w:t>Attachment 4: Member States contributions for 2019 (EUR)</w:t>
      </w:r>
    </w:p>
    <w:tbl>
      <w:tblPr>
        <w:tblW w:w="5000" w:type="pct"/>
        <w:tblLook w:val="04A0" w:firstRow="1" w:lastRow="0" w:firstColumn="1" w:lastColumn="0" w:noHBand="0" w:noVBand="1"/>
      </w:tblPr>
      <w:tblGrid>
        <w:gridCol w:w="1616"/>
        <w:gridCol w:w="854"/>
        <w:gridCol w:w="962"/>
        <w:gridCol w:w="1140"/>
        <w:gridCol w:w="1271"/>
        <w:gridCol w:w="1140"/>
        <w:gridCol w:w="1271"/>
        <w:gridCol w:w="1135"/>
        <w:gridCol w:w="1135"/>
        <w:gridCol w:w="1123"/>
        <w:gridCol w:w="1288"/>
        <w:gridCol w:w="1285"/>
      </w:tblGrid>
      <w:tr>
        <w:trPr>
          <w:trHeight w:val="282"/>
        </w:trPr>
        <w:tc>
          <w:tcPr>
            <w:tcW w:w="5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MEMBER STATES</w:t>
            </w:r>
          </w:p>
        </w:tc>
        <w:tc>
          <w:tcPr>
            <w:tcW w:w="300" w:type="pct"/>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Key 10th EDF %</w:t>
            </w:r>
          </w:p>
        </w:tc>
        <w:tc>
          <w:tcPr>
            <w:tcW w:w="338" w:type="pct"/>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Key 11th EDF %</w:t>
            </w:r>
          </w:p>
        </w:tc>
        <w:tc>
          <w:tcPr>
            <w:tcW w:w="848" w:type="pct"/>
            <w:gridSpan w:val="2"/>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1st instalment</w:t>
            </w:r>
          </w:p>
        </w:tc>
        <w:tc>
          <w:tcPr>
            <w:tcW w:w="848" w:type="pct"/>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2nd instalment</w:t>
            </w:r>
          </w:p>
        </w:tc>
        <w:tc>
          <w:tcPr>
            <w:tcW w:w="797" w:type="pct"/>
            <w:gridSpan w:val="2"/>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 3rd instalment</w:t>
            </w:r>
          </w:p>
        </w:tc>
        <w:tc>
          <w:tcPr>
            <w:tcW w:w="395" w:type="pct"/>
            <w:vMerge w:val="restar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Total EIB</w:t>
            </w: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Total</w:t>
            </w:r>
            <w:r>
              <w:rPr>
                <w:rFonts w:ascii="Times New Roman" w:eastAsia="Times New Roman" w:hAnsi="Times New Roman" w:cs="Times New Roman"/>
                <w:b/>
                <w:bCs/>
                <w:noProof/>
                <w:sz w:val="16"/>
                <w:szCs w:val="16"/>
                <w:lang w:eastAsia="en-GB"/>
              </w:rPr>
              <w:br/>
              <w:t>Commission</w:t>
            </w:r>
          </w:p>
        </w:tc>
        <w:tc>
          <w:tcPr>
            <w:tcW w:w="4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Total 2019</w:t>
            </w:r>
          </w:p>
        </w:tc>
      </w:tr>
      <w:tr>
        <w:trPr>
          <w:trHeight w:val="225"/>
        </w:trPr>
        <w:tc>
          <w:tcPr>
            <w:tcW w:w="568"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300"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338"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Commission</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Commission</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Commission</w:t>
            </w:r>
          </w:p>
        </w:tc>
        <w:tc>
          <w:tcPr>
            <w:tcW w:w="395" w:type="pct"/>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453"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r>
      <w:tr>
        <w:trPr>
          <w:trHeight w:val="225"/>
        </w:trPr>
        <w:tc>
          <w:tcPr>
            <w:tcW w:w="568"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300"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338"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40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10th EDF</w:t>
            </w:r>
          </w:p>
        </w:tc>
        <w:tc>
          <w:tcPr>
            <w:tcW w:w="44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11th EDF</w:t>
            </w:r>
          </w:p>
        </w:tc>
        <w:tc>
          <w:tcPr>
            <w:tcW w:w="40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10th EDF</w:t>
            </w:r>
          </w:p>
        </w:tc>
        <w:tc>
          <w:tcPr>
            <w:tcW w:w="44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11th EDF</w:t>
            </w:r>
          </w:p>
        </w:tc>
        <w:tc>
          <w:tcPr>
            <w:tcW w:w="39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10th EDF</w:t>
            </w:r>
          </w:p>
        </w:tc>
        <w:tc>
          <w:tcPr>
            <w:tcW w:w="39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11th EDF</w:t>
            </w:r>
          </w:p>
        </w:tc>
        <w:tc>
          <w:tcPr>
            <w:tcW w:w="395" w:type="pct"/>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453"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BELGIUM</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3.53</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3.24927</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3,530,000.00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64,985,400.00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3,530,000.00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48,739,050.00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3,530,000.00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29,243,430.00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10,590,000.00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142,967,880.00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153,557,880.00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BULGARIA</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0.14</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0.21853</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4,370,600.00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3,277,950.00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140,000.00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1,966,770.00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420,000.00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9,615,320.00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10,035,320.00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CZECH REPUBLIC</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0.51</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0.79745</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15,949,000.00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11,961,750.00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510,000.00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7,177,050.00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1,530,000.00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35,087,800.00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36,617,800.00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DENMARK</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2.00</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1.98045</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2,000,000.00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39,609,000.00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2,000,000.00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29,706,750.00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2,000,000.00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17,824,050.00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6,000,000.00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87,139,800.00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93,139,800.00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GERMANY</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20.50</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20.57980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20,500,000.00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411,596,000.00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20,500,000.00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308,697,000.00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20,500,000.00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185,218,200.00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61,500,000.00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905,511,200.00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967,011,200.00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ESTONIA</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0.05</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0.08635</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1,727,000.00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1,295,250.00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50,000.00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777,150.00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150,000.00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3,799,400.00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3,949,400.00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IRELAND</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0.91</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0.94006</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910,000.00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18,801,200.00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910,000.00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14,100,900.00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910,000.00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8,460,540.00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2,730,000.00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41,362,640.00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44,092,640.00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GREECE</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1.50735</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30,147,000.00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22,610,250.00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1,470,000.00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13,566,150.00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4,410,000.00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66,323,400.00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70,733,400.00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SPAIN</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7.85</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7.93248</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7,850,000.00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158,649,600.00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7,850,000.00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118,987,200.00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7,850,000.00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71,392,320.00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23,550,000.00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349,029,120.00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372,579,120.00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FRANCE</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19.55</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17.81269</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19,550,000.00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356,253,800.00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19,550,000.00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267,190,350.00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19,550,000.00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160,314,210.00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58,650,000.00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783,758,360.00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842,408,360.00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CROATIA</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0.22518</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4,503,600.00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3,377,700.00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2,026,620.00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9,907,920.00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9,907,920.00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ITALY</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12.86</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12.53009</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12,860,000.00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250,601,800.00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12,860,000.00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187,951,350.00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12,860,000.00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112,770,810.00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38,580,000.00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551,323,960.00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589,903,960.00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CYPRUS</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0.09</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0.11162</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2,232,400.00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1,674,300.00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1,004,580.00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270,000.00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4,911,280.00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5,181,280.00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LATVIA</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0.07</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0.11612</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2,322,400.00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1,741,800.00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70,000.00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1,045,080.00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210,000.00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5,109,280.00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5,319,280.00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LITHUANIA</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0.12</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0.18077</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3,615,400.00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2,711,550.00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120,000.00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1,626,930.00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360,000.00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7,953,880.00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8,313,880.00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LUXEMBOURG</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0.27</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0.25509</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5,101,800.00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3,826,350.00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270,000.00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2,295,810.00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810,000.00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11,223,960.00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12,033,960.00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HUNGARY</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0.55</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0.61456</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550,000.00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12,291,200.00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550,000.00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9,218,400.00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550,000.00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5,531,040.00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1,650,000.00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27,040,640.00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28,690,640.00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MALTA</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0.03</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0.03801</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760,200.00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570,150.00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342,090.00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1,672,440.00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1,762,440.00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NETHERLANDS</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4.85</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4.77678</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4,850,000.00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95,535,600.00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4,850,000.00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71,651,700.00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4,850,000.00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42,991,020.00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14,550,000.00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210,178,320.00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224,728,320.00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AUSTRIA</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2.41</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2.39757</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2,410,000.00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47,951,400.00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2,410,000.00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35,963,550.00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2,410,000.00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21,578,130.00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7,230,000.00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105,493,080.00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112,723,080.00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POLAND</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1.30</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2.00734</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1,300,000.00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40,146,800.00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1,300,000.00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30,110,100.00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1,300,000.00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18,066,060.00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3,900,000.00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88,322,960.00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92,222,960.00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PORTUGAL</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1.15</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1.19679</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1,150,000.00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23,935,800.00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1,150,000.00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17,951,850.00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1,150,000.00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10,771,110.00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3,450,000.00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52,658,760.00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56,108,760.00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ROMANIA</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0.37</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0.71815</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370,000.00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14,363,000.00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370,000.00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10,772,250.00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370,000.00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6,463,350.00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1,110,000.00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31,598,600.00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32,708,600.00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SLOVENIA</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0.18</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0.22452</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4,490,400.00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3,367,800.00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180,000.00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2,020,680.00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540,000.00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9,878,880.00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10,418,880.00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SLOVAKIA</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0.21</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0.37616</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7,523,200.00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5,642,400.00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210,000.00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3,385,440.00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630,000.00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16,551,040.00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17,181,040.00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FINLAND</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1.50909</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30,181,800.00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22,636,350.00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1,470,000.00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13,581,810.00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4,410,000.00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66,399,960.00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70,809,960.00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SWEDEN</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2.74</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2.93911</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2,740,000.00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58,782,200.00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2,740,000.00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44,086,650.00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2,740,000.00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26,451,990.00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8,220,000.00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129,320,840.00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137,540,840.00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UNITED KINGDOM</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14.82</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14.67862</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14,820,000.00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293,572,400.00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14,820,000.00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220,179,300.00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14,820,000.00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132,107,580.00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44,460,000.00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645,859,280.00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690,319,280.00</w:t>
            </w:r>
          </w:p>
        </w:tc>
      </w:tr>
      <w:tr>
        <w:trPr>
          <w:trHeight w:val="282"/>
        </w:trPr>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TOTAL EU-28</w:t>
            </w:r>
          </w:p>
        </w:tc>
        <w:tc>
          <w:tcPr>
            <w:tcW w:w="300" w:type="pct"/>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100.00</w:t>
            </w:r>
          </w:p>
        </w:tc>
        <w:tc>
          <w:tcPr>
            <w:tcW w:w="338" w:type="pct"/>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100.00</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100,000,000.00</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2,000,000,000.00</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100,000,000.00</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1,500,000,000.00</w:t>
            </w:r>
          </w:p>
        </w:tc>
        <w:tc>
          <w:tcPr>
            <w:tcW w:w="399"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100,000,000.00</w:t>
            </w:r>
          </w:p>
        </w:tc>
        <w:tc>
          <w:tcPr>
            <w:tcW w:w="399"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900,000,000.00</w:t>
            </w:r>
          </w:p>
        </w:tc>
        <w:tc>
          <w:tcPr>
            <w:tcW w:w="395" w:type="pct"/>
            <w:tcBorders>
              <w:top w:val="single" w:sz="4" w:space="0" w:color="auto"/>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300,000,000.00</w:t>
            </w:r>
          </w:p>
        </w:tc>
        <w:tc>
          <w:tcPr>
            <w:tcW w:w="453" w:type="pct"/>
            <w:tcBorders>
              <w:top w:val="single" w:sz="4" w:space="0" w:color="auto"/>
              <w:left w:val="single" w:sz="4" w:space="0" w:color="auto"/>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4,400,000,000.00</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4,700,000,000.00</w:t>
            </w:r>
          </w:p>
        </w:tc>
      </w:tr>
    </w:tbl>
    <w:p>
      <w:pPr>
        <w:pStyle w:val="ManualHeading2"/>
        <w:rPr>
          <w:noProof/>
        </w:rPr>
      </w:pPr>
      <w:r>
        <w:t>5.5.</w:t>
      </w:r>
      <w:r>
        <w:tab/>
      </w:r>
      <w:r>
        <w:rPr>
          <w:noProof/>
        </w:rPr>
        <w:t>Attachment 5: Member States contributions for 2020 (EUR)</w:t>
      </w:r>
    </w:p>
    <w:tbl>
      <w:tblPr>
        <w:tblW w:w="5000" w:type="pct"/>
        <w:tblLook w:val="04A0" w:firstRow="1" w:lastRow="0" w:firstColumn="1" w:lastColumn="0" w:noHBand="0" w:noVBand="1"/>
      </w:tblPr>
      <w:tblGrid>
        <w:gridCol w:w="1603"/>
        <w:gridCol w:w="847"/>
        <w:gridCol w:w="956"/>
        <w:gridCol w:w="1132"/>
        <w:gridCol w:w="1266"/>
        <w:gridCol w:w="1132"/>
        <w:gridCol w:w="1266"/>
        <w:gridCol w:w="1106"/>
        <w:gridCol w:w="1237"/>
        <w:gridCol w:w="1118"/>
        <w:gridCol w:w="1280"/>
        <w:gridCol w:w="1277"/>
      </w:tblGrid>
      <w:tr>
        <w:trPr>
          <w:trHeight w:val="282"/>
        </w:trPr>
        <w:tc>
          <w:tcPr>
            <w:tcW w:w="5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MEMBER STATES</w:t>
            </w:r>
          </w:p>
        </w:tc>
        <w:tc>
          <w:tcPr>
            <w:tcW w:w="298" w:type="pct"/>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Key 10th EDF %</w:t>
            </w:r>
          </w:p>
        </w:tc>
        <w:tc>
          <w:tcPr>
            <w:tcW w:w="336" w:type="pct"/>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Key 11th EDF %</w:t>
            </w:r>
          </w:p>
        </w:tc>
        <w:tc>
          <w:tcPr>
            <w:tcW w:w="843" w:type="pct"/>
            <w:gridSpan w:val="2"/>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1st instalment</w:t>
            </w:r>
          </w:p>
        </w:tc>
        <w:tc>
          <w:tcPr>
            <w:tcW w:w="843" w:type="pct"/>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2nd instalment</w:t>
            </w:r>
          </w:p>
        </w:tc>
        <w:tc>
          <w:tcPr>
            <w:tcW w:w="824" w:type="pct"/>
            <w:gridSpan w:val="2"/>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 3rd instalment</w:t>
            </w:r>
          </w:p>
        </w:tc>
        <w:tc>
          <w:tcPr>
            <w:tcW w:w="393" w:type="pct"/>
            <w:vMerge w:val="restar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Total EIB</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Total</w:t>
            </w:r>
            <w:r>
              <w:rPr>
                <w:rFonts w:ascii="Times New Roman" w:eastAsia="Times New Roman" w:hAnsi="Times New Roman" w:cs="Times New Roman"/>
                <w:b/>
                <w:bCs/>
                <w:noProof/>
                <w:sz w:val="16"/>
                <w:szCs w:val="16"/>
                <w:lang w:eastAsia="en-GB"/>
              </w:rPr>
              <w:br/>
              <w:t>Commission</w:t>
            </w:r>
          </w:p>
        </w:tc>
        <w:tc>
          <w:tcPr>
            <w:tcW w:w="4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Total 2020</w:t>
            </w:r>
          </w:p>
        </w:tc>
      </w:tr>
      <w:tr>
        <w:trPr>
          <w:trHeight w:val="225"/>
        </w:trPr>
        <w:tc>
          <w:tcPr>
            <w:tcW w:w="564"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298"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336"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Commission</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Commission</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w:t>
            </w:r>
          </w:p>
        </w:tc>
        <w:tc>
          <w:tcPr>
            <w:tcW w:w="434"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Commission</w:t>
            </w:r>
          </w:p>
        </w:tc>
        <w:tc>
          <w:tcPr>
            <w:tcW w:w="393" w:type="pct"/>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450"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r>
      <w:tr>
        <w:trPr>
          <w:trHeight w:val="225"/>
        </w:trPr>
        <w:tc>
          <w:tcPr>
            <w:tcW w:w="564"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298"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336"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39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10th EDF</w:t>
            </w:r>
          </w:p>
        </w:tc>
        <w:tc>
          <w:tcPr>
            <w:tcW w:w="4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11th EDF</w:t>
            </w:r>
          </w:p>
        </w:tc>
        <w:tc>
          <w:tcPr>
            <w:tcW w:w="39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10th EDF</w:t>
            </w:r>
          </w:p>
        </w:tc>
        <w:tc>
          <w:tcPr>
            <w:tcW w:w="4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11th EDF</w:t>
            </w:r>
          </w:p>
        </w:tc>
        <w:tc>
          <w:tcPr>
            <w:tcW w:w="38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10th EDF</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11th EDF</w:t>
            </w:r>
          </w:p>
        </w:tc>
        <w:tc>
          <w:tcPr>
            <w:tcW w:w="393" w:type="pct"/>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450"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BELGIUM</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3.53</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3.24927</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3,530,000.00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64,985,400.00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3,530,000.00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51,988,320.00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3,530,000.00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32,492,700.00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10,590,000.00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149,466,420.00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160,056,420.00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BULGARIA</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0.14</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0.21853</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4,370,600.00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3,496,480.00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140,000.00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2,185,300.00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420,000.00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10,052,380.00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10,472,380.00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CZECH REPUBLIC</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0.51</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0.79745</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15,949,000.00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12,759,200.00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510,000.00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7,974,500.00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1,530,000.00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36,682,700.00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38,212,700.00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DENMARK</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2.00</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1.98045</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2,000,000.00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39,609,000.00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2,000,000.00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31,687,200.00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2,000,000.00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19,804,500.00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6,000,000.00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91,100,700.00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97,100,700.00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GERMANY</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20.50</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20.57980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20,500,000.00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411,596,000.00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20,500,000.00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329,276,800.00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20,500,000.00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205,798,000.00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61,500,000.00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946,670,800.00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1,008,170,800.00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ESTONIA</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0.05</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0.08635</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1,727,000.00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1,381,600.00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50,000.00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863,500.00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150,000.00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3,972,100.00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4,122,100.00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IRELAND</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0.91</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0.94006</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910,000.00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18,801,200.00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910,000.00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15,040,960.00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910,000.00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9,400,600.00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2,730,000.00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43,242,760.00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45,972,760.00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GREECE</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1.50735</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30,147,000.00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24,117,600.00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1,470,000.00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15,073,500.00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4,410,000.00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69,338,100.00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73,748,100.00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SPAIN</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7.85</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7.93248</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7,850,000.00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158,649,600.00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7,850,000.00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126,919,680.00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7,850,000.00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79,324,800.00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23,550,000.00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364,894,080.00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388,444,080.00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FRANCE</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19.55</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17.81269</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19,550,000.00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356,253,800.00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19,550,000.00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285,003,040.00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19,550,000.00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178,126,900.00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58,650,000.00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819,383,740.00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878,033,740.00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CROATIA</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0.22518</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4,503,600.00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3,602,880.00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2,251,800.00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10,358,280.00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10,358,280.00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ITALY</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12.86</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12.53009</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12,860,000.00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250,601,800.00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12,860,000.00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200,481,440.00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12,860,000.00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125,300,900.00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38,580,000.00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576,384,140.00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614,964,140.00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CYPRUS</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0.09</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0.11162</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2,232,400.00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1,785,920.00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1,116,200.00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270,000.00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5,134,520.00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5,404,520.00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LATVIA</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0.07</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0.11612</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2,322,400.00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1,857,920.00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70,000.00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1,161,200.00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210,000.00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5,341,520.00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5,551,520.00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LITHUANIA</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0.12</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0.18077</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3,615,400.00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2,892,320.00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120,000.00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1,807,700.00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360,000.00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8,315,420.00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8,675,420.00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LUXEMBOURG</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0.27</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0.25509</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5,101,800.00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4,081,440.00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270,000.00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2,550,900.00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810,000.00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11,734,140.00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12,544,140.00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HUNGARY</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0.55</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0.61456</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550,000.00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12,291,200.00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550,000.00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9,832,960.00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550,000.00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6,145,600.00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1,650,000.00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28,269,760.00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29,919,760.00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MALTA</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0.03</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0.03801</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760,200.00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608,160.00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380,100.00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1,748,460.00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1,838,460.00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NETHERLANDS</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4.85</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4.77678</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4,850,000.00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95,535,600.00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4,850,000.00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76,428,480.00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4,850,000.00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47,767,800.00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14,550,000.00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219,731,880.00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234,281,880.00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AUSTRIA</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2.41</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2.39757</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2,410,000.00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47,951,400.00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2,410,000.00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38,361,120.00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2,410,000.00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23,975,700.00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7,230,000.00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110,288,220.00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117,518,220.00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POLAND</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1.30</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2.00734</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1,300,000.00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40,146,800.00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1,300,000.00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32,117,440.00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1,300,000.00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20,073,400.00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3,900,000.00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92,337,640.00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96,237,640.00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PORTUGAL</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1.15</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1.19679</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1,150,000.00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23,935,800.00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1,150,000.00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19,148,640.00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1,150,000.00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11,967,900.00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3,450,000.00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55,052,340.00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58,502,340.00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ROMANIA</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0.37</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0.71815</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370,000.00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14,363,000.00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370,000.00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11,490,400.00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370,000.00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7,181,500.00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1,110,000.00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33,034,900.00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34,144,900.00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SLOVENIA</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0.18</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0.22452</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4,490,400.00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3,592,320.00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180,000.00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2,245,200.00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540,000.00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10,327,920.00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10,867,920.00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SLOVAKIA</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0.21</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0.37616</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7,523,200.00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6,018,560.00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210,000.00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3,761,600.00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630,000.00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17,303,360.00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17,933,360.00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FINLAND</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1.50909</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30,181,800.00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24,145,440.00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1,470,000.00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15,090,900.00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4,410,000.00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69,418,140.00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73,828,140.00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SWEDEN</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2.74</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2.93911</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2,740,000.00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58,782,200.00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2,740,000.00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47,025,760.00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2,740,000.00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29,391,100.00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8,220,000.00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135,199,060.00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143,419,060.00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UNITED KINGDOM</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14.82</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14.67862</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14,820,000.00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293,572,400.00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14,820,000.00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234,857,920.00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14,820,000.00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146,786,200.00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44,460,000.00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675,216,520.00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719,676,520.00</w:t>
            </w:r>
          </w:p>
        </w:tc>
      </w:tr>
      <w:tr>
        <w:trPr>
          <w:trHeight w:val="282"/>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TOTAL EU-28</w:t>
            </w:r>
          </w:p>
        </w:tc>
        <w:tc>
          <w:tcPr>
            <w:tcW w:w="298" w:type="pct"/>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100.00</w:t>
            </w:r>
          </w:p>
        </w:tc>
        <w:tc>
          <w:tcPr>
            <w:tcW w:w="336" w:type="pct"/>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100.00</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100,000,000.00</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2,000,000,000.00</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100,000,000.00</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1,600,000,000.00</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100,000,000.00</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1,000,000,000.00</w:t>
            </w:r>
          </w:p>
        </w:tc>
        <w:tc>
          <w:tcPr>
            <w:tcW w:w="393" w:type="pct"/>
            <w:tcBorders>
              <w:top w:val="single" w:sz="4" w:space="0" w:color="auto"/>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300,000,000.00</w:t>
            </w:r>
          </w:p>
        </w:tc>
        <w:tc>
          <w:tcPr>
            <w:tcW w:w="450" w:type="pct"/>
            <w:tcBorders>
              <w:top w:val="single" w:sz="4" w:space="0" w:color="auto"/>
              <w:left w:val="single" w:sz="4" w:space="0" w:color="auto"/>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4,600,000,000.00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4,900,000,000.00</w:t>
            </w:r>
          </w:p>
        </w:tc>
      </w:tr>
    </w:tbl>
    <w:p>
      <w:pPr>
        <w:pStyle w:val="ManualHeading2"/>
        <w:rPr>
          <w:noProof/>
        </w:rPr>
      </w:pPr>
      <w:r>
        <w:t>5.6.</w:t>
      </w:r>
      <w:r>
        <w:tab/>
      </w:r>
      <w:r>
        <w:rPr>
          <w:noProof/>
        </w:rPr>
        <w:t>Attachment 6: Member States contributions for 2018-2022 (EUR)</w:t>
      </w:r>
    </w:p>
    <w:tbl>
      <w:tblPr>
        <w:tblW w:w="5000" w:type="pct"/>
        <w:tblLook w:val="04A0" w:firstRow="1" w:lastRow="0" w:firstColumn="1" w:lastColumn="0" w:noHBand="0" w:noVBand="1"/>
      </w:tblPr>
      <w:tblGrid>
        <w:gridCol w:w="1742"/>
        <w:gridCol w:w="601"/>
        <w:gridCol w:w="741"/>
        <w:gridCol w:w="1021"/>
        <w:gridCol w:w="1017"/>
        <w:gridCol w:w="1021"/>
        <w:gridCol w:w="1017"/>
        <w:gridCol w:w="1021"/>
        <w:gridCol w:w="1017"/>
        <w:gridCol w:w="1021"/>
        <w:gridCol w:w="974"/>
        <w:gridCol w:w="997"/>
        <w:gridCol w:w="1021"/>
        <w:gridCol w:w="1009"/>
      </w:tblGrid>
      <w:tr>
        <w:trPr>
          <w:trHeight w:val="252"/>
        </w:trPr>
        <w:tc>
          <w:tcPr>
            <w:tcW w:w="633"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MEMBER STATES</w:t>
            </w:r>
          </w:p>
        </w:tc>
        <w:tc>
          <w:tcPr>
            <w:tcW w:w="197" w:type="pct"/>
            <w:tcBorders>
              <w:top w:val="single" w:sz="8" w:space="0" w:color="auto"/>
              <w:left w:val="nil"/>
              <w:bottom w:val="nil"/>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10th</w:t>
            </w:r>
          </w:p>
        </w:tc>
        <w:tc>
          <w:tcPr>
            <w:tcW w:w="228" w:type="pct"/>
            <w:tcBorders>
              <w:top w:val="single" w:sz="8" w:space="0" w:color="auto"/>
              <w:left w:val="nil"/>
              <w:bottom w:val="nil"/>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11th</w:t>
            </w:r>
          </w:p>
        </w:tc>
        <w:tc>
          <w:tcPr>
            <w:tcW w:w="719" w:type="pct"/>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2018</w:t>
            </w:r>
          </w:p>
        </w:tc>
        <w:tc>
          <w:tcPr>
            <w:tcW w:w="719" w:type="pct"/>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2019</w:t>
            </w:r>
          </w:p>
        </w:tc>
        <w:tc>
          <w:tcPr>
            <w:tcW w:w="719" w:type="pct"/>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2020</w:t>
            </w:r>
          </w:p>
        </w:tc>
        <w:tc>
          <w:tcPr>
            <w:tcW w:w="1069" w:type="pct"/>
            <w:gridSpan w:val="3"/>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2021</w:t>
            </w:r>
          </w:p>
        </w:tc>
        <w:tc>
          <w:tcPr>
            <w:tcW w:w="719" w:type="pct"/>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2022</w:t>
            </w:r>
          </w:p>
        </w:tc>
      </w:tr>
      <w:tr>
        <w:trPr>
          <w:trHeight w:val="252"/>
        </w:trPr>
        <w:tc>
          <w:tcPr>
            <w:tcW w:w="633" w:type="pct"/>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197" w:type="pct"/>
            <w:tcBorders>
              <w:top w:val="dashed" w:sz="4"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EDF</w:t>
            </w:r>
          </w:p>
        </w:tc>
        <w:tc>
          <w:tcPr>
            <w:tcW w:w="228" w:type="pct"/>
            <w:tcBorders>
              <w:top w:val="dashed" w:sz="4"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EDF</w:t>
            </w:r>
          </w:p>
        </w:tc>
        <w:tc>
          <w:tcPr>
            <w:tcW w:w="341" w:type="pct"/>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 11th</w:t>
            </w:r>
          </w:p>
        </w:tc>
        <w:tc>
          <w:tcPr>
            <w:tcW w:w="377"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 10th</w:t>
            </w:r>
          </w:p>
        </w:tc>
        <w:tc>
          <w:tcPr>
            <w:tcW w:w="341" w:type="pct"/>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 11th</w:t>
            </w:r>
          </w:p>
        </w:tc>
        <w:tc>
          <w:tcPr>
            <w:tcW w:w="377"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 10th</w:t>
            </w:r>
          </w:p>
        </w:tc>
        <w:tc>
          <w:tcPr>
            <w:tcW w:w="341" w:type="pct"/>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 11th</w:t>
            </w:r>
          </w:p>
        </w:tc>
        <w:tc>
          <w:tcPr>
            <w:tcW w:w="377" w:type="pct"/>
            <w:tcBorders>
              <w:top w:val="nil"/>
              <w:left w:val="nil"/>
              <w:bottom w:val="single" w:sz="8"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 10th</w:t>
            </w:r>
          </w:p>
        </w:tc>
        <w:tc>
          <w:tcPr>
            <w:tcW w:w="335" w:type="pct"/>
            <w:tcBorders>
              <w:top w:val="nil"/>
              <w:left w:val="single" w:sz="8" w:space="0" w:color="auto"/>
              <w:bottom w:val="single" w:sz="8" w:space="0" w:color="auto"/>
              <w:right w:val="nil"/>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 11th</w:t>
            </w:r>
          </w:p>
        </w:tc>
        <w:tc>
          <w:tcPr>
            <w:tcW w:w="363" w:type="pct"/>
            <w:tcBorders>
              <w:top w:val="nil"/>
              <w:left w:val="single" w:sz="4" w:space="0" w:color="auto"/>
              <w:bottom w:val="single" w:sz="8"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 10th</w:t>
            </w:r>
          </w:p>
        </w:tc>
        <w:tc>
          <w:tcPr>
            <w:tcW w:w="371"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 11th</w:t>
            </w:r>
          </w:p>
        </w:tc>
        <w:tc>
          <w:tcPr>
            <w:tcW w:w="341" w:type="pct"/>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 11th</w:t>
            </w:r>
          </w:p>
        </w:tc>
        <w:tc>
          <w:tcPr>
            <w:tcW w:w="377"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 11th</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BELGIUM</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3.53</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3.24927</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138,093,975</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8,825,000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142,967,880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10,590,000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149,466,420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10,590,000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129,970,800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2,471,000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7,473,321</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113,724,450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12,997,080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BULGARIA</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0.14</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0.21853</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9,287,525</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9,615,320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420,000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10,052,380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420,000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8,741,200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98,000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502,619</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7,648,550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874,120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CZECH REPUBLIC</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0.51</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0.79745</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33,891,625</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1,275,000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35,087,800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1,530,000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36,682,700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1,530,000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31,898,000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357,000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1,834,135</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27,910,750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3,189,800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DENMARK</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2.00</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1.98045</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84,169,125</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5,000,000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87,139,800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6,000,000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91,100,700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6,000,000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79,218,000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1,400,000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4,555,035</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69,315,750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7,921,800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GERMANY</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20.50</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20.57980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874,641,500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51,250,000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905,511,200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61,500,000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946,670,800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61,500,000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823,192,000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14,350,000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47,333,540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720,293,000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82,319,200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ESTONIA</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0.05</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0.08635</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3,669,875</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125,000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3,799,400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3,972,100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150,000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3,454,000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198,605</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3,022,250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345,400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IRELAND</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0.91</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0.94006</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39,952,550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2,275,000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41,362,640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2,730,000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43,242,760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2,730,000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37,602,400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637,000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2,162,138</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32,902,100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3,760,240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GREECE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1.50735</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64,062,375</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3,675,000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66,323,400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4,410,000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69,338,100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4,410,000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60,294,000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1,029,000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3,466,905</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52,757,250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6,029,400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SPAIN</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7.85</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7.93248</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337,130,400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19,625,000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349,029,120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23,550,000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364,894,080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23,550,000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317,299,200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5,495,000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18,244,704</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277,636,800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31,729,920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FRANCE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19.55</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17.81269</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757,039,325</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48,875,000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783,758,360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58,650,000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819,383,740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58,650,000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712,507,600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13,685,000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40,969,187</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623,444,150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71,250,760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CROATIA</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0.22518</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9,570,150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9,907,920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10,358,280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9,007,200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517,914</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7,881,300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900,720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ITALY</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12.86</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12.53009</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532,528,825</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32,150,000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551,323,960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38,580,000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576,384,140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38,580,000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501,203,600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9,002,000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28,819,207</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438,553,150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50,120,360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CYPRUS</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0.09</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0.11162</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4,743,850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225,000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4,911,280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5,134,520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270,000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4,464,800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63,000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256,726</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3,906,700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446,480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LATVIA</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0.07</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0.11612</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4,935,100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175,000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5,109,280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5,341,520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210,000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4,644,800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49,000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267,076</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4,064,200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464,480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LITHUANIA</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0.12</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0.18077</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7,682,725</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7,953,880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8,315,420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360,000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7,230,800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84,000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415,771</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6,326,950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723,080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LUXEMBOURG</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0.27</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0.25509</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10,841,325</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675,000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11,223,960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810,000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11,734,140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810,000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10,203,600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189,000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586,707</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8,928,150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1,020,360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HUNGARY</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0.55</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0.61456</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26,118,800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1,375,000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27,040,640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1,650,000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28,269,760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1,650,000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24,582,400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385,000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1,413,488</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21,509,600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2,458,240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MALTA</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0.03</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0.03801</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1,615,425</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75,000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1,672,440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1,748,460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1,520,400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87,423</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1,330,350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152,040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NETHERLANDS</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4.85</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4.77678</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203,013,150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12,125,000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210,178,320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14,550,000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219,731,880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14,550,000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191,071,200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3,395,000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10,986,594</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167,187,300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19,107,120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AUSTRIA</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2.41</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2.39757</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101,896,725</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6,025,000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105,493,080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7,230,000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110,288,220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7,230,000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95,902,800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1,687,000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5,514,411</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83,914,950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9,590,280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POLAND</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1.30</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2.00734</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85,311,950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3,250,000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88,322,960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3,900,000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92,337,640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3,900,000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80,293,600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910,000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4,616,882</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70,256,900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8,029,360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PORTUGAL</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1.15</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1.19679</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50,863,575</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2,875,000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52,658,760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3,450,000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55,052,340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3,450,000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47,871,600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805,000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2,752,617</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41,887,650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4,787,160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ROMANIA</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0.37</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0.71815</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30,521,375</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925,000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31,598,600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1,110,000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33,034,900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1,110,000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28,726,000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259,000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1,651,745</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25,135,250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2,872,600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SLOVENIA</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0.18</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0.22452</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9,542,100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450,000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9,878,880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540,000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10,327,920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540,000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8,980,800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126,000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516,396</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7,858,200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898,080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SLOVAKIA</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0.21</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0.37616</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15,986,800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525,000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16,551,040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630,000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17,303,360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630,000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15,046,400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865,168</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13,165,600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1,504,640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FINLAND</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1.50909</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64,136,325</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3,675,000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66,399,960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4,410,000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69,418,140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4,410,000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60,363,600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1,029,000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3,470,907</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52,818,150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6,036,360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SWEDEN</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2.74</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2.93911</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124,912,175</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6,850,000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129,320,840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8,220,000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135,199,060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8,220,000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117,564,400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1,918,000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6,759,953</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102,868,850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11,756,440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UNITED KINGDOM</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14.82</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14.67862</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623,841,350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37,050,000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645,859,280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44,460,000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675,216,520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44,460,000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587,144,800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10,374,000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33,760,826</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513,751,700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58,714,480</w:t>
            </w:r>
          </w:p>
        </w:tc>
      </w:tr>
      <w:tr>
        <w:trPr>
          <w:trHeight w:val="252"/>
        </w:trPr>
        <w:tc>
          <w:tcPr>
            <w:tcW w:w="633" w:type="pct"/>
            <w:tcBorders>
              <w:top w:val="single" w:sz="8" w:space="0" w:color="auto"/>
              <w:left w:val="single" w:sz="8" w:space="0" w:color="auto"/>
              <w:bottom w:val="single" w:sz="8" w:space="0" w:color="auto"/>
              <w:right w:val="single" w:sz="8" w:space="0" w:color="auto"/>
            </w:tcBorders>
            <w:shd w:val="clear" w:color="000000" w:fill="A6A6A6"/>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TOTAL EU-28</w:t>
            </w:r>
          </w:p>
        </w:tc>
        <w:tc>
          <w:tcPr>
            <w:tcW w:w="197"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100.00</w:t>
            </w:r>
          </w:p>
        </w:tc>
        <w:tc>
          <w:tcPr>
            <w:tcW w:w="228"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100.00</w:t>
            </w:r>
          </w:p>
        </w:tc>
        <w:tc>
          <w:tcPr>
            <w:tcW w:w="341" w:type="pct"/>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4,250,000,000</w:t>
            </w:r>
          </w:p>
        </w:tc>
        <w:tc>
          <w:tcPr>
            <w:tcW w:w="377"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250,000,000</w:t>
            </w:r>
          </w:p>
        </w:tc>
        <w:tc>
          <w:tcPr>
            <w:tcW w:w="341" w:type="pct"/>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4,400,000,000</w:t>
            </w:r>
          </w:p>
        </w:tc>
        <w:tc>
          <w:tcPr>
            <w:tcW w:w="377"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300,000,000</w:t>
            </w:r>
          </w:p>
        </w:tc>
        <w:tc>
          <w:tcPr>
            <w:tcW w:w="341" w:type="pct"/>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4,600,000,000</w:t>
            </w:r>
          </w:p>
        </w:tc>
        <w:tc>
          <w:tcPr>
            <w:tcW w:w="377" w:type="pct"/>
            <w:tcBorders>
              <w:top w:val="single" w:sz="8" w:space="0" w:color="auto"/>
              <w:left w:val="nil"/>
              <w:bottom w:val="single" w:sz="8" w:space="0" w:color="auto"/>
              <w:right w:val="nil"/>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300,000,000</w:t>
            </w:r>
          </w:p>
        </w:tc>
        <w:tc>
          <w:tcPr>
            <w:tcW w:w="335" w:type="pct"/>
            <w:tcBorders>
              <w:top w:val="single" w:sz="8" w:space="0" w:color="auto"/>
              <w:left w:val="single" w:sz="8" w:space="0" w:color="auto"/>
              <w:bottom w:val="single" w:sz="8" w:space="0" w:color="auto"/>
              <w:right w:val="nil"/>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4,000,000,000</w:t>
            </w:r>
          </w:p>
        </w:tc>
        <w:tc>
          <w:tcPr>
            <w:tcW w:w="363" w:type="pct"/>
            <w:tcBorders>
              <w:top w:val="single" w:sz="8" w:space="0" w:color="auto"/>
              <w:left w:val="single" w:sz="4" w:space="0" w:color="auto"/>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70,000,000</w:t>
            </w:r>
          </w:p>
        </w:tc>
        <w:tc>
          <w:tcPr>
            <w:tcW w:w="371"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230,000,000</w:t>
            </w:r>
          </w:p>
        </w:tc>
        <w:tc>
          <w:tcPr>
            <w:tcW w:w="341" w:type="pct"/>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3,500,000,000</w:t>
            </w:r>
          </w:p>
        </w:tc>
        <w:tc>
          <w:tcPr>
            <w:tcW w:w="377"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400,000,000</w:t>
            </w:r>
          </w:p>
        </w:tc>
      </w:tr>
      <w:tr>
        <w:trPr>
          <w:trHeight w:val="252"/>
        </w:trPr>
        <w:tc>
          <w:tcPr>
            <w:tcW w:w="633" w:type="pct"/>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w:t>
            </w:r>
          </w:p>
        </w:tc>
        <w:tc>
          <w:tcPr>
            <w:tcW w:w="197" w:type="pct"/>
            <w:tcBorders>
              <w:top w:val="nil"/>
              <w:left w:val="nil"/>
              <w:bottom w:val="nil"/>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 </w:t>
            </w:r>
          </w:p>
        </w:tc>
        <w:tc>
          <w:tcPr>
            <w:tcW w:w="228" w:type="pct"/>
            <w:tcBorders>
              <w:top w:val="nil"/>
              <w:left w:val="nil"/>
              <w:bottom w:val="nil"/>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 </w:t>
            </w:r>
          </w:p>
        </w:tc>
        <w:tc>
          <w:tcPr>
            <w:tcW w:w="719" w:type="pct"/>
            <w:gridSpan w:val="2"/>
            <w:tcBorders>
              <w:top w:val="single" w:sz="8" w:space="0" w:color="auto"/>
              <w:left w:val="single" w:sz="8" w:space="0" w:color="auto"/>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4,500,000,000</w:t>
            </w:r>
          </w:p>
        </w:tc>
        <w:tc>
          <w:tcPr>
            <w:tcW w:w="719" w:type="pct"/>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4,700,000,000</w:t>
            </w:r>
          </w:p>
        </w:tc>
        <w:tc>
          <w:tcPr>
            <w:tcW w:w="719" w:type="pct"/>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4,900,000,000</w:t>
            </w:r>
          </w:p>
        </w:tc>
        <w:tc>
          <w:tcPr>
            <w:tcW w:w="1069" w:type="pct"/>
            <w:gridSpan w:val="3"/>
            <w:tcBorders>
              <w:top w:val="nil"/>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4,300,000,000</w:t>
            </w:r>
          </w:p>
        </w:tc>
        <w:tc>
          <w:tcPr>
            <w:tcW w:w="719" w:type="pct"/>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3,900,000,000</w:t>
            </w:r>
          </w:p>
        </w:tc>
      </w:tr>
    </w:tbl>
    <w:p>
      <w:pPr>
        <w:rPr>
          <w:noProof/>
        </w:rPr>
      </w:pPr>
    </w:p>
    <w:sectPr>
      <w:headerReference w:type="even" r:id="rId41"/>
      <w:headerReference w:type="default" r:id="rId42"/>
      <w:footerReference w:type="even" r:id="rId43"/>
      <w:footerReference w:type="default" r:id="rId44"/>
      <w:headerReference w:type="first" r:id="rId45"/>
      <w:footerReference w:type="first" r:id="rId46"/>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5324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65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62788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76331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7279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 (OJ L 210, 06.08.2013, p. 1-14).</w:t>
      </w:r>
    </w:p>
  </w:footnote>
  <w:footnote w:id="2">
    <w:p>
      <w:pPr>
        <w:pStyle w:val="FootnoteText"/>
      </w:pPr>
      <w:r>
        <w:rPr>
          <w:rStyle w:val="FootnoteReference"/>
        </w:rPr>
        <w:footnoteRef/>
      </w:r>
      <w:r>
        <w:tab/>
        <w:t>Council Regulation (EU) 2015/323 of 2 March 2015 on the Financial Regulation applicable to the 11</w:t>
      </w:r>
      <w:r>
        <w:rPr>
          <w:vertAlign w:val="superscript"/>
        </w:rPr>
        <w:t>th</w:t>
      </w:r>
      <w:r>
        <w:t xml:space="preserve"> European Development Fund</w:t>
      </w:r>
      <w:r>
        <w:rPr>
          <w:szCs w:val="24"/>
        </w:rPr>
        <w:t xml:space="preserve"> (OJ L 58, 03.03.2015, p. 17–38).</w:t>
      </w:r>
    </w:p>
  </w:footnote>
  <w:footnote w:id="3">
    <w:p>
      <w:pPr>
        <w:pStyle w:val="FootnoteText"/>
      </w:pPr>
      <w:r>
        <w:rPr>
          <w:rStyle w:val="FootnoteReference"/>
        </w:rPr>
        <w:footnoteRef/>
      </w:r>
      <w:r>
        <w:tab/>
        <w:t>African, Caribbean and Pacific States.</w:t>
      </w:r>
    </w:p>
  </w:footnote>
  <w:footnote w:id="4">
    <w:p>
      <w:pPr>
        <w:pStyle w:val="FootnoteText"/>
      </w:pPr>
      <w:r>
        <w:rPr>
          <w:rStyle w:val="FootnoteReference"/>
        </w:rPr>
        <w:footnoteRef/>
      </w:r>
      <w:r>
        <w:tab/>
        <w:t>Overseas Countries and Territories.</w:t>
      </w:r>
    </w:p>
  </w:footnote>
  <w:footnote w:id="5">
    <w:p>
      <w:pPr>
        <w:pStyle w:val="FootnoteText"/>
      </w:pPr>
      <w:r>
        <w:rPr>
          <w:rStyle w:val="FootnoteReference"/>
        </w:rPr>
        <w:footnoteRef/>
      </w:r>
      <w:r>
        <w:tab/>
        <w:t>OJ L 210, 06.08.2013.</w:t>
      </w:r>
    </w:p>
  </w:footnote>
  <w:footnote w:id="6">
    <w:p>
      <w:pPr>
        <w:pStyle w:val="FootnoteText"/>
      </w:pPr>
      <w:r>
        <w:rPr>
          <w:rStyle w:val="FootnoteReference"/>
        </w:rPr>
        <w:footnoteRef/>
      </w:r>
      <w:r>
        <w:tab/>
        <w:t>OJ L 58, 03.03.2015.</w:t>
      </w:r>
    </w:p>
  </w:footnote>
  <w:footnote w:id="7">
    <w:p>
      <w:pPr>
        <w:pStyle w:val="FootnoteText"/>
      </w:pPr>
      <w:r>
        <w:rPr>
          <w:rStyle w:val="FootnoteReference"/>
        </w:rPr>
        <w:footnoteRef/>
      </w:r>
      <w:r>
        <w:tab/>
        <w:t>C(2018)4437 final, 6.7.2018. COMMISSION DECISION on a special measure for a contribution to the European Union Emergency Trust Fund for stability and addressing root causes of irregular migration and displaced persons in Africa to be financed from the 11th European Development Fund.</w:t>
      </w:r>
    </w:p>
  </w:footnote>
  <w:footnote w:id="8">
    <w:p>
      <w:pPr>
        <w:pStyle w:val="FootnoteText"/>
      </w:pPr>
      <w:r>
        <w:rPr>
          <w:rStyle w:val="FootnoteReference"/>
        </w:rPr>
        <w:footnoteRef/>
      </w:r>
      <w:r>
        <w:tab/>
        <w:t>Gross commitments, i.e. without de-commitments being deducted.</w:t>
      </w:r>
    </w:p>
  </w:footnote>
  <w:footnote w:id="9">
    <w:p>
      <w:pPr>
        <w:pStyle w:val="FootnoteText"/>
      </w:pPr>
      <w:r>
        <w:rPr>
          <w:rStyle w:val="FootnoteReference"/>
        </w:rPr>
        <w:footnoteRef/>
      </w:r>
      <w:r>
        <w:tab/>
        <w:t>Gross payments, i.e. without recoveries being deducted.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22DF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A0623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68AEF7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E18D2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509B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2803C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66AF1CC"/>
    <w:lvl w:ilvl="0">
      <w:start w:val="1"/>
      <w:numFmt w:val="decimal"/>
      <w:pStyle w:val="ListNumber"/>
      <w:lvlText w:val="%1."/>
      <w:lvlJc w:val="left"/>
      <w:pPr>
        <w:tabs>
          <w:tab w:val="num" w:pos="360"/>
        </w:tabs>
        <w:ind w:left="360" w:hanging="360"/>
      </w:pPr>
    </w:lvl>
  </w:abstractNum>
  <w:abstractNum w:abstractNumId="7">
    <w:nsid w:val="FFFFFF89"/>
    <w:multiLevelType w:val="singleLevel"/>
    <w:tmpl w:val="46743C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startOverride w:val="1"/>
    </w:lvlOverride>
  </w:num>
  <w:num w:numId="4">
    <w:abstractNumId w:val="5"/>
  </w:num>
  <w:num w:numId="5">
    <w:abstractNumId w:val="4"/>
  </w:num>
  <w:num w:numId="6">
    <w:abstractNumId w:val="3"/>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17"/>
  </w:num>
  <w:num w:numId="20">
    <w:abstractNumId w:val="10"/>
  </w:num>
  <w:num w:numId="21">
    <w:abstractNumId w:val="15"/>
  </w:num>
  <w:num w:numId="22">
    <w:abstractNumId w:val="21"/>
    <w:lvlOverride w:ilvl="0">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3DB1C12-8F51-4CC6-A663-9C5ECE34E4AB"/>
    <w:docVar w:name="LW_COVERPAGE_TYPE" w:val="1"/>
    <w:docVar w:name="LW_CROSSREFERENCE" w:val="&lt;UNUSED&gt;"/>
    <w:docVar w:name="LW_DocType" w:val="NORMAL"/>
    <w:docVar w:name="LW_EMISSION" w:val="16.10.2018"/>
    <w:docVar w:name="LW_EMISSION_ISODATE" w:val="2018-10-16"/>
    <w:docVar w:name="LW_EMISSION_LOCATION" w:val="BRX"/>
    <w:docVar w:name="LW_EMISSION_PREFIX" w:val="Brussels, "/>
    <w:docVar w:name="LW_EMISSION_SUFFIX" w:val=" "/>
    <w:docVar w:name="LW_ID_DOCTYPE_NONLW" w:val="CP-010"/>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6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uropean Development Fund (EDF): forecasts of commitments, payments and contributions from Member States for 2018, 2019, 2020 and non-binding forecast for the years 2021-2022"/>
    <w:docVar w:name="LW_TYPE.DOC.CP" w:val="COMMUNICATION FROM THE COMMISSION TO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styleId="TOC1">
    <w:name w:val="toc 1"/>
    <w:basedOn w:val="Normal"/>
    <w:next w:val="Normal"/>
    <w:autoRedefine/>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GB"/>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paragraph" w:styleId="ListBullet">
    <w:name w:val="List Bullet"/>
    <w:basedOn w:val="Normal"/>
    <w:semiHidden/>
    <w:unhideWhenUsed/>
    <w:pPr>
      <w:numPr>
        <w:numId w:val="2"/>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
    <w:name w:val="List Number"/>
    <w:basedOn w:val="Normal"/>
    <w:semiHidden/>
    <w:unhideWhenUsed/>
    <w:pPr>
      <w:numPr>
        <w:numId w:val="3"/>
      </w:numPr>
      <w:spacing w:before="120" w:after="120" w:line="240" w:lineRule="auto"/>
      <w:contextualSpacing/>
      <w:jc w:val="both"/>
    </w:pPr>
    <w:rPr>
      <w:rFonts w:ascii="Times New Roman" w:eastAsia="Times New Roman" w:hAnsi="Times New Roman" w:cs="Times New Roman"/>
      <w:sz w:val="24"/>
      <w:lang w:eastAsia="en-GB"/>
    </w:rPr>
  </w:style>
  <w:style w:type="paragraph" w:styleId="ListBullet2">
    <w:name w:val="List Bullet 2"/>
    <w:basedOn w:val="Normal"/>
    <w:semiHidden/>
    <w:unhideWhenUsed/>
    <w:pPr>
      <w:numPr>
        <w:numId w:val="4"/>
      </w:numPr>
      <w:spacing w:before="120" w:after="120" w:line="240" w:lineRule="auto"/>
      <w:contextualSpacing/>
      <w:jc w:val="both"/>
    </w:pPr>
    <w:rPr>
      <w:rFonts w:ascii="Times New Roman" w:eastAsia="Times New Roman" w:hAnsi="Times New Roman" w:cs="Times New Roman"/>
      <w:sz w:val="24"/>
      <w:lang w:eastAsia="en-GB"/>
    </w:rPr>
  </w:style>
  <w:style w:type="paragraph" w:styleId="ListBullet3">
    <w:name w:val="List Bullet 3"/>
    <w:basedOn w:val="Normal"/>
    <w:semiHidden/>
    <w:unhideWhenUsed/>
    <w:pPr>
      <w:numPr>
        <w:numId w:val="5"/>
      </w:numPr>
      <w:spacing w:before="120" w:after="120" w:line="240" w:lineRule="auto"/>
      <w:contextualSpacing/>
      <w:jc w:val="both"/>
    </w:pPr>
    <w:rPr>
      <w:rFonts w:ascii="Times New Roman" w:eastAsia="Times New Roman" w:hAnsi="Times New Roman" w:cs="Times New Roman"/>
      <w:sz w:val="24"/>
      <w:lang w:eastAsia="en-GB"/>
    </w:rPr>
  </w:style>
  <w:style w:type="paragraph" w:styleId="ListBullet4">
    <w:name w:val="List Bullet 4"/>
    <w:basedOn w:val="Normal"/>
    <w:semiHidden/>
    <w:unhideWhenUsed/>
    <w:pPr>
      <w:numPr>
        <w:numId w:val="6"/>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2">
    <w:name w:val="List Number 2"/>
    <w:basedOn w:val="Normal"/>
    <w:semiHidden/>
    <w:unhideWhenUsed/>
    <w:pPr>
      <w:numPr>
        <w:numId w:val="7"/>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3">
    <w:name w:val="List Number 3"/>
    <w:basedOn w:val="Normal"/>
    <w:semiHidden/>
    <w:unhideWhenUsed/>
    <w:pPr>
      <w:numPr>
        <w:numId w:val="8"/>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4">
    <w:name w:val="List Number 4"/>
    <w:basedOn w:val="Normal"/>
    <w:semiHidden/>
    <w:unhideWhenUsed/>
    <w:pPr>
      <w:numPr>
        <w:numId w:val="9"/>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unhideWhenUsed/>
    <w:rPr>
      <w:b/>
      <w:bCs/>
    </w:rPr>
  </w:style>
  <w:style w:type="paragraph" w:styleId="BalloonText">
    <w:name w:val="Balloon Text"/>
    <w:basedOn w:val="Normal"/>
    <w:link w:val="BalloonTextChar"/>
    <w:semiHidden/>
    <w:unhideWhenUsed/>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paragraph" w:customStyle="1" w:styleId="Point0number">
    <w:name w:val="Point 0 (numb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number">
    <w:name w:val="Point 1 (numb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TypedudocumentPagedecouverture">
    <w:name w:val="Type du document (Page de couverture)"/>
    <w:basedOn w:val="Typedudocument"/>
    <w:next w:val="TitreobjetPagedecouverture"/>
    <w:rPr>
      <w:rFonts w:eastAsia="Times New Roman"/>
      <w:lang w:eastAsia="en-GB"/>
    </w:rPr>
  </w:style>
  <w:style w:type="paragraph" w:customStyle="1" w:styleId="TitreobjetPagedecouverture">
    <w:name w:val="Titre objet (Page de couverture)"/>
    <w:basedOn w:val="Titreobjet"/>
    <w:next w:val="IntrtEEEPagedecouverture"/>
  </w:style>
  <w:style w:type="paragraph" w:customStyle="1" w:styleId="Sous-titreobjetPagedecouverture">
    <w:name w:val="Sous-titre objet (Page de couverture)"/>
    <w:basedOn w:val="Sous-titreobjet"/>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AccompagnantPagedecouverture">
    <w:name w:val="Accompagnant (Page de couverture)"/>
    <w:basedOn w:val="Accompagnant"/>
    <w:next w:val="TypeacteprincipalPagedecouvertur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styleId="FootnoteReference">
    <w:name w:val="footnote reference"/>
    <w:uiPriority w:val="99"/>
    <w:semiHidden/>
    <w:unhideWhenUsed/>
    <w:rPr>
      <w:vertAlign w:val="superscript"/>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styleId="TOC1">
    <w:name w:val="toc 1"/>
    <w:basedOn w:val="Normal"/>
    <w:next w:val="Normal"/>
    <w:autoRedefine/>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GB"/>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paragraph" w:styleId="ListBullet">
    <w:name w:val="List Bullet"/>
    <w:basedOn w:val="Normal"/>
    <w:semiHidden/>
    <w:unhideWhenUsed/>
    <w:pPr>
      <w:numPr>
        <w:numId w:val="2"/>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
    <w:name w:val="List Number"/>
    <w:basedOn w:val="Normal"/>
    <w:semiHidden/>
    <w:unhideWhenUsed/>
    <w:pPr>
      <w:numPr>
        <w:numId w:val="3"/>
      </w:numPr>
      <w:spacing w:before="120" w:after="120" w:line="240" w:lineRule="auto"/>
      <w:contextualSpacing/>
      <w:jc w:val="both"/>
    </w:pPr>
    <w:rPr>
      <w:rFonts w:ascii="Times New Roman" w:eastAsia="Times New Roman" w:hAnsi="Times New Roman" w:cs="Times New Roman"/>
      <w:sz w:val="24"/>
      <w:lang w:eastAsia="en-GB"/>
    </w:rPr>
  </w:style>
  <w:style w:type="paragraph" w:styleId="ListBullet2">
    <w:name w:val="List Bullet 2"/>
    <w:basedOn w:val="Normal"/>
    <w:semiHidden/>
    <w:unhideWhenUsed/>
    <w:pPr>
      <w:numPr>
        <w:numId w:val="4"/>
      </w:numPr>
      <w:spacing w:before="120" w:after="120" w:line="240" w:lineRule="auto"/>
      <w:contextualSpacing/>
      <w:jc w:val="both"/>
    </w:pPr>
    <w:rPr>
      <w:rFonts w:ascii="Times New Roman" w:eastAsia="Times New Roman" w:hAnsi="Times New Roman" w:cs="Times New Roman"/>
      <w:sz w:val="24"/>
      <w:lang w:eastAsia="en-GB"/>
    </w:rPr>
  </w:style>
  <w:style w:type="paragraph" w:styleId="ListBullet3">
    <w:name w:val="List Bullet 3"/>
    <w:basedOn w:val="Normal"/>
    <w:semiHidden/>
    <w:unhideWhenUsed/>
    <w:pPr>
      <w:numPr>
        <w:numId w:val="5"/>
      </w:numPr>
      <w:spacing w:before="120" w:after="120" w:line="240" w:lineRule="auto"/>
      <w:contextualSpacing/>
      <w:jc w:val="both"/>
    </w:pPr>
    <w:rPr>
      <w:rFonts w:ascii="Times New Roman" w:eastAsia="Times New Roman" w:hAnsi="Times New Roman" w:cs="Times New Roman"/>
      <w:sz w:val="24"/>
      <w:lang w:eastAsia="en-GB"/>
    </w:rPr>
  </w:style>
  <w:style w:type="paragraph" w:styleId="ListBullet4">
    <w:name w:val="List Bullet 4"/>
    <w:basedOn w:val="Normal"/>
    <w:semiHidden/>
    <w:unhideWhenUsed/>
    <w:pPr>
      <w:numPr>
        <w:numId w:val="6"/>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2">
    <w:name w:val="List Number 2"/>
    <w:basedOn w:val="Normal"/>
    <w:semiHidden/>
    <w:unhideWhenUsed/>
    <w:pPr>
      <w:numPr>
        <w:numId w:val="7"/>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3">
    <w:name w:val="List Number 3"/>
    <w:basedOn w:val="Normal"/>
    <w:semiHidden/>
    <w:unhideWhenUsed/>
    <w:pPr>
      <w:numPr>
        <w:numId w:val="8"/>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4">
    <w:name w:val="List Number 4"/>
    <w:basedOn w:val="Normal"/>
    <w:semiHidden/>
    <w:unhideWhenUsed/>
    <w:pPr>
      <w:numPr>
        <w:numId w:val="9"/>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unhideWhenUsed/>
    <w:rPr>
      <w:b/>
      <w:bCs/>
    </w:rPr>
  </w:style>
  <w:style w:type="paragraph" w:styleId="BalloonText">
    <w:name w:val="Balloon Text"/>
    <w:basedOn w:val="Normal"/>
    <w:link w:val="BalloonTextChar"/>
    <w:semiHidden/>
    <w:unhideWhenUsed/>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paragraph" w:customStyle="1" w:styleId="Point0number">
    <w:name w:val="Point 0 (numb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number">
    <w:name w:val="Point 1 (numb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TypedudocumentPagedecouverture">
    <w:name w:val="Type du document (Page de couverture)"/>
    <w:basedOn w:val="Typedudocument"/>
    <w:next w:val="TitreobjetPagedecouverture"/>
    <w:rPr>
      <w:rFonts w:eastAsia="Times New Roman"/>
      <w:lang w:eastAsia="en-GB"/>
    </w:rPr>
  </w:style>
  <w:style w:type="paragraph" w:customStyle="1" w:styleId="TitreobjetPagedecouverture">
    <w:name w:val="Titre objet (Page de couverture)"/>
    <w:basedOn w:val="Titreobjet"/>
    <w:next w:val="IntrtEEEPagedecouverture"/>
  </w:style>
  <w:style w:type="paragraph" w:customStyle="1" w:styleId="Sous-titreobjetPagedecouverture">
    <w:name w:val="Sous-titre objet (Page de couverture)"/>
    <w:basedOn w:val="Sous-titreobjet"/>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AccompagnantPagedecouverture">
    <w:name w:val="Accompagnant (Page de couverture)"/>
    <w:basedOn w:val="Accompagnant"/>
    <w:next w:val="TypeacteprincipalPagedecouvertur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styleId="FootnoteReference">
    <w:name w:val="footnote reference"/>
    <w:uiPriority w:val="99"/>
    <w:semiHidden/>
    <w:unhideWhenUsed/>
    <w:rPr>
      <w:vertAlign w:val="superscript"/>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7633">
      <w:bodyDiv w:val="1"/>
      <w:marLeft w:val="0"/>
      <w:marRight w:val="0"/>
      <w:marTop w:val="0"/>
      <w:marBottom w:val="0"/>
      <w:divBdr>
        <w:top w:val="none" w:sz="0" w:space="0" w:color="auto"/>
        <w:left w:val="none" w:sz="0" w:space="0" w:color="auto"/>
        <w:bottom w:val="none" w:sz="0" w:space="0" w:color="auto"/>
        <w:right w:val="none" w:sz="0" w:space="0" w:color="auto"/>
      </w:divBdr>
    </w:div>
    <w:div w:id="184101029">
      <w:bodyDiv w:val="1"/>
      <w:marLeft w:val="0"/>
      <w:marRight w:val="0"/>
      <w:marTop w:val="0"/>
      <w:marBottom w:val="0"/>
      <w:divBdr>
        <w:top w:val="none" w:sz="0" w:space="0" w:color="auto"/>
        <w:left w:val="none" w:sz="0" w:space="0" w:color="auto"/>
        <w:bottom w:val="none" w:sz="0" w:space="0" w:color="auto"/>
        <w:right w:val="none" w:sz="0" w:space="0" w:color="auto"/>
      </w:divBdr>
    </w:div>
    <w:div w:id="189030781">
      <w:bodyDiv w:val="1"/>
      <w:marLeft w:val="0"/>
      <w:marRight w:val="0"/>
      <w:marTop w:val="0"/>
      <w:marBottom w:val="0"/>
      <w:divBdr>
        <w:top w:val="none" w:sz="0" w:space="0" w:color="auto"/>
        <w:left w:val="none" w:sz="0" w:space="0" w:color="auto"/>
        <w:bottom w:val="none" w:sz="0" w:space="0" w:color="auto"/>
        <w:right w:val="none" w:sz="0" w:space="0" w:color="auto"/>
      </w:divBdr>
    </w:div>
    <w:div w:id="216278746">
      <w:bodyDiv w:val="1"/>
      <w:marLeft w:val="0"/>
      <w:marRight w:val="0"/>
      <w:marTop w:val="0"/>
      <w:marBottom w:val="0"/>
      <w:divBdr>
        <w:top w:val="none" w:sz="0" w:space="0" w:color="auto"/>
        <w:left w:val="none" w:sz="0" w:space="0" w:color="auto"/>
        <w:bottom w:val="none" w:sz="0" w:space="0" w:color="auto"/>
        <w:right w:val="none" w:sz="0" w:space="0" w:color="auto"/>
      </w:divBdr>
    </w:div>
    <w:div w:id="226765388">
      <w:bodyDiv w:val="1"/>
      <w:marLeft w:val="0"/>
      <w:marRight w:val="0"/>
      <w:marTop w:val="0"/>
      <w:marBottom w:val="0"/>
      <w:divBdr>
        <w:top w:val="none" w:sz="0" w:space="0" w:color="auto"/>
        <w:left w:val="none" w:sz="0" w:space="0" w:color="auto"/>
        <w:bottom w:val="none" w:sz="0" w:space="0" w:color="auto"/>
        <w:right w:val="none" w:sz="0" w:space="0" w:color="auto"/>
      </w:divBdr>
    </w:div>
    <w:div w:id="230119978">
      <w:bodyDiv w:val="1"/>
      <w:marLeft w:val="0"/>
      <w:marRight w:val="0"/>
      <w:marTop w:val="0"/>
      <w:marBottom w:val="0"/>
      <w:divBdr>
        <w:top w:val="none" w:sz="0" w:space="0" w:color="auto"/>
        <w:left w:val="none" w:sz="0" w:space="0" w:color="auto"/>
        <w:bottom w:val="none" w:sz="0" w:space="0" w:color="auto"/>
        <w:right w:val="none" w:sz="0" w:space="0" w:color="auto"/>
      </w:divBdr>
    </w:div>
    <w:div w:id="312834898">
      <w:bodyDiv w:val="1"/>
      <w:marLeft w:val="0"/>
      <w:marRight w:val="0"/>
      <w:marTop w:val="0"/>
      <w:marBottom w:val="0"/>
      <w:divBdr>
        <w:top w:val="none" w:sz="0" w:space="0" w:color="auto"/>
        <w:left w:val="none" w:sz="0" w:space="0" w:color="auto"/>
        <w:bottom w:val="none" w:sz="0" w:space="0" w:color="auto"/>
        <w:right w:val="none" w:sz="0" w:space="0" w:color="auto"/>
      </w:divBdr>
    </w:div>
    <w:div w:id="332994480">
      <w:bodyDiv w:val="1"/>
      <w:marLeft w:val="0"/>
      <w:marRight w:val="0"/>
      <w:marTop w:val="0"/>
      <w:marBottom w:val="0"/>
      <w:divBdr>
        <w:top w:val="none" w:sz="0" w:space="0" w:color="auto"/>
        <w:left w:val="none" w:sz="0" w:space="0" w:color="auto"/>
        <w:bottom w:val="none" w:sz="0" w:space="0" w:color="auto"/>
        <w:right w:val="none" w:sz="0" w:space="0" w:color="auto"/>
      </w:divBdr>
    </w:div>
    <w:div w:id="397172431">
      <w:bodyDiv w:val="1"/>
      <w:marLeft w:val="0"/>
      <w:marRight w:val="0"/>
      <w:marTop w:val="0"/>
      <w:marBottom w:val="0"/>
      <w:divBdr>
        <w:top w:val="none" w:sz="0" w:space="0" w:color="auto"/>
        <w:left w:val="none" w:sz="0" w:space="0" w:color="auto"/>
        <w:bottom w:val="none" w:sz="0" w:space="0" w:color="auto"/>
        <w:right w:val="none" w:sz="0" w:space="0" w:color="auto"/>
      </w:divBdr>
    </w:div>
    <w:div w:id="484786591">
      <w:bodyDiv w:val="1"/>
      <w:marLeft w:val="0"/>
      <w:marRight w:val="0"/>
      <w:marTop w:val="0"/>
      <w:marBottom w:val="0"/>
      <w:divBdr>
        <w:top w:val="none" w:sz="0" w:space="0" w:color="auto"/>
        <w:left w:val="none" w:sz="0" w:space="0" w:color="auto"/>
        <w:bottom w:val="none" w:sz="0" w:space="0" w:color="auto"/>
        <w:right w:val="none" w:sz="0" w:space="0" w:color="auto"/>
      </w:divBdr>
    </w:div>
    <w:div w:id="570235698">
      <w:bodyDiv w:val="1"/>
      <w:marLeft w:val="0"/>
      <w:marRight w:val="0"/>
      <w:marTop w:val="0"/>
      <w:marBottom w:val="0"/>
      <w:divBdr>
        <w:top w:val="none" w:sz="0" w:space="0" w:color="auto"/>
        <w:left w:val="none" w:sz="0" w:space="0" w:color="auto"/>
        <w:bottom w:val="none" w:sz="0" w:space="0" w:color="auto"/>
        <w:right w:val="none" w:sz="0" w:space="0" w:color="auto"/>
      </w:divBdr>
    </w:div>
    <w:div w:id="622266931">
      <w:bodyDiv w:val="1"/>
      <w:marLeft w:val="0"/>
      <w:marRight w:val="0"/>
      <w:marTop w:val="0"/>
      <w:marBottom w:val="0"/>
      <w:divBdr>
        <w:top w:val="none" w:sz="0" w:space="0" w:color="auto"/>
        <w:left w:val="none" w:sz="0" w:space="0" w:color="auto"/>
        <w:bottom w:val="none" w:sz="0" w:space="0" w:color="auto"/>
        <w:right w:val="none" w:sz="0" w:space="0" w:color="auto"/>
      </w:divBdr>
    </w:div>
    <w:div w:id="646326384">
      <w:bodyDiv w:val="1"/>
      <w:marLeft w:val="0"/>
      <w:marRight w:val="0"/>
      <w:marTop w:val="0"/>
      <w:marBottom w:val="0"/>
      <w:divBdr>
        <w:top w:val="none" w:sz="0" w:space="0" w:color="auto"/>
        <w:left w:val="none" w:sz="0" w:space="0" w:color="auto"/>
        <w:bottom w:val="none" w:sz="0" w:space="0" w:color="auto"/>
        <w:right w:val="none" w:sz="0" w:space="0" w:color="auto"/>
      </w:divBdr>
    </w:div>
    <w:div w:id="676229291">
      <w:bodyDiv w:val="1"/>
      <w:marLeft w:val="0"/>
      <w:marRight w:val="0"/>
      <w:marTop w:val="0"/>
      <w:marBottom w:val="0"/>
      <w:divBdr>
        <w:top w:val="none" w:sz="0" w:space="0" w:color="auto"/>
        <w:left w:val="none" w:sz="0" w:space="0" w:color="auto"/>
        <w:bottom w:val="none" w:sz="0" w:space="0" w:color="auto"/>
        <w:right w:val="none" w:sz="0" w:space="0" w:color="auto"/>
      </w:divBdr>
    </w:div>
    <w:div w:id="713818356">
      <w:bodyDiv w:val="1"/>
      <w:marLeft w:val="0"/>
      <w:marRight w:val="0"/>
      <w:marTop w:val="0"/>
      <w:marBottom w:val="0"/>
      <w:divBdr>
        <w:top w:val="none" w:sz="0" w:space="0" w:color="auto"/>
        <w:left w:val="none" w:sz="0" w:space="0" w:color="auto"/>
        <w:bottom w:val="none" w:sz="0" w:space="0" w:color="auto"/>
        <w:right w:val="none" w:sz="0" w:space="0" w:color="auto"/>
      </w:divBdr>
    </w:div>
    <w:div w:id="772745175">
      <w:bodyDiv w:val="1"/>
      <w:marLeft w:val="0"/>
      <w:marRight w:val="0"/>
      <w:marTop w:val="0"/>
      <w:marBottom w:val="0"/>
      <w:divBdr>
        <w:top w:val="none" w:sz="0" w:space="0" w:color="auto"/>
        <w:left w:val="none" w:sz="0" w:space="0" w:color="auto"/>
        <w:bottom w:val="none" w:sz="0" w:space="0" w:color="auto"/>
        <w:right w:val="none" w:sz="0" w:space="0" w:color="auto"/>
      </w:divBdr>
    </w:div>
    <w:div w:id="792360114">
      <w:bodyDiv w:val="1"/>
      <w:marLeft w:val="0"/>
      <w:marRight w:val="0"/>
      <w:marTop w:val="0"/>
      <w:marBottom w:val="0"/>
      <w:divBdr>
        <w:top w:val="none" w:sz="0" w:space="0" w:color="auto"/>
        <w:left w:val="none" w:sz="0" w:space="0" w:color="auto"/>
        <w:bottom w:val="none" w:sz="0" w:space="0" w:color="auto"/>
        <w:right w:val="none" w:sz="0" w:space="0" w:color="auto"/>
      </w:divBdr>
    </w:div>
    <w:div w:id="816142492">
      <w:bodyDiv w:val="1"/>
      <w:marLeft w:val="0"/>
      <w:marRight w:val="0"/>
      <w:marTop w:val="0"/>
      <w:marBottom w:val="0"/>
      <w:divBdr>
        <w:top w:val="none" w:sz="0" w:space="0" w:color="auto"/>
        <w:left w:val="none" w:sz="0" w:space="0" w:color="auto"/>
        <w:bottom w:val="none" w:sz="0" w:space="0" w:color="auto"/>
        <w:right w:val="none" w:sz="0" w:space="0" w:color="auto"/>
      </w:divBdr>
    </w:div>
    <w:div w:id="866797903">
      <w:bodyDiv w:val="1"/>
      <w:marLeft w:val="0"/>
      <w:marRight w:val="0"/>
      <w:marTop w:val="0"/>
      <w:marBottom w:val="0"/>
      <w:divBdr>
        <w:top w:val="none" w:sz="0" w:space="0" w:color="auto"/>
        <w:left w:val="none" w:sz="0" w:space="0" w:color="auto"/>
        <w:bottom w:val="none" w:sz="0" w:space="0" w:color="auto"/>
        <w:right w:val="none" w:sz="0" w:space="0" w:color="auto"/>
      </w:divBdr>
    </w:div>
    <w:div w:id="901525006">
      <w:bodyDiv w:val="1"/>
      <w:marLeft w:val="0"/>
      <w:marRight w:val="0"/>
      <w:marTop w:val="0"/>
      <w:marBottom w:val="0"/>
      <w:divBdr>
        <w:top w:val="none" w:sz="0" w:space="0" w:color="auto"/>
        <w:left w:val="none" w:sz="0" w:space="0" w:color="auto"/>
        <w:bottom w:val="none" w:sz="0" w:space="0" w:color="auto"/>
        <w:right w:val="none" w:sz="0" w:space="0" w:color="auto"/>
      </w:divBdr>
    </w:div>
    <w:div w:id="962422037">
      <w:bodyDiv w:val="1"/>
      <w:marLeft w:val="0"/>
      <w:marRight w:val="0"/>
      <w:marTop w:val="0"/>
      <w:marBottom w:val="0"/>
      <w:divBdr>
        <w:top w:val="none" w:sz="0" w:space="0" w:color="auto"/>
        <w:left w:val="none" w:sz="0" w:space="0" w:color="auto"/>
        <w:bottom w:val="none" w:sz="0" w:space="0" w:color="auto"/>
        <w:right w:val="none" w:sz="0" w:space="0" w:color="auto"/>
      </w:divBdr>
    </w:div>
    <w:div w:id="1012338189">
      <w:bodyDiv w:val="1"/>
      <w:marLeft w:val="0"/>
      <w:marRight w:val="0"/>
      <w:marTop w:val="0"/>
      <w:marBottom w:val="0"/>
      <w:divBdr>
        <w:top w:val="none" w:sz="0" w:space="0" w:color="auto"/>
        <w:left w:val="none" w:sz="0" w:space="0" w:color="auto"/>
        <w:bottom w:val="none" w:sz="0" w:space="0" w:color="auto"/>
        <w:right w:val="none" w:sz="0" w:space="0" w:color="auto"/>
      </w:divBdr>
    </w:div>
    <w:div w:id="1067461374">
      <w:bodyDiv w:val="1"/>
      <w:marLeft w:val="0"/>
      <w:marRight w:val="0"/>
      <w:marTop w:val="0"/>
      <w:marBottom w:val="0"/>
      <w:divBdr>
        <w:top w:val="none" w:sz="0" w:space="0" w:color="auto"/>
        <w:left w:val="none" w:sz="0" w:space="0" w:color="auto"/>
        <w:bottom w:val="none" w:sz="0" w:space="0" w:color="auto"/>
        <w:right w:val="none" w:sz="0" w:space="0" w:color="auto"/>
      </w:divBdr>
    </w:div>
    <w:div w:id="1143429635">
      <w:bodyDiv w:val="1"/>
      <w:marLeft w:val="0"/>
      <w:marRight w:val="0"/>
      <w:marTop w:val="0"/>
      <w:marBottom w:val="0"/>
      <w:divBdr>
        <w:top w:val="none" w:sz="0" w:space="0" w:color="auto"/>
        <w:left w:val="none" w:sz="0" w:space="0" w:color="auto"/>
        <w:bottom w:val="none" w:sz="0" w:space="0" w:color="auto"/>
        <w:right w:val="none" w:sz="0" w:space="0" w:color="auto"/>
      </w:divBdr>
    </w:div>
    <w:div w:id="1205873151">
      <w:bodyDiv w:val="1"/>
      <w:marLeft w:val="0"/>
      <w:marRight w:val="0"/>
      <w:marTop w:val="0"/>
      <w:marBottom w:val="0"/>
      <w:divBdr>
        <w:top w:val="none" w:sz="0" w:space="0" w:color="auto"/>
        <w:left w:val="none" w:sz="0" w:space="0" w:color="auto"/>
        <w:bottom w:val="none" w:sz="0" w:space="0" w:color="auto"/>
        <w:right w:val="none" w:sz="0" w:space="0" w:color="auto"/>
      </w:divBdr>
    </w:div>
    <w:div w:id="1214393367">
      <w:bodyDiv w:val="1"/>
      <w:marLeft w:val="0"/>
      <w:marRight w:val="0"/>
      <w:marTop w:val="0"/>
      <w:marBottom w:val="0"/>
      <w:divBdr>
        <w:top w:val="none" w:sz="0" w:space="0" w:color="auto"/>
        <w:left w:val="none" w:sz="0" w:space="0" w:color="auto"/>
        <w:bottom w:val="none" w:sz="0" w:space="0" w:color="auto"/>
        <w:right w:val="none" w:sz="0" w:space="0" w:color="auto"/>
      </w:divBdr>
    </w:div>
    <w:div w:id="1243760242">
      <w:bodyDiv w:val="1"/>
      <w:marLeft w:val="0"/>
      <w:marRight w:val="0"/>
      <w:marTop w:val="0"/>
      <w:marBottom w:val="0"/>
      <w:divBdr>
        <w:top w:val="none" w:sz="0" w:space="0" w:color="auto"/>
        <w:left w:val="none" w:sz="0" w:space="0" w:color="auto"/>
        <w:bottom w:val="none" w:sz="0" w:space="0" w:color="auto"/>
        <w:right w:val="none" w:sz="0" w:space="0" w:color="auto"/>
      </w:divBdr>
    </w:div>
    <w:div w:id="1267732216">
      <w:bodyDiv w:val="1"/>
      <w:marLeft w:val="0"/>
      <w:marRight w:val="0"/>
      <w:marTop w:val="0"/>
      <w:marBottom w:val="0"/>
      <w:divBdr>
        <w:top w:val="none" w:sz="0" w:space="0" w:color="auto"/>
        <w:left w:val="none" w:sz="0" w:space="0" w:color="auto"/>
        <w:bottom w:val="none" w:sz="0" w:space="0" w:color="auto"/>
        <w:right w:val="none" w:sz="0" w:space="0" w:color="auto"/>
      </w:divBdr>
    </w:div>
    <w:div w:id="1270701472">
      <w:bodyDiv w:val="1"/>
      <w:marLeft w:val="0"/>
      <w:marRight w:val="0"/>
      <w:marTop w:val="0"/>
      <w:marBottom w:val="0"/>
      <w:divBdr>
        <w:top w:val="none" w:sz="0" w:space="0" w:color="auto"/>
        <w:left w:val="none" w:sz="0" w:space="0" w:color="auto"/>
        <w:bottom w:val="none" w:sz="0" w:space="0" w:color="auto"/>
        <w:right w:val="none" w:sz="0" w:space="0" w:color="auto"/>
      </w:divBdr>
    </w:div>
    <w:div w:id="1302465265">
      <w:bodyDiv w:val="1"/>
      <w:marLeft w:val="0"/>
      <w:marRight w:val="0"/>
      <w:marTop w:val="0"/>
      <w:marBottom w:val="0"/>
      <w:divBdr>
        <w:top w:val="none" w:sz="0" w:space="0" w:color="auto"/>
        <w:left w:val="none" w:sz="0" w:space="0" w:color="auto"/>
        <w:bottom w:val="none" w:sz="0" w:space="0" w:color="auto"/>
        <w:right w:val="none" w:sz="0" w:space="0" w:color="auto"/>
      </w:divBdr>
    </w:div>
    <w:div w:id="1346785384">
      <w:bodyDiv w:val="1"/>
      <w:marLeft w:val="0"/>
      <w:marRight w:val="0"/>
      <w:marTop w:val="0"/>
      <w:marBottom w:val="0"/>
      <w:divBdr>
        <w:top w:val="none" w:sz="0" w:space="0" w:color="auto"/>
        <w:left w:val="none" w:sz="0" w:space="0" w:color="auto"/>
        <w:bottom w:val="none" w:sz="0" w:space="0" w:color="auto"/>
        <w:right w:val="none" w:sz="0" w:space="0" w:color="auto"/>
      </w:divBdr>
    </w:div>
    <w:div w:id="1382099616">
      <w:bodyDiv w:val="1"/>
      <w:marLeft w:val="0"/>
      <w:marRight w:val="0"/>
      <w:marTop w:val="0"/>
      <w:marBottom w:val="0"/>
      <w:divBdr>
        <w:top w:val="none" w:sz="0" w:space="0" w:color="auto"/>
        <w:left w:val="none" w:sz="0" w:space="0" w:color="auto"/>
        <w:bottom w:val="none" w:sz="0" w:space="0" w:color="auto"/>
        <w:right w:val="none" w:sz="0" w:space="0" w:color="auto"/>
      </w:divBdr>
    </w:div>
    <w:div w:id="1458138386">
      <w:bodyDiv w:val="1"/>
      <w:marLeft w:val="0"/>
      <w:marRight w:val="0"/>
      <w:marTop w:val="0"/>
      <w:marBottom w:val="0"/>
      <w:divBdr>
        <w:top w:val="none" w:sz="0" w:space="0" w:color="auto"/>
        <w:left w:val="none" w:sz="0" w:space="0" w:color="auto"/>
        <w:bottom w:val="none" w:sz="0" w:space="0" w:color="auto"/>
        <w:right w:val="none" w:sz="0" w:space="0" w:color="auto"/>
      </w:divBdr>
    </w:div>
    <w:div w:id="1501970383">
      <w:bodyDiv w:val="1"/>
      <w:marLeft w:val="0"/>
      <w:marRight w:val="0"/>
      <w:marTop w:val="0"/>
      <w:marBottom w:val="0"/>
      <w:divBdr>
        <w:top w:val="none" w:sz="0" w:space="0" w:color="auto"/>
        <w:left w:val="none" w:sz="0" w:space="0" w:color="auto"/>
        <w:bottom w:val="none" w:sz="0" w:space="0" w:color="auto"/>
        <w:right w:val="none" w:sz="0" w:space="0" w:color="auto"/>
      </w:divBdr>
    </w:div>
    <w:div w:id="1509252373">
      <w:bodyDiv w:val="1"/>
      <w:marLeft w:val="0"/>
      <w:marRight w:val="0"/>
      <w:marTop w:val="0"/>
      <w:marBottom w:val="0"/>
      <w:divBdr>
        <w:top w:val="none" w:sz="0" w:space="0" w:color="auto"/>
        <w:left w:val="none" w:sz="0" w:space="0" w:color="auto"/>
        <w:bottom w:val="none" w:sz="0" w:space="0" w:color="auto"/>
        <w:right w:val="none" w:sz="0" w:space="0" w:color="auto"/>
      </w:divBdr>
    </w:div>
    <w:div w:id="1590187804">
      <w:bodyDiv w:val="1"/>
      <w:marLeft w:val="0"/>
      <w:marRight w:val="0"/>
      <w:marTop w:val="0"/>
      <w:marBottom w:val="0"/>
      <w:divBdr>
        <w:top w:val="none" w:sz="0" w:space="0" w:color="auto"/>
        <w:left w:val="none" w:sz="0" w:space="0" w:color="auto"/>
        <w:bottom w:val="none" w:sz="0" w:space="0" w:color="auto"/>
        <w:right w:val="none" w:sz="0" w:space="0" w:color="auto"/>
      </w:divBdr>
    </w:div>
    <w:div w:id="1722553970">
      <w:bodyDiv w:val="1"/>
      <w:marLeft w:val="0"/>
      <w:marRight w:val="0"/>
      <w:marTop w:val="0"/>
      <w:marBottom w:val="0"/>
      <w:divBdr>
        <w:top w:val="none" w:sz="0" w:space="0" w:color="auto"/>
        <w:left w:val="none" w:sz="0" w:space="0" w:color="auto"/>
        <w:bottom w:val="none" w:sz="0" w:space="0" w:color="auto"/>
        <w:right w:val="none" w:sz="0" w:space="0" w:color="auto"/>
      </w:divBdr>
    </w:div>
    <w:div w:id="1784955047">
      <w:bodyDiv w:val="1"/>
      <w:marLeft w:val="0"/>
      <w:marRight w:val="0"/>
      <w:marTop w:val="0"/>
      <w:marBottom w:val="0"/>
      <w:divBdr>
        <w:top w:val="none" w:sz="0" w:space="0" w:color="auto"/>
        <w:left w:val="none" w:sz="0" w:space="0" w:color="auto"/>
        <w:bottom w:val="none" w:sz="0" w:space="0" w:color="auto"/>
        <w:right w:val="none" w:sz="0" w:space="0" w:color="auto"/>
      </w:divBdr>
    </w:div>
    <w:div w:id="1815104038">
      <w:bodyDiv w:val="1"/>
      <w:marLeft w:val="0"/>
      <w:marRight w:val="0"/>
      <w:marTop w:val="0"/>
      <w:marBottom w:val="0"/>
      <w:divBdr>
        <w:top w:val="none" w:sz="0" w:space="0" w:color="auto"/>
        <w:left w:val="none" w:sz="0" w:space="0" w:color="auto"/>
        <w:bottom w:val="none" w:sz="0" w:space="0" w:color="auto"/>
        <w:right w:val="none" w:sz="0" w:space="0" w:color="auto"/>
      </w:divBdr>
    </w:div>
    <w:div w:id="1838959426">
      <w:bodyDiv w:val="1"/>
      <w:marLeft w:val="0"/>
      <w:marRight w:val="0"/>
      <w:marTop w:val="0"/>
      <w:marBottom w:val="0"/>
      <w:divBdr>
        <w:top w:val="none" w:sz="0" w:space="0" w:color="auto"/>
        <w:left w:val="none" w:sz="0" w:space="0" w:color="auto"/>
        <w:bottom w:val="none" w:sz="0" w:space="0" w:color="auto"/>
        <w:right w:val="none" w:sz="0" w:space="0" w:color="auto"/>
      </w:divBdr>
    </w:div>
    <w:div w:id="1854538562">
      <w:bodyDiv w:val="1"/>
      <w:marLeft w:val="0"/>
      <w:marRight w:val="0"/>
      <w:marTop w:val="0"/>
      <w:marBottom w:val="0"/>
      <w:divBdr>
        <w:top w:val="none" w:sz="0" w:space="0" w:color="auto"/>
        <w:left w:val="none" w:sz="0" w:space="0" w:color="auto"/>
        <w:bottom w:val="none" w:sz="0" w:space="0" w:color="auto"/>
        <w:right w:val="none" w:sz="0" w:space="0" w:color="auto"/>
      </w:divBdr>
    </w:div>
    <w:div w:id="1864705390">
      <w:bodyDiv w:val="1"/>
      <w:marLeft w:val="0"/>
      <w:marRight w:val="0"/>
      <w:marTop w:val="0"/>
      <w:marBottom w:val="0"/>
      <w:divBdr>
        <w:top w:val="none" w:sz="0" w:space="0" w:color="auto"/>
        <w:left w:val="none" w:sz="0" w:space="0" w:color="auto"/>
        <w:bottom w:val="none" w:sz="0" w:space="0" w:color="auto"/>
        <w:right w:val="none" w:sz="0" w:space="0" w:color="auto"/>
      </w:divBdr>
    </w:div>
    <w:div w:id="1881017569">
      <w:bodyDiv w:val="1"/>
      <w:marLeft w:val="0"/>
      <w:marRight w:val="0"/>
      <w:marTop w:val="0"/>
      <w:marBottom w:val="0"/>
      <w:divBdr>
        <w:top w:val="none" w:sz="0" w:space="0" w:color="auto"/>
        <w:left w:val="none" w:sz="0" w:space="0" w:color="auto"/>
        <w:bottom w:val="none" w:sz="0" w:space="0" w:color="auto"/>
        <w:right w:val="none" w:sz="0" w:space="0" w:color="auto"/>
      </w:divBdr>
    </w:div>
    <w:div w:id="2063550699">
      <w:bodyDiv w:val="1"/>
      <w:marLeft w:val="0"/>
      <w:marRight w:val="0"/>
      <w:marTop w:val="0"/>
      <w:marBottom w:val="0"/>
      <w:divBdr>
        <w:top w:val="none" w:sz="0" w:space="0" w:color="auto"/>
        <w:left w:val="none" w:sz="0" w:space="0" w:color="auto"/>
        <w:bottom w:val="none" w:sz="0" w:space="0" w:color="auto"/>
        <w:right w:val="none" w:sz="0" w:space="0" w:color="auto"/>
      </w:divBdr>
    </w:div>
    <w:div w:id="212993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CA215-7B40-42AA-8B6E-DCB60089B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10</Pages>
  <Words>2676</Words>
  <Characters>19161</Characters>
  <Application>Microsoft Office Word</Application>
  <DocSecurity>0</DocSecurity>
  <Lines>2129</Lines>
  <Paragraphs>1819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32</cp:revision>
  <cp:lastPrinted>2017-09-04T17:00:00Z</cp:lastPrinted>
  <dcterms:created xsi:type="dcterms:W3CDTF">2017-10-17T12:14:00Z</dcterms:created>
  <dcterms:modified xsi:type="dcterms:W3CDTF">2018-10-09T08:26:00Z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