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53E6244-6893-44FB-8A5C-B08D921DBB36" style="width:450.75pt;height:447.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u w:val="single"/>
        </w:rPr>
      </w:pPr>
      <w:bookmarkStart w:id="1" w:name="_GoBack"/>
      <w:bookmarkEnd w:id="1"/>
      <w:r>
        <w:rPr>
          <w:rFonts w:ascii="Times New Roman" w:hAnsi="Times New Roman"/>
          <w:b/>
          <w:noProof/>
          <w:u w:val="single"/>
        </w:rPr>
        <w:lastRenderedPageBreak/>
        <w:t>ПРИЛОЖЕНИЕ</w:t>
      </w:r>
    </w:p>
    <w:p>
      <w:pPr>
        <w:pStyle w:val="Pa35"/>
        <w:rPr>
          <w:rFonts w:ascii="Times New Roman" w:hAnsi="Times New Roman" w:cs="Times New Roman"/>
          <w:noProof/>
          <w:color w:val="000000"/>
          <w:sz w:val="23"/>
          <w:szCs w:val="23"/>
        </w:rPr>
      </w:pPr>
      <w:r>
        <w:rPr>
          <w:rStyle w:val="A13"/>
          <w:rFonts w:ascii="Times New Roman" w:hAnsi="Times New Roman"/>
          <w:noProof/>
          <w:sz w:val="23"/>
        </w:rPr>
        <w:t>ИЗПЪЛНЕНИЕ НА ЗАКОНОДАТЕЛНИТЕ ПРИОРИТЕТИ</w:t>
      </w:r>
      <w:r>
        <w:rPr>
          <w:rStyle w:val="A13"/>
          <w:rFonts w:ascii="Times New Roman" w:hAnsi="Times New Roman" w:cs="Times New Roman"/>
          <w:noProof/>
          <w:sz w:val="23"/>
          <w:szCs w:val="23"/>
        </w:rPr>
        <w:br/>
      </w:r>
    </w:p>
    <w:tbl>
      <w:tblPr>
        <w:tblStyle w:val="TableGrid"/>
        <w:tblW w:w="11326" w:type="dxa"/>
        <w:tblInd w:w="250" w:type="dxa"/>
        <w:tblLook w:val="04A0" w:firstRow="1" w:lastRow="0" w:firstColumn="1" w:lastColumn="0" w:noHBand="0" w:noVBand="1"/>
      </w:tblPr>
      <w:tblGrid>
        <w:gridCol w:w="392"/>
        <w:gridCol w:w="10934"/>
      </w:tblGrid>
      <w:tr>
        <w:tc>
          <w:tcPr>
            <w:tcW w:w="392" w:type="dxa"/>
            <w:tcBorders>
              <w:right w:val="single" w:sz="4" w:space="0" w:color="auto"/>
            </w:tcBorders>
            <w:shd w:val="clear" w:color="auto" w:fill="00B05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Представени са предложения и е постигнато споразумение</w:t>
            </w:r>
          </w:p>
        </w:tc>
      </w:tr>
      <w:tr>
        <w:tc>
          <w:tcPr>
            <w:tcW w:w="392" w:type="dxa"/>
            <w:tcBorders>
              <w:right w:val="single" w:sz="4" w:space="0" w:color="auto"/>
            </w:tcBorders>
            <w:shd w:val="clear" w:color="auto" w:fill="FFFF0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Възможно е бързо постигане на споразумение, като се следват обичайните процедури</w:t>
            </w:r>
          </w:p>
        </w:tc>
      </w:tr>
      <w:tr>
        <w:tc>
          <w:tcPr>
            <w:tcW w:w="392" w:type="dxa"/>
            <w:tcBorders>
              <w:right w:val="single" w:sz="4" w:space="0" w:color="auto"/>
            </w:tcBorders>
            <w:shd w:val="clear" w:color="auto" w:fill="F79646" w:themeFill="accent6"/>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Възможно е постигане на споразумение при наличие на твърд политически ангажимент от страна на всички институции на ЕС</w:t>
            </w:r>
          </w:p>
        </w:tc>
      </w:tr>
    </w:tbl>
    <w:p>
      <w:pPr>
        <w:pStyle w:val="Pa35"/>
        <w:rPr>
          <w:rStyle w:val="A13"/>
          <w:rFonts w:ascii="Times New Roman" w:hAnsi="Times New Roman" w:cs="Times New Roman"/>
          <w:noProof/>
          <w:sz w:val="18"/>
          <w:szCs w:val="23"/>
        </w:rPr>
      </w:pPr>
    </w:p>
    <w:p>
      <w:pPr>
        <w:pStyle w:val="Pa35"/>
        <w:rPr>
          <w:rStyle w:val="A13"/>
          <w:rFonts w:ascii="Times New Roman" w:hAnsi="Times New Roman" w:cs="Times New Roman"/>
          <w:noProof/>
          <w:sz w:val="23"/>
          <w:szCs w:val="23"/>
        </w:rPr>
      </w:pPr>
      <w:r>
        <w:rPr>
          <w:rStyle w:val="A13"/>
          <w:rFonts w:ascii="Times New Roman" w:hAnsi="Times New Roman"/>
          <w:noProof/>
          <w:sz w:val="23"/>
        </w:rPr>
        <w:t>I) Инициативи в рамките на Речта за състоянието на Съюза през 2018 г.</w:t>
      </w:r>
      <w:r>
        <w:rPr>
          <w:rStyle w:val="FootnoteReference"/>
          <w:rFonts w:ascii="Times New Roman" w:hAnsi="Times New Roman"/>
          <w:b/>
          <w:noProof/>
          <w:color w:val="000000"/>
          <w:sz w:val="23"/>
        </w:rPr>
        <w:footnoteReference w:id="1"/>
      </w:r>
    </w:p>
    <w:p>
      <w:pPr>
        <w:rPr>
          <w:rFonts w:ascii="Times New Roman" w:hAnsi="Times New Roman" w:cs="Times New Roman"/>
          <w:noProof/>
          <w:sz w:val="18"/>
        </w:rPr>
      </w:pPr>
    </w:p>
    <w:tbl>
      <w:tblPr>
        <w:tblStyle w:val="TableGrid"/>
        <w:tblW w:w="0" w:type="auto"/>
        <w:jc w:val="center"/>
        <w:tblLook w:val="04A0" w:firstRow="1" w:lastRow="0" w:firstColumn="1" w:lastColumn="0" w:noHBand="0" w:noVBand="1"/>
      </w:tblPr>
      <w:tblGrid>
        <w:gridCol w:w="3085"/>
        <w:gridCol w:w="2521"/>
        <w:gridCol w:w="1400"/>
        <w:gridCol w:w="1417"/>
        <w:gridCol w:w="153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306"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276"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100"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pacing w:val="-4"/>
                <w:sz w:val="20"/>
              </w:rPr>
              <w:t>Предотвратяване на разпространението на терористично съдържание онлайн</w:t>
            </w:r>
            <w:r>
              <w:rPr>
                <w:rStyle w:val="FootnoteReference"/>
                <w:rFonts w:ascii="Times New Roman" w:hAnsi="Times New Roman"/>
                <w:noProof/>
                <w:sz w:val="20"/>
              </w:rPr>
              <w:footnoteReference w:id="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Разширяване на компетентността на Европейската прокуратура с цел включване в нея на борбата срещу трансграничните терористични престъпления</w:t>
            </w:r>
            <w:r>
              <w:rPr>
                <w:rStyle w:val="FootnoteReference"/>
                <w:rFonts w:ascii="Times New Roman" w:hAnsi="Times New Roman"/>
                <w:noProof/>
                <w:sz w:val="20"/>
              </w:rPr>
              <w:footnoteReference w:id="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pacing w:val="-4"/>
                <w:sz w:val="20"/>
              </w:rPr>
              <w:t>Целево изменение в Регламента относно финансирането на политическите партии по отношение на процедура за проверка, свързана с нарушения на правилата за защита на личните данни в контекста на изборите за Европейски парламент</w:t>
            </w:r>
            <w:r>
              <w:rPr>
                <w:rStyle w:val="FootnoteReference"/>
                <w:rFonts w:ascii="Times New Roman" w:hAnsi="Times New Roman"/>
                <w:noProof/>
                <w:sz w:val="20"/>
              </w:rPr>
              <w:footnoteReference w:id="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капацитета на Европейската агенция за гранична и брегова охрана</w:t>
            </w:r>
            <w:r>
              <w:rPr>
                <w:rStyle w:val="FootnoteReference"/>
                <w:rFonts w:ascii="Times New Roman" w:hAnsi="Times New Roman"/>
                <w:noProof/>
                <w:sz w:val="20"/>
              </w:rPr>
              <w:footnoteReference w:id="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Европейски център за промишлени, технологични и изследователски експертни познания в областта на киберсигурността</w:t>
            </w:r>
            <w:r>
              <w:rPr>
                <w:rStyle w:val="FootnoteReference"/>
                <w:rFonts w:ascii="Times New Roman" w:hAnsi="Times New Roman"/>
                <w:noProof/>
                <w:sz w:val="20"/>
              </w:rPr>
              <w:footnoteReference w:id="6"/>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Засилване на ролята на Европейския банков орган за надзора върху борбата с изпирането на пари</w:t>
            </w:r>
            <w:r>
              <w:rPr>
                <w:rStyle w:val="FootnoteReference"/>
                <w:rFonts w:ascii="Times New Roman" w:hAnsi="Times New Roman"/>
                <w:noProof/>
                <w:sz w:val="20"/>
              </w:rPr>
              <w:footnoteReference w:id="7"/>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06"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00" w:type="dxa"/>
            <w:shd w:val="clear" w:color="auto" w:fill="F79646" w:themeFill="accent6"/>
            <w:vAlign w:val="center"/>
          </w:tcPr>
          <w:p>
            <w:pPr>
              <w:spacing w:before="180" w:after="180"/>
              <w:rPr>
                <w:rFonts w:ascii="Times New Roman" w:hAnsi="Times New Roman" w:cs="Times New Roman"/>
                <w:noProof/>
                <w:sz w:val="20"/>
                <w:szCs w:val="20"/>
              </w:rPr>
            </w:pPr>
          </w:p>
        </w:tc>
      </w:tr>
    </w:tbl>
    <w:p>
      <w:pPr>
        <w:pStyle w:val="Pa35"/>
        <w:rPr>
          <w:rStyle w:val="A13"/>
          <w:rFonts w:ascii="Times New Roman" w:hAnsi="Times New Roman" w:cs="Times New Roman"/>
          <w:noProof/>
          <w:color w:val="auto"/>
          <w:sz w:val="18"/>
          <w:szCs w:val="18"/>
        </w:rPr>
      </w:pPr>
    </w:p>
    <w:p>
      <w:pPr>
        <w:pStyle w:val="Pa35"/>
        <w:rPr>
          <w:rFonts w:ascii="Times New Roman" w:hAnsi="Times New Roman" w:cs="Times New Roman"/>
          <w:noProof/>
          <w:sz w:val="16"/>
          <w:szCs w:val="16"/>
        </w:rPr>
      </w:pPr>
      <w:r>
        <w:rPr>
          <w:rStyle w:val="A13"/>
          <w:rFonts w:ascii="Times New Roman" w:hAnsi="Times New Roman"/>
          <w:noProof/>
          <w:color w:val="auto"/>
          <w:sz w:val="23"/>
        </w:rPr>
        <w:t>II) Приоритети, договорени в Съвместната декларация</w:t>
      </w:r>
      <w:r>
        <w:rPr>
          <w:rStyle w:val="FootnoteReference"/>
          <w:rFonts w:ascii="Times New Roman" w:hAnsi="Times New Roman"/>
          <w:b/>
          <w:noProof/>
          <w:sz w:val="23"/>
        </w:rPr>
        <w:footnoteReference w:id="8"/>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400"/>
        <w:gridCol w:w="1417"/>
        <w:gridCol w:w="1536"/>
      </w:tblGrid>
      <w:tr>
        <w:trPr>
          <w:tblHeade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400"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417"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536"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pacing w:val="-2"/>
                <w:sz w:val="20"/>
                <w:szCs w:val="20"/>
              </w:rPr>
            </w:pPr>
            <w:r>
              <w:rPr>
                <w:rFonts w:ascii="Times New Roman" w:hAnsi="Times New Roman"/>
                <w:noProof/>
                <w:spacing w:val="-2"/>
                <w:sz w:val="20"/>
              </w:rPr>
              <w:t>Система на ЕС за информация за пътуванията и разрешаването им</w:t>
            </w:r>
            <w:r>
              <w:rPr>
                <w:rStyle w:val="FootnoteReference"/>
                <w:rFonts w:ascii="Times New Roman" w:hAnsi="Times New Roman"/>
                <w:noProof/>
                <w:spacing w:val="-2"/>
                <w:sz w:val="20"/>
              </w:rPr>
              <w:footnoteReference w:id="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ноември 2016 г.; постигнато споразумение между съзаконодателите; официално приемане през есента на 2018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rFonts w:ascii="Times New Roman" w:hAnsi="Times New Roman"/>
                <w:noProof/>
                <w:sz w:val="20"/>
              </w:rPr>
              <w:footnoteReference w:id="1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юни 2017 г.; постигнато споразумение между съзаконодателите; официално приемане през есента на 2018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Шенгенската информационна система</w:t>
            </w:r>
            <w:r>
              <w:rPr>
                <w:rStyle w:val="FootnoteReference"/>
                <w:rFonts w:ascii="Times New Roman" w:hAnsi="Times New Roman"/>
                <w:noProof/>
                <w:sz w:val="20"/>
              </w:rPr>
              <w:footnoteReference w:id="1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декември 2016 г.; постигнато споразумение между съзаконодателите; официално приемане през есента на 2018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Изпиране на пари и финансиране на тероризма</w:t>
            </w:r>
            <w:r>
              <w:rPr>
                <w:rStyle w:val="FootnoteReference"/>
                <w:rFonts w:ascii="Times New Roman" w:hAnsi="Times New Roman"/>
                <w:noProof/>
                <w:sz w:val="20"/>
              </w:rPr>
              <w:footnoteReference w:id="1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юли 2016 г.; официално приемане през май 2018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Система за влизане/излизане</w:t>
            </w:r>
            <w:r>
              <w:rPr>
                <w:rStyle w:val="FootnoteReference"/>
                <w:rFonts w:ascii="Times New Roman" w:hAnsi="Times New Roman"/>
                <w:noProof/>
                <w:sz w:val="20"/>
              </w:rPr>
              <w:footnoteReference w:id="13"/>
            </w:r>
          </w:p>
        </w:tc>
        <w:tc>
          <w:tcPr>
            <w:tcW w:w="2521" w:type="dxa"/>
            <w:vAlign w:val="center"/>
          </w:tcPr>
          <w:p>
            <w:pPr>
              <w:spacing w:before="180" w:after="180"/>
              <w:rPr>
                <w:rFonts w:ascii="Times New Roman" w:hAnsi="Times New Roman" w:cs="Times New Roman"/>
                <w:noProof/>
                <w:spacing w:val="-8"/>
                <w:sz w:val="20"/>
                <w:szCs w:val="20"/>
              </w:rPr>
            </w:pPr>
            <w:r>
              <w:rPr>
                <w:rFonts w:ascii="Times New Roman" w:hAnsi="Times New Roman"/>
                <w:noProof/>
                <w:spacing w:val="-8"/>
                <w:sz w:val="20"/>
              </w:rPr>
              <w:t>Предложение от април 2016 г.; официално приемане през ноември 2017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Контрол на придобиването и притежаването на оръжие</w:t>
            </w:r>
            <w:r>
              <w:rPr>
                <w:rStyle w:val="FootnoteReference"/>
                <w:rFonts w:ascii="Times New Roman" w:hAnsi="Times New Roman"/>
                <w:noProof/>
                <w:sz w:val="20"/>
              </w:rPr>
              <w:footnoteReference w:id="1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ноември 2015 г.; официално приемане през май 2017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pacing w:val="-6"/>
                <w:sz w:val="20"/>
              </w:rPr>
              <w:t>Директива за борбата с тероризма</w:t>
            </w:r>
            <w:r>
              <w:rPr>
                <w:rStyle w:val="FootnoteReference"/>
                <w:rFonts w:ascii="Times New Roman" w:hAnsi="Times New Roman"/>
                <w:noProof/>
                <w:sz w:val="20"/>
              </w:rPr>
              <w:footnoteReference w:id="15"/>
            </w:r>
          </w:p>
        </w:tc>
        <w:tc>
          <w:tcPr>
            <w:tcW w:w="2521" w:type="dxa"/>
            <w:vAlign w:val="center"/>
          </w:tcPr>
          <w:p>
            <w:pPr>
              <w:spacing w:before="180" w:after="180"/>
              <w:rPr>
                <w:rFonts w:ascii="Times New Roman" w:hAnsi="Times New Roman" w:cs="Times New Roman"/>
                <w:noProof/>
                <w:spacing w:val="-6"/>
                <w:sz w:val="20"/>
                <w:szCs w:val="20"/>
              </w:rPr>
            </w:pPr>
            <w:r>
              <w:rPr>
                <w:rFonts w:ascii="Times New Roman" w:hAnsi="Times New Roman"/>
                <w:noProof/>
                <w:spacing w:val="-6"/>
                <w:sz w:val="20"/>
              </w:rPr>
              <w:t>Предложение от декември 2015 г.; официално приемане през март 2017 г.</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00B050"/>
            <w:vAlign w:val="center"/>
          </w:tcPr>
          <w:p>
            <w:pPr>
              <w:spacing w:before="180" w:after="180"/>
              <w:jc w:val="center"/>
              <w:rPr>
                <w:rFonts w:ascii="Times New Roman" w:hAnsi="Times New Roman" w:cs="Times New Roman"/>
                <w:noProof/>
                <w:sz w:val="20"/>
                <w:szCs w:val="20"/>
              </w:rPr>
            </w:pPr>
          </w:p>
        </w:tc>
        <w:tc>
          <w:tcPr>
            <w:tcW w:w="153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bottom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Европейска информационна система за регистрите за съдимост</w:t>
            </w:r>
            <w:r>
              <w:rPr>
                <w:rStyle w:val="FootnoteReference"/>
                <w:rFonts w:ascii="Times New Roman" w:hAnsi="Times New Roman"/>
                <w:noProof/>
                <w:sz w:val="20"/>
              </w:rPr>
              <w:footnoteReference w:id="16"/>
            </w:r>
          </w:p>
        </w:tc>
        <w:tc>
          <w:tcPr>
            <w:tcW w:w="2521" w:type="dxa"/>
            <w:tcBorders>
              <w:bottom w:val="single" w:sz="4" w:space="0" w:color="auto"/>
            </w:tcBorders>
            <w:vAlign w:val="center"/>
          </w:tcPr>
          <w:p>
            <w:pPr>
              <w:spacing w:before="180" w:after="180"/>
              <w:rPr>
                <w:rFonts w:ascii="Times New Roman" w:hAnsi="Times New Roman" w:cs="Times New Roman"/>
                <w:noProof/>
                <w:spacing w:val="-6"/>
                <w:sz w:val="20"/>
                <w:szCs w:val="20"/>
              </w:rPr>
            </w:pPr>
            <w:r>
              <w:rPr>
                <w:rFonts w:ascii="Times New Roman" w:hAnsi="Times New Roman"/>
                <w:noProof/>
                <w:spacing w:val="-6"/>
                <w:sz w:val="20"/>
              </w:rPr>
              <w:t>Предложения от януари 2016 г., допълнени през юни 2017 г.; последна фаза на тристранните обсъждания.</w:t>
            </w:r>
          </w:p>
        </w:tc>
        <w:tc>
          <w:tcPr>
            <w:tcW w:w="1400" w:type="dxa"/>
            <w:tcBorders>
              <w:bottom w:val="single" w:sz="4" w:space="0" w:color="auto"/>
            </w:tcBorders>
            <w:shd w:val="clear" w:color="auto" w:fill="00B050"/>
            <w:vAlign w:val="center"/>
          </w:tcPr>
          <w:p>
            <w:pPr>
              <w:spacing w:before="180" w:after="180"/>
              <w:jc w:val="center"/>
              <w:rPr>
                <w:rFonts w:ascii="Times New Roman" w:hAnsi="Times New Roman" w:cs="Times New Roman"/>
                <w:noProof/>
                <w:sz w:val="20"/>
                <w:szCs w:val="20"/>
              </w:rPr>
            </w:pPr>
          </w:p>
        </w:tc>
        <w:tc>
          <w:tcPr>
            <w:tcW w:w="1417"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c>
          <w:tcPr>
            <w:tcW w:w="153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top w:val="nil"/>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Оперативна съвместимост на информационните системи на ЕС за  управление на сигурността, границите и миграцията</w:t>
            </w:r>
            <w:r>
              <w:rPr>
                <w:rStyle w:val="FootnoteReference"/>
                <w:rFonts w:ascii="Times New Roman" w:hAnsi="Times New Roman"/>
                <w:noProof/>
                <w:sz w:val="20"/>
              </w:rPr>
              <w:footnoteReference w:id="17"/>
            </w:r>
          </w:p>
        </w:tc>
        <w:tc>
          <w:tcPr>
            <w:tcW w:w="2521" w:type="dxa"/>
            <w:tcBorders>
              <w:top w:val="nil"/>
            </w:tcBorders>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декември 2017 г.; изменени през юни 2018 г.; Съветът е приел своя мандат за водене на преговори; Европейският парламент трябва да приеме своя мандат за водене на преговори, за да може да започнат тристранни обсъждания.</w:t>
            </w:r>
          </w:p>
        </w:tc>
        <w:tc>
          <w:tcPr>
            <w:tcW w:w="1400" w:type="dxa"/>
            <w:tcBorders>
              <w:top w:val="nil"/>
            </w:tcBorders>
            <w:shd w:val="clear" w:color="auto" w:fill="00B050"/>
            <w:vAlign w:val="center"/>
          </w:tcPr>
          <w:p>
            <w:pPr>
              <w:spacing w:before="180" w:after="180"/>
              <w:jc w:val="center"/>
              <w:rPr>
                <w:rFonts w:ascii="Times New Roman" w:hAnsi="Times New Roman" w:cs="Times New Roman"/>
                <w:noProof/>
                <w:sz w:val="20"/>
                <w:szCs w:val="20"/>
              </w:rPr>
            </w:pPr>
          </w:p>
        </w:tc>
        <w:tc>
          <w:tcPr>
            <w:tcW w:w="1417" w:type="dxa"/>
            <w:tcBorders>
              <w:top w:val="nil"/>
            </w:tcBorders>
            <w:shd w:val="clear" w:color="auto" w:fill="F79646" w:themeFill="accent6"/>
            <w:vAlign w:val="center"/>
          </w:tcPr>
          <w:p>
            <w:pPr>
              <w:spacing w:before="180" w:after="180"/>
              <w:jc w:val="center"/>
              <w:rPr>
                <w:rFonts w:ascii="Times New Roman" w:hAnsi="Times New Roman" w:cs="Times New Roman"/>
                <w:noProof/>
                <w:sz w:val="20"/>
                <w:szCs w:val="20"/>
              </w:rPr>
            </w:pPr>
          </w:p>
        </w:tc>
        <w:tc>
          <w:tcPr>
            <w:tcW w:w="1536" w:type="dxa"/>
            <w:tcBorders>
              <w:top w:val="nil"/>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Трансграничен достъп на правоприлагащите органи до електронни доказателства</w:t>
            </w:r>
            <w:r>
              <w:rPr>
                <w:rStyle w:val="FootnoteReference"/>
                <w:rFonts w:ascii="Times New Roman" w:hAnsi="Times New Roman"/>
                <w:noProof/>
                <w:sz w:val="20"/>
              </w:rPr>
              <w:footnoteReference w:id="18"/>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април 2018 г.; Европейският парламент и Съветът трябва да приемат своите мандати за водене на преговори и да започнат тристранни обсъждания.</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536"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Трансграничен достъп и използване на финансови данни от правоприлагащите органи</w:t>
            </w:r>
            <w:r>
              <w:rPr>
                <w:rStyle w:val="FootnoteReference"/>
                <w:rFonts w:ascii="Times New Roman" w:hAnsi="Times New Roman"/>
                <w:noProof/>
                <w:sz w:val="20"/>
              </w:rPr>
              <w:footnoteReference w:id="1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Европейският парламент и Съветът трябва да приемат своите мандати за водене на преговори и да започнат тристранни обсъждания.</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536"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системата Евродак</w:t>
            </w:r>
            <w:r>
              <w:rPr>
                <w:rStyle w:val="FootnoteReference"/>
                <w:rFonts w:ascii="Times New Roman" w:hAnsi="Times New Roman"/>
                <w:noProof/>
                <w:sz w:val="20"/>
              </w:rPr>
              <w:footnoteReference w:id="2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май 2016 г.; Европейският парламент и Съветът трябва да приключат тристранните обсъждания.</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536" w:type="dxa"/>
            <w:shd w:val="clear" w:color="auto" w:fill="F79646" w:themeFill="accent6"/>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Акт за киберсигурността</w:t>
            </w:r>
            <w:r>
              <w:rPr>
                <w:rStyle w:val="FootnoteReference"/>
                <w:rFonts w:ascii="Times New Roman" w:hAnsi="Times New Roman"/>
                <w:noProof/>
                <w:sz w:val="20"/>
              </w:rPr>
              <w:footnoteReference w:id="2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2017 г.; тристранните обсъждания са в ход.</w:t>
            </w:r>
          </w:p>
        </w:tc>
        <w:tc>
          <w:tcPr>
            <w:tcW w:w="1400" w:type="dxa"/>
            <w:shd w:val="clear" w:color="auto" w:fill="00B050"/>
            <w:vAlign w:val="center"/>
          </w:tcPr>
          <w:p>
            <w:pPr>
              <w:spacing w:before="180" w:after="180"/>
              <w:jc w:val="center"/>
              <w:rPr>
                <w:rFonts w:ascii="Times New Roman" w:hAnsi="Times New Roman" w:cs="Times New Roman"/>
                <w:noProof/>
                <w:sz w:val="20"/>
                <w:szCs w:val="20"/>
              </w:rPr>
            </w:pPr>
          </w:p>
        </w:tc>
        <w:tc>
          <w:tcPr>
            <w:tcW w:w="1417" w:type="dxa"/>
            <w:shd w:val="clear" w:color="auto" w:fill="FFFF00"/>
            <w:vAlign w:val="center"/>
          </w:tcPr>
          <w:p>
            <w:pPr>
              <w:spacing w:before="180" w:after="180"/>
              <w:jc w:val="center"/>
              <w:rPr>
                <w:rFonts w:ascii="Times New Roman" w:hAnsi="Times New Roman" w:cs="Times New Roman"/>
                <w:noProof/>
                <w:sz w:val="20"/>
                <w:szCs w:val="20"/>
              </w:rPr>
            </w:pPr>
          </w:p>
        </w:tc>
        <w:tc>
          <w:tcPr>
            <w:tcW w:w="1536" w:type="dxa"/>
            <w:shd w:val="clear" w:color="auto" w:fill="FFFF00"/>
            <w:vAlign w:val="center"/>
          </w:tcPr>
          <w:p>
            <w:pPr>
              <w:spacing w:before="180" w:after="180"/>
              <w:jc w:val="center"/>
              <w:rPr>
                <w:rFonts w:ascii="Times New Roman" w:hAnsi="Times New Roman" w:cs="Times New Roman"/>
                <w:noProof/>
                <w:sz w:val="20"/>
                <w:szCs w:val="20"/>
              </w:rPr>
            </w:pPr>
          </w:p>
        </w:tc>
      </w:tr>
    </w:tbl>
    <w:p>
      <w:pPr>
        <w:rPr>
          <w:rFonts w:ascii="Times New Roman" w:hAnsi="Times New Roman" w:cs="Times New Roman"/>
          <w:noProof/>
        </w:rPr>
      </w:pPr>
    </w:p>
    <w:p>
      <w:pPr>
        <w:rPr>
          <w:rStyle w:val="A13"/>
          <w:rFonts w:ascii="Times New Roman" w:hAnsi="Times New Roman" w:cs="Times New Roman"/>
          <w:noProof/>
          <w:sz w:val="23"/>
          <w:szCs w:val="23"/>
        </w:rPr>
      </w:pPr>
      <w:r>
        <w:rPr>
          <w:noProof/>
        </w:rPr>
        <w:br w:type="page"/>
      </w:r>
    </w:p>
    <w:p>
      <w:pPr>
        <w:pStyle w:val="Pa35"/>
        <w:rPr>
          <w:rFonts w:ascii="Times New Roman" w:hAnsi="Times New Roman" w:cs="Times New Roman"/>
          <w:noProof/>
        </w:rPr>
      </w:pPr>
      <w:r>
        <w:rPr>
          <w:rStyle w:val="A13"/>
          <w:rFonts w:ascii="Times New Roman" w:hAnsi="Times New Roman"/>
          <w:noProof/>
          <w:sz w:val="23"/>
        </w:rPr>
        <w:t xml:space="preserve">III) </w:t>
      </w:r>
      <w:r>
        <w:rPr>
          <w:rStyle w:val="A13"/>
          <w:rFonts w:ascii="Times New Roman" w:hAnsi="Times New Roman"/>
          <w:noProof/>
          <w:color w:val="auto"/>
          <w:sz w:val="23"/>
        </w:rPr>
        <w:t>Други законодателни инициативи, които са в процес на обсъждане в рамките на Съюза на сигурност</w:t>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400"/>
        <w:gridCol w:w="1417"/>
        <w:gridCol w:w="153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306"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276"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100"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Борба с измамата и подправянето на непарични платежни средства</w:t>
            </w:r>
            <w:r>
              <w:rPr>
                <w:rStyle w:val="FootnoteReference"/>
                <w:rFonts w:ascii="Times New Roman" w:hAnsi="Times New Roman"/>
                <w:noProof/>
                <w:sz w:val="20"/>
              </w:rPr>
              <w:footnoteReference w:id="22"/>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2017 г.; тристранните обсъждания са в ход.</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Ограничаване на предлагането на пазара и използването на прекурсори на взривни вещества</w:t>
            </w:r>
            <w:r>
              <w:rPr>
                <w:rStyle w:val="FootnoteReference"/>
                <w:rFonts w:ascii="Times New Roman" w:hAnsi="Times New Roman"/>
                <w:noProof/>
                <w:sz w:val="20"/>
              </w:rPr>
              <w:footnoteReference w:id="23"/>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Европейският парламент и Съветът трябва да приемат своите мандати за водене на преговори и да започнат тристранни обсъждания.</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Подобряване на защитните елементи на националните лични карти и документи за пребиваване</w:t>
            </w:r>
            <w:r>
              <w:rPr>
                <w:rStyle w:val="FootnoteReference"/>
                <w:rFonts w:ascii="Times New Roman" w:hAnsi="Times New Roman"/>
                <w:noProof/>
                <w:sz w:val="20"/>
              </w:rPr>
              <w:footnoteReference w:id="24"/>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Европейският парламент и Съветът трябва да приемат своите мандати за водене на преговори и да започнат тристранни обсъждания.</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00"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Укрепване на Визовата информационна система</w:t>
            </w:r>
            <w:r>
              <w:rPr>
                <w:rStyle w:val="FootnoteReference"/>
                <w:rFonts w:ascii="Times New Roman" w:hAnsi="Times New Roman"/>
                <w:noProof/>
                <w:sz w:val="20"/>
              </w:rPr>
              <w:footnoteReference w:id="25"/>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май 2018 г.; Европейският парламент и Съветът трябва да приемат своите мандати за водене на преговори и да започнат тристранни обсъждания.</w:t>
            </w:r>
          </w:p>
        </w:tc>
        <w:tc>
          <w:tcPr>
            <w:tcW w:w="1306"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00" w:type="dxa"/>
            <w:shd w:val="clear" w:color="auto" w:fill="F79646" w:themeFill="accent6"/>
          </w:tcPr>
          <w:p>
            <w:pPr>
              <w:spacing w:before="180" w:after="180"/>
              <w:jc w:val="center"/>
              <w:rPr>
                <w:rFonts w:ascii="Times New Roman" w:hAnsi="Times New Roman" w:cs="Times New Roman"/>
                <w:noProof/>
                <w:sz w:val="20"/>
                <w:szCs w:val="20"/>
              </w:rPr>
            </w:pPr>
          </w:p>
        </w:tc>
      </w:tr>
    </w:tbl>
    <w:p>
      <w:pPr>
        <w:tabs>
          <w:tab w:val="left" w:pos="6345"/>
        </w:tabs>
        <w:rPr>
          <w:rFonts w:ascii="Times New Roman" w:hAnsi="Times New Roman" w:cs="Times New Roman"/>
          <w:noProof/>
          <w:sz w:val="2"/>
          <w:szCs w:val="2"/>
        </w:rPr>
      </w:pPr>
    </w:p>
    <w:sectPr>
      <w:headerReference w:type="even" r:id="rId15"/>
      <w:headerReference w:type="default" r:id="rId16"/>
      <w:footerReference w:type="even" r:id="rId17"/>
      <w:footerReference w:type="default" r:id="rId18"/>
      <w:headerReference w:type="first" r:id="rId19"/>
      <w:footerReference w:type="first" r:id="rId20"/>
      <w:pgSz w:w="11910" w:h="16840"/>
      <w:pgMar w:top="1020" w:right="400" w:bottom="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17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https://ec.europa.eu/commission/sites/beta-political/files/soteu2018-speech_bg_0.pdf</w:t>
        </w:r>
      </w:hyperlink>
      <w:r>
        <w:rPr>
          <w:rFonts w:ascii="Times New Roman" w:hAnsi="Times New Roman"/>
        </w:rPr>
        <w:t xml:space="preserve">. Вж. също Писмото на председателя Юнкер за намеренията: </w:t>
      </w:r>
      <w:hyperlink r:id="rId2">
        <w:r>
          <w:rPr>
            <w:rStyle w:val="Hyperlink"/>
            <w:rFonts w:ascii="Times New Roman" w:hAnsi="Times New Roman"/>
          </w:rPr>
          <w:t>https://ec.europa.eu/commission/sites/beta-political/files/soteu2018-letter-of-intent_bg.pdf</w:t>
        </w:r>
      </w:hyperlink>
      <w:r>
        <w:rPr>
          <w:rFonts w:ascii="Times New Roman" w:hAnsi="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640 final, 12.9.2018 г.</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641 final, 12.9.2018 г.</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636 final, 12.9.2018 г.</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631 final, 12.9.2018 г.</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630 final, 12.9.2018 г.</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645 final, 12.9.2018 г.</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https://ec.europa.eu/commission/sites/beta-political/files/joint-declaration-eu-legislative-priorities-2018-19_en.pdf</w:t>
        </w:r>
      </w:hyperlink>
      <w:r>
        <w:rPr>
          <w:rFonts w:ascii="Times New Roman" w:hAnsi="Times New Roman"/>
        </w:rPr>
        <w:t>.</w:t>
      </w:r>
    </w:p>
  </w:footnote>
  <w:footnote w:id="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731 final, 16.11.2016 г.</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352 final, 29.6.2017 г.</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881 final, 21.12.2016 г., COM(2016) 882 final, 21.12.2016 г. и COM(2016) 883 final, 21.12.2016 г.</w:t>
      </w:r>
    </w:p>
  </w:footnote>
  <w:footnote w:id="1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2018/841, 30.5.2018 г.</w:t>
      </w:r>
    </w:p>
  </w:footnote>
  <w:footnote w:id="1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2017/2226, 30.11.2017 г.</w:t>
      </w:r>
    </w:p>
  </w:footnote>
  <w:footnote w:id="1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2017/853, 17.5.2017 г.</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2017/541, 15.3.2017 г.</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 final, 19.1.2016 г. и COM(2017) 344 final, 29.6.2017 г.</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793 final, 12.12.2017 г., COM(2017) 794 final, 12.12.2017 г., COM(2018) 478 final, 13.6.2018 г. и COM(2018) 480 final, 13.6.2018 г.</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225 final, 17.4.2018 г. и COM(2018) 226 final, 17.4.2018 г.</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213 final, 17.4.2018 г.</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272 final, 4.5.2016 г.</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489 final, 13.9.2017 г.</w:t>
      </w:r>
    </w:p>
  </w:footnote>
  <w:footnote w:id="2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489 final, 13.9.2017 г.</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209 final, 17.4.2018 г.</w:t>
      </w:r>
    </w:p>
  </w:footnote>
  <w:footnote w:id="2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212 final, 17.4.2018 г.</w:t>
      </w:r>
    </w:p>
  </w:footnote>
  <w:footnote w:id="25">
    <w:p>
      <w:pPr>
        <w:pStyle w:val="FootnoteText"/>
        <w:ind w:left="567" w:hanging="567"/>
        <w:jc w:val="both"/>
        <w:rPr>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302 final, 16.5.2018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53E6244-6893-44FB-8A5C-B08D921DBB36"/>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64?\u1077?\u1089?\u1090?\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_x000b__x000b_\u1057?\u1087?\u1080?\u1089?\u1098?\u1082? \u1089?\u1098?\u1089? \u1079?\u1072?\u1082?\u1086?\u1085?\u1086?\u1076?\u1072?\u1090?\u1077?\u1083?\u1085?\u1080? \u1080?\u1085?\u1080?\u1094?\u1080?\u1072?\u1090?\u1080?\u1074?\u1080? "/>
    <w:docVar w:name="LW_PART_NBR" w:val="1"/>
    <w:docVar w:name="LW_PART_NBR_TOTAL" w:val="1"/>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bg-BG" w:bidi="bg-BG"/>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bg-BG" w:bidi="bg-BG"/>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bg.pdf" TargetMode="External"/><Relationship Id="rId1" Type="http://schemas.openxmlformats.org/officeDocument/2006/relationships/hyperlink" Target="https://ec.europa.eu/commission/sites/beta-political/files/soteu2018-speech_bg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174510-6AE1-4249-A406-FAD08950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677</Words>
  <Characters>4217</Characters>
  <Application>Microsoft Office Word</Application>
  <DocSecurity>0</DocSecurity>
  <Lines>324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14</cp:revision>
  <cp:lastPrinted>2018-10-03T13:10:00Z</cp:lastPrinted>
  <dcterms:created xsi:type="dcterms:W3CDTF">2018-10-08T07:34:00Z</dcterms:created>
  <dcterms:modified xsi:type="dcterms:W3CDTF">2018-10-16T16:52:00Z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