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854BD9-74A8-4C42-9798-411F2C2DADDC" style="width:450.75pt;height:348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code="9"/>
          <w:pgMar w:top="1134" w:right="1417" w:bottom="1134" w:left="1417" w:header="709" w:footer="709" w:gutter="0"/>
          <w:pgNumType w:start="0"/>
          <w:cols w:space="720"/>
          <w:docGrid w:linePitch="326"/>
        </w:sectPr>
      </w:pPr>
    </w:p>
    <w:p>
      <w:pPr>
        <w:rPr>
          <w:rFonts w:ascii="Verdana" w:hAnsi="Verdana"/>
          <w:noProof/>
          <w:sz w:val="16"/>
          <w:szCs w:val="16"/>
          <w:lang w:val="en-GB"/>
        </w:rPr>
      </w:pPr>
      <w:bookmarkStart w:id="1" w:name="_GoBack"/>
      <w:bookmarkEnd w:id="1"/>
    </w:p>
    <w:p>
      <w:pPr>
        <w:rPr>
          <w:rFonts w:ascii="Verdana" w:hAnsi="Verdana"/>
          <w:noProof/>
          <w:sz w:val="16"/>
          <w:szCs w:val="16"/>
          <w:lang w:val="en-GB"/>
        </w:rPr>
      </w:pPr>
    </w:p>
    <w:p>
      <w:pPr>
        <w:rPr>
          <w:rFonts w:ascii="Verdana" w:hAnsi="Verdana"/>
          <w:noProof/>
          <w:sz w:val="16"/>
          <w:szCs w:val="16"/>
          <w:lang w:val="en-GB"/>
        </w:rPr>
      </w:pPr>
    </w:p>
    <w:p>
      <w:pPr>
        <w:rPr>
          <w:rFonts w:ascii="Verdana" w:hAnsi="Verdana"/>
          <w:noProof/>
          <w:sz w:val="16"/>
          <w:szCs w:val="16"/>
          <w:lang w:val="en-GB"/>
        </w:rPr>
      </w:pPr>
    </w:p>
    <w:p>
      <w:pPr>
        <w:rPr>
          <w:rFonts w:ascii="Verdana" w:hAnsi="Verdana"/>
          <w:noProof/>
          <w:sz w:val="16"/>
          <w:szCs w:val="16"/>
          <w:lang w:val="en-GB"/>
        </w:rPr>
      </w:pPr>
    </w:p>
    <w:p>
      <w:pPr>
        <w:rPr>
          <w:rFonts w:ascii="Verdana" w:hAnsi="Verdana"/>
          <w:noProof/>
          <w:sz w:val="16"/>
          <w:szCs w:val="16"/>
          <w:lang w:val="en-GB"/>
        </w:rPr>
      </w:pPr>
    </w:p>
    <w:p>
      <w:pPr>
        <w:rPr>
          <w:rFonts w:ascii="Verdana" w:hAnsi="Verdana"/>
          <w:noProof/>
          <w:sz w:val="16"/>
          <w:szCs w:val="16"/>
          <w:lang w:val="en-GB"/>
        </w:rPr>
      </w:pPr>
    </w:p>
    <w:p>
      <w:pPr>
        <w:rPr>
          <w:rFonts w:ascii="Verdana" w:hAnsi="Verdana"/>
          <w:noProof/>
          <w:sz w:val="16"/>
          <w:szCs w:val="16"/>
          <w:lang w:val="en-GB"/>
        </w:rPr>
      </w:pPr>
    </w:p>
    <w:p>
      <w:pPr>
        <w:rPr>
          <w:rFonts w:ascii="Verdana" w:hAnsi="Verdana"/>
          <w:noProof/>
          <w:sz w:val="16"/>
          <w:szCs w:val="16"/>
          <w:lang w:val="en-GB"/>
        </w:rPr>
      </w:pPr>
    </w:p>
    <w:p>
      <w:pPr>
        <w:pStyle w:val="Heading1"/>
        <w:numPr>
          <w:ilvl w:val="0"/>
          <w:numId w:val="0"/>
        </w:numPr>
        <w:ind w:left="482"/>
        <w:rPr>
          <w:noProof/>
        </w:rPr>
      </w:pPr>
      <w:bookmarkStart w:id="2" w:name="_Toc497835095"/>
      <w:r>
        <w:rPr>
          <w:noProof/>
        </w:rPr>
        <w:t>Използвани съкращения</w:t>
      </w:r>
    </w:p>
    <w:p>
      <w:pPr>
        <w:pStyle w:val="MBT"/>
        <w:rPr>
          <w:noProof/>
        </w:rPr>
      </w:pPr>
    </w:p>
    <w:p>
      <w:pPr>
        <w:pStyle w:val="MBT"/>
        <w:rPr>
          <w:noProof/>
        </w:rPr>
      </w:pPr>
      <w:r>
        <w:rPr>
          <w:noProof/>
        </w:rPr>
        <w:t>BPR</w:t>
      </w:r>
      <w:r>
        <w:rPr>
          <w:noProof/>
        </w:rPr>
        <w:tab/>
      </w:r>
      <w:r>
        <w:rPr>
          <w:noProof/>
        </w:rPr>
        <w:tab/>
        <w:t xml:space="preserve">Регламент относно биоцидните продукти </w:t>
      </w:r>
    </w:p>
    <w:p>
      <w:pPr>
        <w:pStyle w:val="MBT"/>
        <w:rPr>
          <w:noProof/>
        </w:rPr>
      </w:pPr>
      <w:r>
        <w:rPr>
          <w:noProof/>
        </w:rPr>
        <w:t>CLP</w:t>
      </w:r>
      <w:r>
        <w:rPr>
          <w:noProof/>
        </w:rPr>
        <w:tab/>
      </w:r>
      <w:r>
        <w:rPr>
          <w:noProof/>
        </w:rPr>
        <w:tab/>
        <w:t xml:space="preserve">Регламент за класифицирането, етикетирането и опаковането </w:t>
      </w:r>
    </w:p>
    <w:p>
      <w:pPr>
        <w:pStyle w:val="MBT"/>
        <w:rPr>
          <w:noProof/>
        </w:rPr>
      </w:pPr>
      <w:r>
        <w:rPr>
          <w:noProof/>
        </w:rPr>
        <w:t>КН</w:t>
      </w:r>
      <w:r>
        <w:rPr>
          <w:noProof/>
        </w:rPr>
        <w:tab/>
      </w:r>
      <w:r>
        <w:rPr>
          <w:noProof/>
        </w:rPr>
        <w:tab/>
        <w:t>Комбинирана номенклатура</w:t>
      </w:r>
    </w:p>
    <w:p>
      <w:pPr>
        <w:pStyle w:val="MBT"/>
        <w:rPr>
          <w:noProof/>
        </w:rPr>
      </w:pPr>
      <w:r>
        <w:rPr>
          <w:noProof/>
        </w:rPr>
        <w:t xml:space="preserve">МСС </w:t>
      </w:r>
      <w:r>
        <w:rPr>
          <w:noProof/>
        </w:rPr>
        <w:tab/>
      </w:r>
      <w:r>
        <w:rPr>
          <w:noProof/>
        </w:rPr>
        <w:tab/>
        <w:t xml:space="preserve">Митнически съюз и статистика </w:t>
      </w:r>
    </w:p>
    <w:p>
      <w:pPr>
        <w:pStyle w:val="MBT"/>
        <w:rPr>
          <w:noProof/>
        </w:rPr>
      </w:pPr>
      <w:r>
        <w:rPr>
          <w:noProof/>
        </w:rPr>
        <w:t>ОНО</w:t>
      </w:r>
      <w:r>
        <w:rPr>
          <w:noProof/>
        </w:rPr>
        <w:tab/>
      </w:r>
      <w:r>
        <w:rPr>
          <w:noProof/>
        </w:rPr>
        <w:tab/>
        <w:t xml:space="preserve">Определен национален орган </w:t>
      </w:r>
    </w:p>
    <w:p>
      <w:pPr>
        <w:pStyle w:val="MBT"/>
        <w:rPr>
          <w:noProof/>
        </w:rPr>
      </w:pPr>
      <w:r>
        <w:rPr>
          <w:noProof/>
        </w:rPr>
        <w:t>ECHA</w:t>
      </w:r>
      <w:r>
        <w:rPr>
          <w:noProof/>
        </w:rPr>
        <w:tab/>
      </w:r>
      <w:r>
        <w:rPr>
          <w:noProof/>
        </w:rPr>
        <w:tab/>
        <w:t xml:space="preserve">Европейска агенция по химикали </w:t>
      </w:r>
    </w:p>
    <w:p>
      <w:pPr>
        <w:pStyle w:val="MBT"/>
        <w:rPr>
          <w:noProof/>
        </w:rPr>
      </w:pPr>
      <w:r>
        <w:rPr>
          <w:noProof/>
        </w:rPr>
        <w:t>ePIC</w:t>
      </w:r>
      <w:r>
        <w:rPr>
          <w:noProof/>
        </w:rPr>
        <w:tab/>
      </w:r>
      <w:r>
        <w:rPr>
          <w:noProof/>
        </w:rPr>
        <w:tab/>
        <w:t>Софтуер за прилагане на Регламент (ЕС) № 649/2012</w:t>
      </w:r>
    </w:p>
    <w:p>
      <w:pPr>
        <w:pStyle w:val="MBT"/>
        <w:rPr>
          <w:noProof/>
        </w:rPr>
      </w:pPr>
      <w:r>
        <w:rPr>
          <w:noProof/>
        </w:rPr>
        <w:t>ЕС</w:t>
      </w:r>
      <w:r>
        <w:rPr>
          <w:noProof/>
        </w:rPr>
        <w:tab/>
      </w:r>
      <w:r>
        <w:rPr>
          <w:noProof/>
        </w:rPr>
        <w:tab/>
        <w:t>Европейски съюз</w:t>
      </w:r>
    </w:p>
    <w:p>
      <w:pPr>
        <w:pStyle w:val="MBT"/>
        <w:rPr>
          <w:noProof/>
        </w:rPr>
      </w:pPr>
      <w:r>
        <w:rPr>
          <w:noProof/>
        </w:rPr>
        <w:t>ОНА</w:t>
      </w:r>
      <w:r>
        <w:rPr>
          <w:noProof/>
        </w:rPr>
        <w:tab/>
      </w:r>
      <w:r>
        <w:rPr>
          <w:noProof/>
        </w:rPr>
        <w:tab/>
        <w:t>Окончателен нормативен акт</w:t>
      </w:r>
    </w:p>
    <w:p>
      <w:pPr>
        <w:pStyle w:val="MBT"/>
        <w:rPr>
          <w:noProof/>
        </w:rPr>
      </w:pPr>
      <w:r>
        <w:rPr>
          <w:noProof/>
        </w:rPr>
        <w:t>НПО</w:t>
      </w:r>
      <w:r>
        <w:rPr>
          <w:noProof/>
        </w:rPr>
        <w:tab/>
      </w:r>
      <w:r>
        <w:rPr>
          <w:noProof/>
        </w:rPr>
        <w:tab/>
        <w:t xml:space="preserve">Национален правоприлагащ орган </w:t>
      </w:r>
    </w:p>
    <w:p>
      <w:pPr>
        <w:pStyle w:val="MBT"/>
        <w:rPr>
          <w:noProof/>
        </w:rPr>
      </w:pPr>
      <w:r>
        <w:rPr>
          <w:noProof/>
        </w:rPr>
        <w:t>ОИСР</w:t>
      </w:r>
      <w:r>
        <w:rPr>
          <w:noProof/>
        </w:rPr>
        <w:tab/>
      </w:r>
      <w:r>
        <w:rPr>
          <w:noProof/>
        </w:rPr>
        <w:tab/>
        <w:t>Организация за икономическо сътрудничество и развитие</w:t>
      </w:r>
    </w:p>
    <w:p>
      <w:pPr>
        <w:pStyle w:val="MBT"/>
        <w:rPr>
          <w:noProof/>
        </w:rPr>
      </w:pPr>
      <w:r>
        <w:rPr>
          <w:noProof/>
        </w:rPr>
        <w:t xml:space="preserve">PIC </w:t>
      </w:r>
      <w:r>
        <w:rPr>
          <w:noProof/>
        </w:rPr>
        <w:tab/>
      </w:r>
      <w:r>
        <w:rPr>
          <w:noProof/>
        </w:rPr>
        <w:tab/>
        <w:t xml:space="preserve">Предварително обосновано съгласие </w:t>
      </w:r>
    </w:p>
    <w:p>
      <w:pPr>
        <w:pStyle w:val="MBT"/>
        <w:rPr>
          <w:noProof/>
        </w:rPr>
      </w:pPr>
      <w:r>
        <w:rPr>
          <w:noProof/>
        </w:rPr>
        <w:t>РПРЗ</w:t>
      </w:r>
      <w:r>
        <w:rPr>
          <w:noProof/>
        </w:rPr>
        <w:tab/>
      </w:r>
      <w:r>
        <w:rPr>
          <w:noProof/>
        </w:rPr>
        <w:tab/>
        <w:t xml:space="preserve">Регламент за продуктите за растителна защита </w:t>
      </w:r>
    </w:p>
    <w:p>
      <w:pPr>
        <w:pStyle w:val="MBT"/>
        <w:rPr>
          <w:noProof/>
        </w:rPr>
      </w:pPr>
      <w:r>
        <w:rPr>
          <w:noProof/>
        </w:rPr>
        <w:t>РК</w:t>
      </w:r>
      <w:r>
        <w:rPr>
          <w:noProof/>
        </w:rPr>
        <w:tab/>
      </w:r>
      <w:r>
        <w:rPr>
          <w:noProof/>
        </w:rPr>
        <w:tab/>
        <w:t>Ротердамска конвенция</w:t>
      </w:r>
    </w:p>
    <w:p>
      <w:pPr>
        <w:pStyle w:val="MBT"/>
        <w:ind w:left="1440" w:hanging="1440"/>
        <w:rPr>
          <w:noProof/>
        </w:rPr>
      </w:pPr>
      <w:r>
        <w:rPr>
          <w:noProof/>
        </w:rPr>
        <w:t>Регламентът REACH</w:t>
      </w:r>
      <w:r>
        <w:rPr>
          <w:noProof/>
        </w:rPr>
        <w:tab/>
        <w:t xml:space="preserve">Регламент относно регистрацията, оценката, разрешаването и ограничаването на химикали </w:t>
      </w:r>
    </w:p>
    <w:p>
      <w:pPr>
        <w:pStyle w:val="MBT"/>
        <w:rPr>
          <w:noProof/>
        </w:rPr>
      </w:pPr>
      <w:r>
        <w:rPr>
          <w:noProof/>
        </w:rPr>
        <w:t>RIN</w:t>
      </w:r>
      <w:r>
        <w:rPr>
          <w:noProof/>
        </w:rPr>
        <w:tab/>
      </w:r>
      <w:r>
        <w:rPr>
          <w:noProof/>
        </w:rPr>
        <w:tab/>
        <w:t xml:space="preserve">Референтен идентификационен номер </w:t>
      </w:r>
    </w:p>
    <w:p>
      <w:pPr>
        <w:pStyle w:val="MBT"/>
        <w:rPr>
          <w:noProof/>
        </w:rPr>
      </w:pPr>
      <w:r>
        <w:rPr>
          <w:noProof/>
        </w:rPr>
        <w:t>ИЛБ</w:t>
      </w:r>
      <w:r>
        <w:rPr>
          <w:noProof/>
        </w:rPr>
        <w:tab/>
      </w:r>
      <w:r>
        <w:rPr>
          <w:noProof/>
        </w:rPr>
        <w:tab/>
        <w:t xml:space="preserve">Информационен лист за безопасност </w:t>
      </w:r>
    </w:p>
    <w:p>
      <w:pPr>
        <w:pStyle w:val="MBT"/>
        <w:rPr>
          <w:noProof/>
        </w:rPr>
      </w:pPr>
    </w:p>
    <w:p>
      <w:pPr>
        <w:pStyle w:val="MBT"/>
        <w:rPr>
          <w:noProof/>
        </w:rPr>
      </w:pPr>
    </w:p>
    <w:p>
      <w:pPr>
        <w:pStyle w:val="MBT"/>
        <w:rPr>
          <w:noProof/>
        </w:rPr>
      </w:pPr>
    </w:p>
    <w:p>
      <w:pPr>
        <w:pStyle w:val="Text1"/>
        <w:rPr>
          <w:noProof/>
        </w:rPr>
      </w:pPr>
      <w:r>
        <w:rPr>
          <w:noProof/>
        </w:rPr>
        <w:br w:type="page"/>
      </w:r>
    </w:p>
    <w:p>
      <w:pPr>
        <w:pStyle w:val="Heading1"/>
        <w:rPr>
          <w:noProof/>
        </w:rPr>
      </w:pPr>
      <w:r>
        <w:rPr>
          <w:noProof/>
        </w:rPr>
        <w:t>Въведение</w:t>
      </w:r>
      <w:bookmarkEnd w:id="2"/>
      <w:r>
        <w:rPr>
          <w:noProof/>
        </w:rPr>
        <w:t xml:space="preserve"> </w:t>
      </w:r>
    </w:p>
    <w:p>
      <w:pPr>
        <w:pStyle w:val="Heading2"/>
        <w:spacing w:after="240"/>
        <w:ind w:left="1202"/>
        <w:rPr>
          <w:noProof/>
        </w:rPr>
      </w:pPr>
      <w:bookmarkStart w:id="3" w:name="_Toc497750118"/>
      <w:r>
        <w:rPr>
          <w:noProof/>
        </w:rPr>
        <w:t>Регламентът PIC</w:t>
      </w:r>
      <w:bookmarkEnd w:id="3"/>
      <w:r>
        <w:rPr>
          <w:noProof/>
        </w:rPr>
        <w:t xml:space="preserve"> </w:t>
      </w:r>
    </w:p>
    <w:p>
      <w:pPr>
        <w:pStyle w:val="MBT"/>
        <w:rPr>
          <w:noProof/>
          <w:szCs w:val="20"/>
          <w:lang w:val="en-GB"/>
        </w:rPr>
      </w:pPr>
    </w:p>
    <w:p>
      <w:pPr>
        <w:pStyle w:val="MBT"/>
        <w:rPr>
          <w:noProof/>
        </w:rPr>
      </w:pPr>
      <w:r>
        <w:rPr>
          <w:noProof/>
        </w:rPr>
        <w:t>Регламент (ЕС) № 649/2012</w:t>
      </w:r>
      <w:r>
        <w:rPr>
          <w:rStyle w:val="FootnoteReference"/>
          <w:noProof/>
          <w:szCs w:val="20"/>
          <w:lang w:val="en-GB"/>
        </w:rPr>
        <w:footnoteReference w:id="1"/>
      </w:r>
      <w:r>
        <w:rPr>
          <w:noProof/>
        </w:rPr>
        <w:t xml:space="preserve"> („Регламентът PIC“) прилага Ротердамската конвенция относно процедурата по предварително обосновано съгласие (PIC) при международната търговия с определени опасни химикали и пестициди, приета през 1998 г. и ратифицирана от Съюза през 2002 г. Регламентът има за цел да насърчава споделянето на отговорността и сътрудничеството в рамките на международното движение на опасни химикали, и да опазва здравето на човека и околната среда от потенциални вреди като улеснява обмена на информация относно характеристиките на опасните химикали, чрез предвиждане на процес за вземане на решения в рамките на Съюза относно техния внос и износ и чрез разпространяване на информация относно решенията до страните по Конвенцията и други държави (член 1). </w:t>
      </w:r>
    </w:p>
    <w:p>
      <w:pPr>
        <w:pStyle w:val="MBT"/>
        <w:rPr>
          <w:noProof/>
        </w:rPr>
      </w:pPr>
    </w:p>
    <w:p>
      <w:pPr>
        <w:pStyle w:val="MBT"/>
        <w:rPr>
          <w:noProof/>
        </w:rPr>
      </w:pPr>
      <w:r>
        <w:rPr>
          <w:noProof/>
        </w:rPr>
        <w:t>Регламентът PIC се прилага за химикалите, които са обект на PIC процедурата съгласно Ротердамската конвенция, и за промишлените химикали (използвани от професионалисти и от потребители), както за пестицидите (включително биоциди), които са забранени или строго ограничени от законодателството на Съюза по съображения, свързани с опазването на здравето или околната среда. Регламентът налага задължения на дружествата, които възнамеряват да изнасят такива химикали към трети държави, независимо дали те са страни по Ротердамската конвенция или не. Износът подлежи на спазване на различни изисквания, в зависимост от частта от приложение I към Регламента: химикалите, изброени в част 1 ота приложение I, подлежат на уведомление за износ до съответния орган на държавата вносител; химикалите, изброени в част 2 и част 3 от приложение I, подлежат на уведомление за износ и изрично съгласие от страна на съответния орган на държавата вносител, освен ако за тях не се прилага PIC процедурата съгласно Конвенцията и са изнесени към страна, която е предоставила положителен отговор за вноса, или към държава, която се е отказала от правото си да бъде уведомявана. Тези задължения са приложими и за смеси, съдържащи вещества, посочени в приложение I към Регламента в концентрации, които пораждат задължения за етикетиране съгласно Регламента за класифицирането, етикетирането и опаковането (CLP) — Регламент (ЕО) № 1272/2008</w:t>
      </w:r>
      <w:r>
        <w:rPr>
          <w:rStyle w:val="FootnoteReference"/>
          <w:noProof/>
        </w:rPr>
        <w:footnoteReference w:id="2"/>
      </w:r>
      <w:r>
        <w:rPr>
          <w:noProof/>
        </w:rPr>
        <w:t xml:space="preserve">, както и за някои изделия. </w:t>
      </w:r>
    </w:p>
    <w:p>
      <w:pPr>
        <w:pStyle w:val="MBT"/>
        <w:rPr>
          <w:noProof/>
        </w:rPr>
      </w:pPr>
    </w:p>
    <w:p>
      <w:pPr>
        <w:pStyle w:val="MBT"/>
        <w:rPr>
          <w:noProof/>
        </w:rPr>
      </w:pPr>
      <w:r>
        <w:rPr>
          <w:noProof/>
        </w:rPr>
        <w:t>Регламентът PIC също така налага задължения на Комисията за уведомяване на Секретариата на Конвенцията относно окончателен нормативен акт (ОНА), с който се забранява или строго се ограничава употребата на даден химикал в Съюза, в категория на употреба по Конвенцията (промишлени химикали или пестициди). Химикалите, за които се изисква такова уведомление, са посочени в част 2 от приложение I към Регламента PIC. Уведомлението за ОНА цели информиране на другите страни относно потенциалните рискове от употребата на тези химикали и служи за основа на включването на химикали в приложение III към Конвенцията.</w:t>
      </w:r>
    </w:p>
    <w:p>
      <w:pPr>
        <w:pStyle w:val="MBT"/>
        <w:rPr>
          <w:noProof/>
        </w:rPr>
      </w:pPr>
    </w:p>
    <w:p>
      <w:pPr>
        <w:pStyle w:val="MBT"/>
        <w:rPr>
          <w:noProof/>
        </w:rPr>
      </w:pPr>
      <w:r>
        <w:rPr>
          <w:noProof/>
        </w:rPr>
        <w:t>За химикалите, които са посочени в част 3 от приложение I (което отразява приложение III към Конвенцията), Комисията, в тясно сътрудничество с държавите членки и въз основа на правото на Съюза, установява решение за вноса, в което се определя дали и при какви условия химикалът може да бъде внасян в Съюза. Това решение също се изпраща до Секретариата на Конвенцията.</w:t>
      </w:r>
    </w:p>
    <w:p>
      <w:pPr>
        <w:pStyle w:val="MBT"/>
        <w:rPr>
          <w:noProof/>
          <w:szCs w:val="20"/>
        </w:rPr>
      </w:pPr>
    </w:p>
    <w:p>
      <w:pPr>
        <w:pStyle w:val="Heading2"/>
        <w:spacing w:after="240"/>
        <w:ind w:left="1202"/>
        <w:rPr>
          <w:noProof/>
        </w:rPr>
      </w:pPr>
      <w:r>
        <w:rPr>
          <w:noProof/>
        </w:rPr>
        <w:t xml:space="preserve">Процедурата за докладване </w:t>
      </w:r>
    </w:p>
    <w:p>
      <w:pPr>
        <w:pStyle w:val="MBT"/>
        <w:rPr>
          <w:noProof/>
          <w:szCs w:val="20"/>
          <w:lang w:val="en-GB"/>
        </w:rPr>
      </w:pPr>
    </w:p>
    <w:p>
      <w:pPr>
        <w:pStyle w:val="MBT"/>
        <w:rPr>
          <w:noProof/>
          <w:szCs w:val="20"/>
        </w:rPr>
      </w:pPr>
      <w:r>
        <w:rPr>
          <w:noProof/>
        </w:rPr>
        <w:t xml:space="preserve">В член 22 от Регламента PIC от Комисията се изисква да докладва за своите дейности по Регламента на всеки три години, както и да съставя обобщаващ доклад за изпълнението на Регламента PIC, в който да се включва: </w:t>
      </w:r>
    </w:p>
    <w:p>
      <w:pPr>
        <w:pStyle w:val="MBT"/>
        <w:numPr>
          <w:ilvl w:val="0"/>
          <w:numId w:val="30"/>
        </w:numPr>
        <w:rPr>
          <w:noProof/>
          <w:szCs w:val="20"/>
        </w:rPr>
      </w:pPr>
      <w:r>
        <w:rPr>
          <w:noProof/>
        </w:rPr>
        <w:t>Информацията, предоставена от държавите членки съгласно член 22, параграф 1, относно функционирането на процедурите, предвидени в посочения Регламент, включително митническия контрол, нарушенията, санкциите и корективните действия.</w:t>
      </w:r>
    </w:p>
    <w:p>
      <w:pPr>
        <w:pStyle w:val="MBT"/>
        <w:numPr>
          <w:ilvl w:val="0"/>
          <w:numId w:val="30"/>
        </w:numPr>
        <w:rPr>
          <w:noProof/>
          <w:szCs w:val="20"/>
        </w:rPr>
      </w:pPr>
      <w:r>
        <w:rPr>
          <w:noProof/>
        </w:rPr>
        <w:t>Информацията, предоставена от Европейска агенция по химикали (ЕСНА) съгласно член 22, параграф 1, относно функционирането на предвидените в Регламента PIC процедури.</w:t>
      </w:r>
    </w:p>
    <w:p>
      <w:pPr>
        <w:pStyle w:val="MBT"/>
        <w:rPr>
          <w:noProof/>
          <w:szCs w:val="20"/>
        </w:rPr>
      </w:pPr>
    </w:p>
    <w:p>
      <w:pPr>
        <w:pStyle w:val="MBT"/>
        <w:rPr>
          <w:noProof/>
        </w:rPr>
      </w:pPr>
      <w:r>
        <w:rPr>
          <w:noProof/>
        </w:rPr>
        <w:t>Това е първото докладване по посочения Регламент PIC и обхваща трите години на изпълнение от началото на прилагането му(2014 г.</w:t>
      </w:r>
      <w:r>
        <w:rPr>
          <w:rStyle w:val="FootnoteReference"/>
          <w:noProof/>
          <w:lang w:val="en-GB"/>
        </w:rPr>
        <w:footnoteReference w:id="3"/>
      </w:r>
      <w:r>
        <w:rPr>
          <w:noProof/>
        </w:rPr>
        <w:t>—2016 г.).</w:t>
      </w:r>
      <w:bookmarkStart w:id="4" w:name="_Hlk495932568"/>
      <w:r>
        <w:rPr>
          <w:noProof/>
        </w:rPr>
        <w:t xml:space="preserve"> </w:t>
      </w:r>
      <w:bookmarkStart w:id="5" w:name="_Hlk495932502"/>
      <w:bookmarkEnd w:id="4"/>
      <w:r>
        <w:rPr>
          <w:noProof/>
        </w:rPr>
        <w:t>С Решение (ЕС) 2016/770 от 14 април 2016 г.</w:t>
      </w:r>
      <w:r>
        <w:rPr>
          <w:rStyle w:val="FootnoteReference"/>
          <w:noProof/>
          <w:lang w:val="en-GB"/>
        </w:rPr>
        <w:footnoteReference w:id="4"/>
      </w:r>
      <w:r>
        <w:rPr>
          <w:noProof/>
        </w:rPr>
        <w:t xml:space="preserve"> е установен общ формат за подаване на информация от определените национални органи (ОНО), с цел да се събира последователна информация от всички държави членки. </w:t>
      </w:r>
      <w:bookmarkEnd w:id="5"/>
      <w:r>
        <w:rPr>
          <w:noProof/>
        </w:rPr>
        <w:t>По подобен начин, с Решение за изпълнение (ЕС) 2016/1115 на Комисията от 7 юли 2016 г.</w:t>
      </w:r>
      <w:r>
        <w:rPr>
          <w:rStyle w:val="FootnoteReference"/>
          <w:noProof/>
          <w:lang w:val="en-GB"/>
        </w:rPr>
        <w:footnoteReference w:id="5"/>
      </w:r>
      <w:r>
        <w:rPr>
          <w:noProof/>
        </w:rPr>
        <w:t xml:space="preserve"> е приет формат за подаване на докладите на Агенцията.</w:t>
      </w:r>
    </w:p>
    <w:p>
      <w:pPr>
        <w:pStyle w:val="MBT"/>
        <w:rPr>
          <w:noProof/>
        </w:rPr>
      </w:pPr>
    </w:p>
    <w:p>
      <w:pPr>
        <w:pStyle w:val="MBT"/>
        <w:rPr>
          <w:noProof/>
        </w:rPr>
      </w:pPr>
      <w:bookmarkStart w:id="6" w:name="_Hlk495932603"/>
      <w:r>
        <w:rPr>
          <w:noProof/>
        </w:rPr>
        <w:t xml:space="preserve">От държавите членки и от Агенцията се изискваше да подадат доклади до 31 май 2017 г., но процесът на докладване се сблъска с известни закъснения. </w:t>
      </w:r>
      <w:bookmarkEnd w:id="6"/>
      <w:r>
        <w:rPr>
          <w:noProof/>
        </w:rPr>
        <w:t>Докладът на Агенцията беше получен на 18 юли 2017 г., а подаването на информация от държавите членки беше завършено на 5 октомври 2017 г., с подаването на последния отчетен въпросник.</w:t>
      </w:r>
      <w:bookmarkStart w:id="7" w:name="_Hlk495932618"/>
      <w:r>
        <w:rPr>
          <w:noProof/>
        </w:rPr>
        <w:t xml:space="preserve"> </w:t>
      </w:r>
      <w:bookmarkEnd w:id="7"/>
    </w:p>
    <w:p>
      <w:pPr>
        <w:pStyle w:val="MBT"/>
        <w:rPr>
          <w:noProof/>
        </w:rPr>
      </w:pPr>
    </w:p>
    <w:p>
      <w:pPr>
        <w:pStyle w:val="MBT"/>
        <w:rPr>
          <w:noProof/>
        </w:rPr>
      </w:pPr>
      <w:r>
        <w:rPr>
          <w:noProof/>
        </w:rPr>
        <w:t xml:space="preserve">Настоящият доклад представлява резюме на обобщаващия доклад, съгласно член 22 от Регламента PIC, и обединява констатациите от докладите на Комисията, Агенцията и държавите членки. Той представя общ преглед на прилагането на Регламента PIC през периода 2014–2016 г. </w:t>
      </w:r>
    </w:p>
    <w:p>
      <w:pPr>
        <w:pStyle w:val="MBT"/>
        <w:rPr>
          <w:noProof/>
        </w:rPr>
      </w:pPr>
    </w:p>
    <w:p>
      <w:pPr>
        <w:pStyle w:val="Heading1"/>
        <w:rPr>
          <w:noProof/>
        </w:rPr>
      </w:pPr>
      <w:r>
        <w:rPr>
          <w:noProof/>
        </w:rPr>
        <w:t>Управление на Регламента PIC</w:t>
      </w:r>
    </w:p>
    <w:p>
      <w:pPr>
        <w:pStyle w:val="Heading2"/>
        <w:rPr>
          <w:noProof/>
        </w:rPr>
      </w:pPr>
      <w:r>
        <w:rPr>
          <w:noProof/>
        </w:rPr>
        <w:t xml:space="preserve">Всички държави членки са определили своя национален компетентен орган </w:t>
      </w:r>
    </w:p>
    <w:p>
      <w:pPr>
        <w:pStyle w:val="MBT"/>
        <w:rPr>
          <w:noProof/>
        </w:rPr>
      </w:pPr>
    </w:p>
    <w:p>
      <w:pPr>
        <w:pStyle w:val="MBT"/>
        <w:rPr>
          <w:noProof/>
        </w:rPr>
      </w:pPr>
      <w:r>
        <w:rPr>
          <w:noProof/>
        </w:rPr>
        <w:t xml:space="preserve">Съгласно член 4 от Регламента PIC, държавите членки трябва да определят един или няколко органа (определени национални органи, или ОНО), които да изпълняват административните функции, изисквани по Регламента PIC. ОНО играят важна роля в процедурата за уведомление за износ: проверяват съответствието на уведомленията за износ и ги препращат на Агенцията; обработват искания за изрично съгласие и вземат решения относно освобождаване от отговорност; обработват искания за специален референтен идентификационен номер (RIN); и информират Комисията относно решения за забрана или строго ограничаване на даден химикал на национално равнище. Съгласно член 10, ОНО имат и задължения за докладване, включително да предоставят на Агенцията информация относно търговията с химикали, включени в приложение I. Те също така отговарят за предоставяне на информация на държавите вносители при поискване, с цел да улесняват обмена на информация относно химикалите, и да оказват сътрудничество за насърчаването на техническата помощ. </w:t>
      </w:r>
    </w:p>
    <w:p>
      <w:pPr>
        <w:pStyle w:val="MBT"/>
        <w:rPr>
          <w:noProof/>
        </w:rPr>
      </w:pPr>
    </w:p>
    <w:p>
      <w:pPr>
        <w:pStyle w:val="MBT"/>
        <w:rPr>
          <w:noProof/>
        </w:rPr>
      </w:pPr>
      <w:r>
        <w:rPr>
          <w:noProof/>
        </w:rPr>
        <w:t>Тридесет и пет такива органи са определени от държавите членки. Повечето държави членки (22) имат само един ОНО, а шест имат по два или три. ОНО в повечето случаи са министерства или агенции, отговарящи за околната среда, химикалите и здравето или здравословните и безопасни условия на труд. Държавите членки с повече от един ОНО като цяло разделят неговите отговорности, като единият ОНО контролира промишлените химикали, а другият се занимава с пестицидите.</w:t>
      </w:r>
    </w:p>
    <w:p>
      <w:pPr>
        <w:pStyle w:val="MBT"/>
        <w:rPr>
          <w:noProof/>
        </w:rPr>
      </w:pPr>
    </w:p>
    <w:p>
      <w:pPr>
        <w:pStyle w:val="MBT"/>
        <w:rPr>
          <w:noProof/>
        </w:rPr>
      </w:pPr>
      <w:r>
        <w:rPr>
          <w:noProof/>
        </w:rPr>
        <w:t>Ресурсите, необходими за прилагането на Регламента PIC в държавите членки, по-специално човешките ресурси, зависят от броя на уведомленията за износ и исканията за изрично съгласие, които се обработват. Числените данни, предоставени от държавите членки във връзка с човешките ресурси, ангажирани с PIC в ОНО, варират между 0,1 FTE (еквивалент на пълна заетост) за тези държави членки с малко на брой уведомления за износ, и 2 FTE за тези държави членки, в които има най-голям брой уведомления за износ.</w:t>
      </w:r>
    </w:p>
    <w:p>
      <w:pPr>
        <w:pStyle w:val="Body"/>
        <w:spacing w:after="360"/>
        <w:rPr>
          <w:noProof/>
        </w:rPr>
      </w:pPr>
    </w:p>
    <w:p>
      <w:pPr>
        <w:pStyle w:val="Heading2"/>
        <w:rPr>
          <w:noProof/>
        </w:rPr>
      </w:pPr>
      <w:r>
        <w:rPr>
          <w:noProof/>
        </w:rPr>
        <w:t>Работната натовареност на Агенцията е по-висока от очакваното преди влизането в сила на регламента</w:t>
      </w:r>
    </w:p>
    <w:p>
      <w:pPr>
        <w:pStyle w:val="MBT"/>
        <w:rPr>
          <w:noProof/>
        </w:rPr>
      </w:pPr>
    </w:p>
    <w:p>
      <w:pPr>
        <w:pStyle w:val="MBT"/>
        <w:rPr>
          <w:noProof/>
        </w:rPr>
      </w:pPr>
      <w:r>
        <w:rPr>
          <w:noProof/>
        </w:rPr>
        <w:t xml:space="preserve">Агенцията играе централна роля за гарантиране на доброто функциониране на процедурата за уведомления за износ, като: </w:t>
      </w:r>
    </w:p>
    <w:p>
      <w:pPr>
        <w:pStyle w:val="MBT"/>
        <w:numPr>
          <w:ilvl w:val="0"/>
          <w:numId w:val="36"/>
        </w:numPr>
        <w:rPr>
          <w:noProof/>
        </w:rPr>
      </w:pPr>
      <w:r>
        <w:rPr>
          <w:noProof/>
        </w:rPr>
        <w:t>Регистрира уведомленията за износ, проверява тяхната пълнота и ги препраща към ОНО на държавата вносител (член 8, параграф 2);</w:t>
      </w:r>
    </w:p>
    <w:p>
      <w:pPr>
        <w:pStyle w:val="MBT"/>
        <w:numPr>
          <w:ilvl w:val="0"/>
          <w:numId w:val="36"/>
        </w:numPr>
        <w:rPr>
          <w:noProof/>
        </w:rPr>
      </w:pPr>
      <w:r>
        <w:rPr>
          <w:noProof/>
        </w:rPr>
        <w:t>Изпраща второ уведомление за износ ако не получи потвърждение за получаване от органа в държава извън ЕС в рамките на 30 дни от първото изпращане (член 8, параграф 3);</w:t>
      </w:r>
    </w:p>
    <w:p>
      <w:pPr>
        <w:pStyle w:val="MBT"/>
        <w:numPr>
          <w:ilvl w:val="0"/>
          <w:numId w:val="36"/>
        </w:numPr>
        <w:rPr>
          <w:noProof/>
        </w:rPr>
      </w:pPr>
      <w:r>
        <w:rPr>
          <w:noProof/>
        </w:rPr>
        <w:t xml:space="preserve">Прави уведомленията за износ, получени от ОНО на трета държава достъпни за всички ОНО в ЕС (член 9, параграф 1); </w:t>
      </w:r>
    </w:p>
    <w:p>
      <w:pPr>
        <w:pStyle w:val="MBT"/>
        <w:numPr>
          <w:ilvl w:val="0"/>
          <w:numId w:val="36"/>
        </w:numPr>
        <w:rPr>
          <w:noProof/>
        </w:rPr>
      </w:pPr>
      <w:r>
        <w:rPr>
          <w:noProof/>
        </w:rPr>
        <w:t>Потвърждава получаването на уведомления за износ, получени от държави извън ЕС (член 9, параграф 1);</w:t>
      </w:r>
    </w:p>
    <w:p>
      <w:pPr>
        <w:pStyle w:val="MBT"/>
        <w:numPr>
          <w:ilvl w:val="0"/>
          <w:numId w:val="36"/>
        </w:numPr>
        <w:rPr>
          <w:noProof/>
        </w:rPr>
      </w:pPr>
      <w:r>
        <w:rPr>
          <w:noProof/>
        </w:rPr>
        <w:t>Изпраща напомнящо съобщение относно искане за изрично съгласие, ако не е получен отговор от органите в държава извън ЕС в рамките на 30 дни от първото искане; изпраща второ напомнящо съобщение след допълнителен период от 30 дни, ако все още не е получен отговор (член 14, параграф 6);</w:t>
      </w:r>
    </w:p>
    <w:p>
      <w:pPr>
        <w:pStyle w:val="MBT"/>
        <w:numPr>
          <w:ilvl w:val="0"/>
          <w:numId w:val="36"/>
        </w:numPr>
        <w:rPr>
          <w:noProof/>
        </w:rPr>
      </w:pPr>
      <w:r>
        <w:rPr>
          <w:noProof/>
        </w:rPr>
        <w:t>Оказва подкрепа на ОНО от ЕС и на Комисията във връзка с оценката на отказите от права съгласно член 14, параграф 6 и член 14, параграф 7;</w:t>
      </w:r>
    </w:p>
    <w:p>
      <w:pPr>
        <w:pStyle w:val="MBT"/>
        <w:numPr>
          <w:ilvl w:val="0"/>
          <w:numId w:val="36"/>
        </w:numPr>
        <w:rPr>
          <w:noProof/>
        </w:rPr>
      </w:pPr>
      <w:r>
        <w:rPr>
          <w:noProof/>
        </w:rPr>
        <w:t xml:space="preserve">Събира, обобщава и публикува данните, получавани всяка година от ОНО относно количествата изнесените и внескените химикали (член 10, параграф 3). </w:t>
      </w:r>
    </w:p>
    <w:p>
      <w:pPr>
        <w:spacing w:after="0"/>
        <w:rPr>
          <w:noProof/>
        </w:rPr>
      </w:pPr>
    </w:p>
    <w:p>
      <w:pPr>
        <w:pStyle w:val="MBT"/>
        <w:rPr>
          <w:noProof/>
        </w:rPr>
      </w:pPr>
      <w:r>
        <w:rPr>
          <w:noProof/>
        </w:rPr>
        <w:t>Агенцията отговаря за разработването и функционирането на софтуерното приложение за обработване на известията за износ и изричните съгласия, давани от държавите вносители (ePIC). В допълнение към това, тя предоставя помощ и технически и научни насоки на промишлеността, на ОНО от държави — членки на ЕС, и от трети държави, и на Европейската комисия (член 6).</w:t>
      </w:r>
    </w:p>
    <w:p>
      <w:pPr>
        <w:pStyle w:val="Body"/>
        <w:rPr>
          <w:noProof/>
        </w:rPr>
      </w:pPr>
    </w:p>
    <w:p>
      <w:pPr>
        <w:spacing w:after="120"/>
        <w:rPr>
          <w:rFonts w:ascii="Verdana" w:hAnsi="Verdana"/>
          <w:noProof/>
          <w:sz w:val="20"/>
        </w:rPr>
      </w:pPr>
      <w:r>
        <w:rPr>
          <w:rFonts w:ascii="Verdana" w:hAnsi="Verdana"/>
          <w:noProof/>
          <w:sz w:val="20"/>
        </w:rPr>
        <w:t xml:space="preserve">Както се подчертава в доклада на Агенцията, броят на уведомленията за износ се е увеличил над прогнозираното годишно повишение от 10 %, с което се е генерирала допълнителна работна натовареност над очакваната, както и се е увеличило времето, изразходвано в подкрепа на ОНО (от държави от и извън ЕС). Усилието в подкрепа на ОНО от ЕС и извън ЕС отнема между 30 % и 40 % от времето на служителите. Увеличението на уведомленията за износ също така е породило нужда от подобрения по софтуерното приложение за PIC, напр. подобряване на автоматизацията на определени процеси за намаляване на работното натоварване за промишлените потребители и органите, така че да имат възможност да спазват законоустановените крайни срокове. </w:t>
      </w: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Брой на очакваните спрямо реално обработените от Агенцията уведомления </w:t>
      </w:r>
    </w:p>
    <w:tbl>
      <w:tblPr>
        <w:tblStyle w:val="TableGrid"/>
        <w:tblW w:w="5000" w:type="pct"/>
        <w:tblLook w:val="04A0" w:firstRow="1" w:lastRow="0" w:firstColumn="1" w:lastColumn="0" w:noHBand="0" w:noVBand="1"/>
      </w:tblPr>
      <w:tblGrid>
        <w:gridCol w:w="3821"/>
        <w:gridCol w:w="1822"/>
        <w:gridCol w:w="1822"/>
        <w:gridCol w:w="1822"/>
      </w:tblGrid>
      <w:tr>
        <w:trPr>
          <w:cnfStyle w:val="100000000000" w:firstRow="1" w:lastRow="0" w:firstColumn="0" w:lastColumn="0" w:oddVBand="0" w:evenVBand="0" w:oddHBand="0" w:evenHBand="0" w:firstRowFirstColumn="0" w:firstRowLastColumn="0" w:lastRowFirstColumn="0" w:lastRowLastColumn="0"/>
        </w:trPr>
        <w:tc>
          <w:tcPr>
            <w:tcW w:w="2057" w:type="pct"/>
            <w:shd w:val="clear" w:color="auto" w:fill="000099"/>
          </w:tcPr>
          <w:p>
            <w:pPr>
              <w:pStyle w:val="MBT"/>
              <w:rPr>
                <w:noProof/>
              </w:rPr>
            </w:pPr>
          </w:p>
        </w:tc>
        <w:tc>
          <w:tcPr>
            <w:tcW w:w="981" w:type="pct"/>
            <w:shd w:val="clear" w:color="auto" w:fill="000099"/>
          </w:tcPr>
          <w:p>
            <w:pPr>
              <w:pStyle w:val="MBT"/>
              <w:rPr>
                <w:noProof/>
              </w:rPr>
            </w:pPr>
            <w:r>
              <w:rPr>
                <w:noProof/>
              </w:rPr>
              <w:t>2014 г.</w:t>
            </w:r>
          </w:p>
        </w:tc>
        <w:tc>
          <w:tcPr>
            <w:tcW w:w="981" w:type="pct"/>
            <w:shd w:val="clear" w:color="auto" w:fill="000099"/>
          </w:tcPr>
          <w:p>
            <w:pPr>
              <w:pStyle w:val="MBT"/>
              <w:rPr>
                <w:noProof/>
              </w:rPr>
            </w:pPr>
            <w:r>
              <w:rPr>
                <w:noProof/>
              </w:rPr>
              <w:t>2015 г.</w:t>
            </w:r>
          </w:p>
        </w:tc>
        <w:tc>
          <w:tcPr>
            <w:tcW w:w="981" w:type="pct"/>
            <w:shd w:val="clear" w:color="auto" w:fill="000099"/>
          </w:tcPr>
          <w:p>
            <w:pPr>
              <w:pStyle w:val="MBT"/>
              <w:rPr>
                <w:noProof/>
              </w:rPr>
            </w:pPr>
            <w:r>
              <w:rPr>
                <w:noProof/>
              </w:rPr>
              <w:t>2016 г.</w:t>
            </w:r>
          </w:p>
        </w:tc>
      </w:tr>
      <w:tr>
        <w:tc>
          <w:tcPr>
            <w:tcW w:w="2057" w:type="pct"/>
          </w:tcPr>
          <w:p>
            <w:pPr>
              <w:pStyle w:val="MBT"/>
              <w:rPr>
                <w:noProof/>
                <w:sz w:val="18"/>
              </w:rPr>
            </w:pPr>
            <w:r>
              <w:rPr>
                <w:noProof/>
                <w:sz w:val="18"/>
              </w:rPr>
              <w:t>Очакван брой уведомления</w:t>
            </w:r>
          </w:p>
        </w:tc>
        <w:tc>
          <w:tcPr>
            <w:tcW w:w="981" w:type="pct"/>
          </w:tcPr>
          <w:p>
            <w:pPr>
              <w:pStyle w:val="MBT"/>
              <w:rPr>
                <w:noProof/>
                <w:sz w:val="18"/>
              </w:rPr>
            </w:pPr>
            <w:r>
              <w:rPr>
                <w:noProof/>
                <w:sz w:val="18"/>
              </w:rPr>
              <w:t>4 000</w:t>
            </w:r>
          </w:p>
        </w:tc>
        <w:tc>
          <w:tcPr>
            <w:tcW w:w="981" w:type="pct"/>
          </w:tcPr>
          <w:p>
            <w:pPr>
              <w:pStyle w:val="MBT"/>
              <w:rPr>
                <w:noProof/>
                <w:sz w:val="18"/>
              </w:rPr>
            </w:pPr>
            <w:r>
              <w:rPr>
                <w:noProof/>
                <w:sz w:val="18"/>
              </w:rPr>
              <w:t>4 300</w:t>
            </w:r>
          </w:p>
        </w:tc>
        <w:tc>
          <w:tcPr>
            <w:tcW w:w="981" w:type="pct"/>
          </w:tcPr>
          <w:p>
            <w:pPr>
              <w:pStyle w:val="MBT"/>
              <w:rPr>
                <w:noProof/>
                <w:sz w:val="18"/>
              </w:rPr>
            </w:pPr>
            <w:r>
              <w:rPr>
                <w:noProof/>
                <w:sz w:val="18"/>
              </w:rPr>
              <w:t>6 300</w:t>
            </w:r>
          </w:p>
        </w:tc>
      </w:tr>
      <w:tr>
        <w:tc>
          <w:tcPr>
            <w:tcW w:w="2057" w:type="pct"/>
          </w:tcPr>
          <w:p>
            <w:pPr>
              <w:pStyle w:val="MBT"/>
              <w:rPr>
                <w:noProof/>
                <w:sz w:val="18"/>
              </w:rPr>
            </w:pPr>
            <w:r>
              <w:rPr>
                <w:noProof/>
                <w:sz w:val="18"/>
              </w:rPr>
              <w:t xml:space="preserve">Действителен брой уведомления </w:t>
            </w:r>
          </w:p>
        </w:tc>
        <w:tc>
          <w:tcPr>
            <w:tcW w:w="981" w:type="pct"/>
          </w:tcPr>
          <w:p>
            <w:pPr>
              <w:pStyle w:val="MBT"/>
              <w:rPr>
                <w:noProof/>
                <w:sz w:val="18"/>
              </w:rPr>
            </w:pPr>
            <w:r>
              <w:rPr>
                <w:noProof/>
                <w:sz w:val="18"/>
              </w:rPr>
              <w:t>4 575</w:t>
            </w:r>
          </w:p>
        </w:tc>
        <w:tc>
          <w:tcPr>
            <w:tcW w:w="981" w:type="pct"/>
          </w:tcPr>
          <w:p>
            <w:pPr>
              <w:pStyle w:val="MBT"/>
              <w:rPr>
                <w:noProof/>
                <w:sz w:val="18"/>
              </w:rPr>
            </w:pPr>
            <w:r>
              <w:rPr>
                <w:noProof/>
                <w:sz w:val="18"/>
              </w:rPr>
              <w:t>5 460</w:t>
            </w:r>
          </w:p>
        </w:tc>
        <w:tc>
          <w:tcPr>
            <w:tcW w:w="981" w:type="pct"/>
          </w:tcPr>
          <w:p>
            <w:pPr>
              <w:pStyle w:val="MBT"/>
              <w:rPr>
                <w:noProof/>
                <w:sz w:val="18"/>
              </w:rPr>
            </w:pPr>
            <w:r>
              <w:rPr>
                <w:noProof/>
                <w:sz w:val="18"/>
              </w:rPr>
              <w:t>7 967</w:t>
            </w:r>
          </w:p>
        </w:tc>
      </w:tr>
    </w:tbl>
    <w:p>
      <w:pPr>
        <w:pStyle w:val="MBT"/>
        <w:rPr>
          <w:noProof/>
          <w:lang w:val="en-GB"/>
        </w:rPr>
      </w:pPr>
    </w:p>
    <w:p>
      <w:pPr>
        <w:pStyle w:val="Body"/>
        <w:jc w:val="both"/>
        <w:rPr>
          <w:noProof/>
        </w:rPr>
      </w:pPr>
      <w:r>
        <w:rPr>
          <w:noProof/>
        </w:rPr>
        <w:t>Агенцията е посочила, че сегашното работно натоварване потвърждава тази тенденция и че предприемането на тази допълнителна работа ще изисква допълнителни човешки и финансови ресурси.</w:t>
      </w:r>
    </w:p>
    <w:p>
      <w:pPr>
        <w:pStyle w:val="Body"/>
        <w:rPr>
          <w:noProof/>
          <w:lang w:val="ru-RU"/>
        </w:rPr>
      </w:pPr>
    </w:p>
    <w:p>
      <w:pPr>
        <w:pStyle w:val="Heading2"/>
        <w:rPr>
          <w:noProof/>
        </w:rPr>
      </w:pPr>
      <w:bookmarkStart w:id="8" w:name="_Toc495401093"/>
      <w:bookmarkStart w:id="9" w:name="_Toc497750130"/>
      <w:r>
        <w:rPr>
          <w:noProof/>
        </w:rPr>
        <w:t xml:space="preserve">Комисията, Агенцията и ОНО </w:t>
      </w:r>
      <w:bookmarkEnd w:id="8"/>
      <w:bookmarkEnd w:id="9"/>
      <w:r>
        <w:rPr>
          <w:noProof/>
        </w:rPr>
        <w:t xml:space="preserve">считат координацията между ЕС и националните институции за ефективна </w:t>
      </w:r>
    </w:p>
    <w:p>
      <w:pPr>
        <w:pStyle w:val="MBT"/>
        <w:tabs>
          <w:tab w:val="right" w:pos="9070"/>
        </w:tabs>
        <w:rPr>
          <w:noProof/>
        </w:rPr>
      </w:pPr>
      <w:bookmarkStart w:id="10" w:name="_Toc497750138"/>
    </w:p>
    <w:p>
      <w:pPr>
        <w:pStyle w:val="MBT"/>
        <w:tabs>
          <w:tab w:val="right" w:pos="9070"/>
        </w:tabs>
        <w:rPr>
          <w:noProof/>
        </w:rPr>
      </w:pPr>
      <w:r>
        <w:rPr>
          <w:noProof/>
        </w:rPr>
        <w:t xml:space="preserve">Като цяло, държавите членки считат координацията между ОНО и Комисията, както и между ОНО и Агенцията, за задоволителна. Няколко ОНО са оценили подкрепата, оказана от Комисията и Агенцията, особено по отношение на бързина и качество. Агенцията също оценява сътрудничеството с ОНО като ефективно, включително при разглеждане на разногласия. Комисията също е приела сътрудничеството с ОНО за ефективно, по-специално посредством дискусии по време на полугодишните срещи на ОНО относно PIC. </w:t>
      </w:r>
    </w:p>
    <w:p>
      <w:pPr>
        <w:pStyle w:val="Body"/>
        <w:jc w:val="both"/>
        <w:rPr>
          <w:noProof/>
        </w:rPr>
      </w:pPr>
    </w:p>
    <w:p>
      <w:pPr>
        <w:pStyle w:val="Body"/>
        <w:jc w:val="both"/>
        <w:rPr>
          <w:noProof/>
        </w:rPr>
      </w:pPr>
      <w:r>
        <w:rPr>
          <w:noProof/>
        </w:rPr>
        <w:t>Агенцията е оценила сътрудничеството с Комисията като задоволително, като е посочила редица аспекти, които могат да се подобрят, като например подготовката на уведомленията за ОНА, подготовката на срещите, прилагането на член 14, параграф 6 и член 14, параграф 7 и процедурата за актуализация на приложенията. Комисията също е счела сътрудничеството с Агенцията за задоволително, като е подчертала значението на редовния обмен на научни, технически и правни въпроси, произтичащи от контекста на прилагането, по-специално правното тълкуване на разпоредбите и тяхното практическо приложение.</w:t>
      </w:r>
    </w:p>
    <w:p>
      <w:pPr>
        <w:pStyle w:val="Body"/>
        <w:jc w:val="both"/>
        <w:rPr>
          <w:noProof/>
        </w:rPr>
      </w:pPr>
    </w:p>
    <w:p>
      <w:pPr>
        <w:pStyle w:val="Heading1"/>
        <w:rPr>
          <w:noProof/>
        </w:rPr>
      </w:pPr>
      <w:r>
        <w:rPr>
          <w:noProof/>
        </w:rPr>
        <w:t>Актуализация на приложение I към Регламента PIC</w:t>
      </w:r>
      <w:bookmarkEnd w:id="10"/>
      <w:r>
        <w:rPr>
          <w:noProof/>
        </w:rPr>
        <w:t xml:space="preserve"> </w:t>
      </w:r>
    </w:p>
    <w:p>
      <w:pPr>
        <w:pStyle w:val="Body"/>
        <w:jc w:val="both"/>
        <w:rPr>
          <w:noProof/>
        </w:rPr>
      </w:pPr>
      <w:r>
        <w:rPr>
          <w:noProof/>
        </w:rPr>
        <w:t>Съгласно член 23, списъкът на химикалите в приложение I следва да се преразглежда от Комисията най-малко веднъж годишно, въз основа на развитията в законодателството на ЕС – най-вече в Регламента REACH</w:t>
      </w:r>
      <w:r>
        <w:rPr>
          <w:rStyle w:val="FootnoteReference"/>
          <w:noProof/>
          <w:lang w:val="en-US"/>
        </w:rPr>
        <w:footnoteReference w:id="6"/>
      </w:r>
      <w:r>
        <w:rPr>
          <w:noProof/>
        </w:rPr>
        <w:t>, BPR</w:t>
      </w:r>
      <w:r>
        <w:rPr>
          <w:rStyle w:val="FootnoteReference"/>
          <w:noProof/>
          <w:lang w:val="en-US"/>
        </w:rPr>
        <w:footnoteReference w:id="7"/>
      </w:r>
      <w:r>
        <w:rPr>
          <w:noProof/>
        </w:rPr>
        <w:t xml:space="preserve"> и РПРЗ</w:t>
      </w:r>
      <w:r>
        <w:rPr>
          <w:rStyle w:val="FootnoteReference"/>
          <w:noProof/>
          <w:lang w:val="en-US"/>
        </w:rPr>
        <w:footnoteReference w:id="8"/>
      </w:r>
      <w:r>
        <w:rPr>
          <w:noProof/>
        </w:rPr>
        <w:t xml:space="preserve"> – и съгласно Конвенцията. Приложенията към Регламента PIC се изменят посредством делегирани актове, приемани от Комисията.</w:t>
      </w:r>
    </w:p>
    <w:p>
      <w:pPr>
        <w:pStyle w:val="Body"/>
        <w:jc w:val="both"/>
        <w:rPr>
          <w:noProof/>
        </w:rPr>
      </w:pPr>
    </w:p>
    <w:p>
      <w:pPr>
        <w:pStyle w:val="Body"/>
        <w:jc w:val="both"/>
        <w:rPr>
          <w:noProof/>
        </w:rPr>
      </w:pPr>
      <w:r>
        <w:rPr>
          <w:noProof/>
        </w:rPr>
        <w:t xml:space="preserve">По време на отчетния период, 21 вещества са включени в част 1 и 10 вещества в част 2 от приложение I. Дванадесет от тези вещества са включени след забрана на тяхната употреба като пестициди по РПРЗ, а девет — след включването им в приложение XVII към Регламента REACH. Седем са включени в част 3 от приложение I след тяхното включване в приложение III към Ротердамската конвенция. </w:t>
      </w:r>
    </w:p>
    <w:p>
      <w:pPr>
        <w:pStyle w:val="Body"/>
        <w:spacing w:after="240"/>
        <w:jc w:val="both"/>
        <w:rPr>
          <w:noProof/>
        </w:rPr>
      </w:pP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Вещества, добавени към приложение I по време на отчетния период</w:t>
      </w:r>
    </w:p>
    <w:tbl>
      <w:tblPr>
        <w:tblStyle w:val="TableGrid"/>
        <w:tblW w:w="5000" w:type="pct"/>
        <w:tblLook w:val="04A0" w:firstRow="1" w:lastRow="0" w:firstColumn="1" w:lastColumn="0" w:noHBand="0" w:noVBand="1"/>
      </w:tblPr>
      <w:tblGrid>
        <w:gridCol w:w="2203"/>
        <w:gridCol w:w="3593"/>
        <w:gridCol w:w="1650"/>
        <w:gridCol w:w="1841"/>
      </w:tblGrid>
      <w:tr>
        <w:trPr>
          <w:cnfStyle w:val="100000000000" w:firstRow="1" w:lastRow="0" w:firstColumn="0" w:lastColumn="0" w:oddVBand="0" w:evenVBand="0" w:oddHBand="0" w:evenHBand="0" w:firstRowFirstColumn="0" w:firstRowLastColumn="0" w:lastRowFirstColumn="0" w:lastRowLastColumn="0"/>
          <w:tblHeader/>
        </w:trPr>
        <w:tc>
          <w:tcPr>
            <w:tcW w:w="1125" w:type="pct"/>
            <w:tcBorders>
              <w:top w:val="single" w:sz="4" w:space="0" w:color="FFFFFF"/>
              <w:left w:val="single" w:sz="4" w:space="0" w:color="FFFFFF"/>
              <w:bottom w:val="single" w:sz="4" w:space="0" w:color="FFFFFF"/>
              <w:right w:val="single" w:sz="4" w:space="0" w:color="FFFFFF"/>
            </w:tcBorders>
            <w:shd w:val="clear" w:color="auto" w:fill="000099"/>
            <w:hideMark/>
          </w:tcPr>
          <w:p>
            <w:pPr>
              <w:pStyle w:val="MBT"/>
              <w:rPr>
                <w:noProof/>
              </w:rPr>
            </w:pPr>
            <w:r>
              <w:rPr>
                <w:noProof/>
              </w:rPr>
              <w:t>Делегиран акт</w:t>
            </w:r>
          </w:p>
        </w:tc>
        <w:tc>
          <w:tcPr>
            <w:tcW w:w="1969" w:type="pct"/>
            <w:tcBorders>
              <w:top w:val="single" w:sz="4" w:space="0" w:color="FFFFFF"/>
              <w:left w:val="single" w:sz="4" w:space="0" w:color="FFFFFF"/>
              <w:bottom w:val="single" w:sz="4" w:space="0" w:color="FFFFFF"/>
              <w:right w:val="single" w:sz="4" w:space="0" w:color="FFFFFF"/>
            </w:tcBorders>
            <w:shd w:val="clear" w:color="auto" w:fill="000099"/>
            <w:hideMark/>
          </w:tcPr>
          <w:p>
            <w:pPr>
              <w:pStyle w:val="MBT"/>
              <w:rPr>
                <w:noProof/>
              </w:rPr>
            </w:pPr>
            <w:r>
              <w:rPr>
                <w:noProof/>
              </w:rPr>
              <w:t xml:space="preserve">Химикал </w:t>
            </w:r>
          </w:p>
        </w:tc>
        <w:tc>
          <w:tcPr>
            <w:tcW w:w="904" w:type="pct"/>
            <w:tcBorders>
              <w:top w:val="single" w:sz="4" w:space="0" w:color="FFFFFF"/>
              <w:left w:val="single" w:sz="4" w:space="0" w:color="FFFFFF"/>
              <w:bottom w:val="single" w:sz="4" w:space="0" w:color="FFFFFF"/>
              <w:right w:val="single" w:sz="4" w:space="0" w:color="FFFFFF"/>
            </w:tcBorders>
            <w:shd w:val="clear" w:color="auto" w:fill="000099"/>
            <w:hideMark/>
          </w:tcPr>
          <w:p>
            <w:pPr>
              <w:pStyle w:val="MBT"/>
              <w:jc w:val="left"/>
              <w:rPr>
                <w:noProof/>
              </w:rPr>
            </w:pPr>
            <w:r>
              <w:rPr>
                <w:noProof/>
              </w:rPr>
              <w:t>Изменение на приложение I</w:t>
            </w:r>
          </w:p>
        </w:tc>
        <w:tc>
          <w:tcPr>
            <w:tcW w:w="1001" w:type="pct"/>
            <w:tcBorders>
              <w:top w:val="single" w:sz="4" w:space="0" w:color="FFFFFF"/>
              <w:left w:val="single" w:sz="4" w:space="0" w:color="FFFFFF"/>
              <w:bottom w:val="single" w:sz="4" w:space="0" w:color="FFFFFF"/>
              <w:right w:val="single" w:sz="4" w:space="0" w:color="FFFFFF"/>
            </w:tcBorders>
            <w:shd w:val="clear" w:color="auto" w:fill="000099"/>
            <w:hideMark/>
          </w:tcPr>
          <w:p>
            <w:pPr>
              <w:pStyle w:val="MBT"/>
              <w:jc w:val="left"/>
              <w:rPr>
                <w:noProof/>
              </w:rPr>
            </w:pPr>
            <w:r>
              <w:rPr>
                <w:noProof/>
              </w:rPr>
              <w:t>Основание за включване</w:t>
            </w:r>
          </w:p>
        </w:tc>
      </w:tr>
      <w:tr>
        <w:tc>
          <w:tcPr>
            <w:tcW w:w="1125" w:type="pct"/>
            <w:vMerge w:val="restar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Делегиран регламент (ЕС) № 1078/2014 на Комисията от 7 август 2014 г. за изменение на приложение I към Регламент (ЕС) № 649/2012</w:t>
            </w: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Азоциклотин </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 и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РПРЗ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Битертанол</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 и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РПРЗ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Цинидон-етил</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 и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РПРЗ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Цикланилид </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 и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РПРЗ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Цифлутрин</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Част 1 и 2 </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РПРЗ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Цихексатин</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 и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РПРЗ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Етоксисулфурон</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 и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РПРЗ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Дидецилдиметиламониев хлорид</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РПРЗ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Оксадиаргил</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 и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РПРЗ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Ротенон </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 и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РПРЗ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Варфарин</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 xml:space="preserve">РПРЗ </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Азинфос-метил</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Приложение III към РК</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Перфлуорооктансулфонова киселина</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Приложение III към РК</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Перфлуорооктансулфонати</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Приложение III към РК</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Перфлуорооктансулфонамиди</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Приложение III към РК</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Перфлуорооктансулфонили</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Приложение III към РК</w:t>
            </w:r>
          </w:p>
        </w:tc>
      </w:tr>
      <w:tr>
        <w:tc>
          <w:tcPr>
            <w:tcW w:w="1125" w:type="pct"/>
            <w:vMerge w:val="restar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Делегиран регламент (ЕС) 2015/2229 на Комисията от 29 септември 2015 г. за изменение на приложение I към Регламент (ЕС) № 649/2012.</w:t>
            </w: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1,1-Дихлороетен</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Регламентът 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1,1,2-трихлороетан</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Регламентът 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1,1,1,2-тетрахлороетан</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Регламентът 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1,1,2,2-тетрахлороетан</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Регламентът 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Съединения на дибутилкалая</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Регламентът 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Съединения на диоктилкалая</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Регламентът 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Фенбутакалаен оксид</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 и 2</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РПРЗ</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Съединения на оловото</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Регламентът 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Пентахлороетан</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Регламентът 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Трихлоробензен</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1</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Регламентът REACH</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Търговски пентабромодифенилов етер, включително: тетрабромодифенилов етер и пентабромодифенилов етер</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Приложение III към РК</w:t>
            </w:r>
          </w:p>
        </w:tc>
      </w:tr>
      <w:tr>
        <w:tc>
          <w:tcPr>
            <w:tcW w:w="1125" w:type="pct"/>
            <w:vMerge/>
            <w:tcBorders>
              <w:top w:val="single" w:sz="4" w:space="0" w:color="FFFFFF"/>
              <w:left w:val="single" w:sz="4" w:space="0" w:color="FFFFFF"/>
              <w:bottom w:val="single" w:sz="4" w:space="0" w:color="FFFFFF"/>
              <w:right w:val="single" w:sz="4" w:space="0" w:color="FFFFFF"/>
            </w:tcBorders>
            <w:vAlign w:val="center"/>
            <w:hideMark/>
          </w:tcPr>
          <w:p>
            <w:pPr>
              <w:spacing w:after="0"/>
              <w:jc w:val="left"/>
              <w:rPr>
                <w:bCs/>
                <w:noProof/>
                <w:sz w:val="20"/>
                <w:szCs w:val="22"/>
                <w:lang w:val="en-US" w:eastAsia="fr-FR"/>
              </w:rPr>
            </w:pPr>
          </w:p>
        </w:tc>
        <w:tc>
          <w:tcPr>
            <w:tcW w:w="1969"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Търговски октабромодифенилов етер, включващ хексабромодифенилов етер и хептабромодифенилов етер</w:t>
            </w:r>
          </w:p>
        </w:tc>
        <w:tc>
          <w:tcPr>
            <w:tcW w:w="904" w:type="pct"/>
            <w:tcBorders>
              <w:top w:val="single" w:sz="4" w:space="0" w:color="FFFFFF"/>
              <w:left w:val="single" w:sz="4" w:space="0" w:color="FFFFFF"/>
              <w:bottom w:val="single" w:sz="4" w:space="0" w:color="FFFFFF"/>
              <w:right w:val="single" w:sz="4" w:space="0" w:color="FFFFFF"/>
            </w:tcBorders>
            <w:hideMark/>
          </w:tcPr>
          <w:p>
            <w:pPr>
              <w:pStyle w:val="MBT"/>
              <w:rPr>
                <w:noProof/>
              </w:rPr>
            </w:pPr>
            <w:r>
              <w:rPr>
                <w:noProof/>
              </w:rPr>
              <w:t>Част 3</w:t>
            </w:r>
          </w:p>
        </w:tc>
        <w:tc>
          <w:tcPr>
            <w:tcW w:w="1001" w:type="pct"/>
            <w:tcBorders>
              <w:top w:val="single" w:sz="4" w:space="0" w:color="FFFFFF"/>
              <w:left w:val="single" w:sz="4" w:space="0" w:color="FFFFFF"/>
              <w:bottom w:val="single" w:sz="4" w:space="0" w:color="FFFFFF"/>
              <w:right w:val="single" w:sz="4" w:space="0" w:color="FFFFFF"/>
            </w:tcBorders>
            <w:hideMark/>
          </w:tcPr>
          <w:p>
            <w:pPr>
              <w:pStyle w:val="MBT"/>
              <w:jc w:val="left"/>
              <w:rPr>
                <w:noProof/>
              </w:rPr>
            </w:pPr>
            <w:r>
              <w:rPr>
                <w:noProof/>
              </w:rPr>
              <w:t>Приложение III към РК</w:t>
            </w:r>
          </w:p>
        </w:tc>
      </w:tr>
    </w:tbl>
    <w:p>
      <w:pPr>
        <w:pStyle w:val="MBT"/>
        <w:rPr>
          <w:noProof/>
        </w:rPr>
      </w:pPr>
    </w:p>
    <w:p>
      <w:pPr>
        <w:pStyle w:val="MBT"/>
        <w:rPr>
          <w:noProof/>
        </w:rPr>
      </w:pPr>
      <w:r>
        <w:rPr>
          <w:noProof/>
        </w:rPr>
        <w:t xml:space="preserve">Съгласно член 11 от Регламента PIC, Комисията трябва да уведомява Секретариата на Ротердамската конвенция, в писмен вид, за химикалите, посочени в част 2 от приложение I, които отговарят на изискванията за уведомление по PIC процедурата. Три уведомления са изпратени до Секретариата по време на отчетния период:  </w:t>
      </w:r>
    </w:p>
    <w:p>
      <w:pPr>
        <w:spacing w:after="0"/>
        <w:jc w:val="left"/>
        <w:rPr>
          <w:rFonts w:ascii="Verdana" w:hAnsi="Verdana"/>
          <w:bCs/>
          <w:noProof/>
          <w:sz w:val="20"/>
          <w:szCs w:val="22"/>
        </w:rPr>
      </w:pPr>
      <w:r>
        <w:rPr>
          <w:noProof/>
        </w:rPr>
        <w:br w:type="page"/>
      </w: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xml:space="preserve">: Уведомления относно PIC, изпратени до Секретариата по време на отчетния период </w:t>
      </w:r>
    </w:p>
    <w:tbl>
      <w:tblPr>
        <w:tblStyle w:val="TableGrid"/>
        <w:tblW w:w="5000" w:type="pct"/>
        <w:tblLook w:val="04A0" w:firstRow="1" w:lastRow="0" w:firstColumn="1" w:lastColumn="0" w:noHBand="0" w:noVBand="1"/>
      </w:tblPr>
      <w:tblGrid>
        <w:gridCol w:w="4587"/>
        <w:gridCol w:w="2350"/>
        <w:gridCol w:w="2350"/>
      </w:tblGrid>
      <w:tr>
        <w:trPr>
          <w:cnfStyle w:val="100000000000" w:firstRow="1" w:lastRow="0" w:firstColumn="0" w:lastColumn="0" w:oddVBand="0" w:evenVBand="0" w:oddHBand="0" w:evenHBand="0" w:firstRowFirstColumn="0" w:firstRowLastColumn="0" w:lastRowFirstColumn="0" w:lastRowLastColumn="0"/>
          <w:tblHeader/>
        </w:trPr>
        <w:tc>
          <w:tcPr>
            <w:tcW w:w="2470" w:type="pct"/>
            <w:shd w:val="clear" w:color="auto" w:fill="000099"/>
          </w:tcPr>
          <w:p>
            <w:pPr>
              <w:pStyle w:val="MBT"/>
              <w:rPr>
                <w:noProof/>
              </w:rPr>
            </w:pPr>
            <w:r>
              <w:rPr>
                <w:noProof/>
              </w:rPr>
              <w:t xml:space="preserve">Основание за уведомяване </w:t>
            </w:r>
          </w:p>
        </w:tc>
        <w:tc>
          <w:tcPr>
            <w:tcW w:w="1265" w:type="pct"/>
            <w:shd w:val="clear" w:color="auto" w:fill="000099"/>
          </w:tcPr>
          <w:p>
            <w:pPr>
              <w:pStyle w:val="MBT"/>
              <w:rPr>
                <w:noProof/>
              </w:rPr>
            </w:pPr>
            <w:r>
              <w:rPr>
                <w:noProof/>
              </w:rPr>
              <w:t xml:space="preserve">Химикали, за които е изпратено уведомление </w:t>
            </w:r>
          </w:p>
        </w:tc>
        <w:tc>
          <w:tcPr>
            <w:tcW w:w="1265" w:type="pct"/>
            <w:shd w:val="clear" w:color="auto" w:fill="000099"/>
          </w:tcPr>
          <w:p>
            <w:pPr>
              <w:pStyle w:val="MBT"/>
              <w:rPr>
                <w:noProof/>
              </w:rPr>
            </w:pPr>
            <w:r>
              <w:rPr>
                <w:noProof/>
              </w:rPr>
              <w:t>Дата на уведомлението</w:t>
            </w:r>
          </w:p>
        </w:tc>
      </w:tr>
      <w:tr>
        <w:tc>
          <w:tcPr>
            <w:tcW w:w="2470" w:type="pct"/>
          </w:tcPr>
          <w:p>
            <w:pPr>
              <w:pStyle w:val="MBT"/>
              <w:rPr>
                <w:noProof/>
              </w:rPr>
            </w:pPr>
            <w:r>
              <w:rPr>
                <w:noProof/>
              </w:rPr>
              <w:t>Регламент (ЕО) № 73/2013 на Комисията (2014 г.)</w:t>
            </w:r>
          </w:p>
        </w:tc>
        <w:tc>
          <w:tcPr>
            <w:tcW w:w="1265" w:type="pct"/>
          </w:tcPr>
          <w:p>
            <w:pPr>
              <w:pStyle w:val="MBT"/>
              <w:rPr>
                <w:noProof/>
              </w:rPr>
            </w:pPr>
            <w:r>
              <w:rPr>
                <w:noProof/>
              </w:rPr>
              <w:t>Налед</w:t>
            </w:r>
          </w:p>
          <w:p>
            <w:pPr>
              <w:pStyle w:val="MBT"/>
              <w:rPr>
                <w:noProof/>
                <w:lang w:val="fr-BE"/>
              </w:rPr>
            </w:pPr>
          </w:p>
        </w:tc>
        <w:tc>
          <w:tcPr>
            <w:tcW w:w="1265" w:type="pct"/>
          </w:tcPr>
          <w:p>
            <w:pPr>
              <w:pStyle w:val="MBT"/>
              <w:rPr>
                <w:noProof/>
              </w:rPr>
            </w:pPr>
            <w:r>
              <w:rPr>
                <w:noProof/>
              </w:rPr>
              <w:t>април 2014 г.</w:t>
            </w:r>
          </w:p>
        </w:tc>
      </w:tr>
      <w:tr>
        <w:tc>
          <w:tcPr>
            <w:tcW w:w="2470" w:type="pct"/>
          </w:tcPr>
          <w:p>
            <w:pPr>
              <w:pStyle w:val="MBT"/>
              <w:rPr>
                <w:noProof/>
              </w:rPr>
            </w:pPr>
            <w:r>
              <w:rPr>
                <w:noProof/>
              </w:rPr>
              <w:t>Делегиран регламент (ЕС) № 1078/2014 на Комисията</w:t>
            </w:r>
          </w:p>
        </w:tc>
        <w:tc>
          <w:tcPr>
            <w:tcW w:w="1265" w:type="pct"/>
          </w:tcPr>
          <w:p>
            <w:pPr>
              <w:pStyle w:val="MBT"/>
              <w:rPr>
                <w:noProof/>
              </w:rPr>
            </w:pPr>
            <w:r>
              <w:rPr>
                <w:noProof/>
              </w:rPr>
              <w:t>Битертанол</w:t>
            </w:r>
          </w:p>
        </w:tc>
        <w:tc>
          <w:tcPr>
            <w:tcW w:w="1265" w:type="pct"/>
          </w:tcPr>
          <w:p>
            <w:pPr>
              <w:pStyle w:val="MBT"/>
              <w:rPr>
                <w:noProof/>
              </w:rPr>
            </w:pPr>
            <w:r>
              <w:rPr>
                <w:noProof/>
              </w:rPr>
              <w:t>октомври 2016 г.</w:t>
            </w:r>
          </w:p>
        </w:tc>
      </w:tr>
      <w:tr>
        <w:tc>
          <w:tcPr>
            <w:tcW w:w="2470" w:type="pct"/>
          </w:tcPr>
          <w:p>
            <w:pPr>
              <w:pStyle w:val="MBT"/>
              <w:rPr>
                <w:noProof/>
              </w:rPr>
            </w:pPr>
            <w:r>
              <w:rPr>
                <w:noProof/>
              </w:rPr>
              <w:t xml:space="preserve">Делегиран регламент (ЕС) 2015/2229 на Комисията </w:t>
            </w:r>
          </w:p>
        </w:tc>
        <w:tc>
          <w:tcPr>
            <w:tcW w:w="1265" w:type="pct"/>
          </w:tcPr>
          <w:p>
            <w:pPr>
              <w:pStyle w:val="MBT"/>
              <w:rPr>
                <w:noProof/>
              </w:rPr>
            </w:pPr>
            <w:r>
              <w:rPr>
                <w:noProof/>
              </w:rPr>
              <w:t>Фенбутакалаен оксид</w:t>
            </w:r>
          </w:p>
        </w:tc>
        <w:tc>
          <w:tcPr>
            <w:tcW w:w="1265" w:type="pct"/>
          </w:tcPr>
          <w:p>
            <w:pPr>
              <w:pStyle w:val="MBT"/>
              <w:rPr>
                <w:noProof/>
              </w:rPr>
            </w:pPr>
            <w:r>
              <w:rPr>
                <w:noProof/>
              </w:rPr>
              <w:t>октомври 2016 г.</w:t>
            </w:r>
          </w:p>
        </w:tc>
      </w:tr>
    </w:tbl>
    <w:p>
      <w:pPr>
        <w:pStyle w:val="MBT"/>
        <w:rPr>
          <w:noProof/>
          <w:lang w:val="en-GB"/>
        </w:rPr>
      </w:pPr>
    </w:p>
    <w:p>
      <w:pPr>
        <w:pStyle w:val="Heading1"/>
        <w:rPr>
          <w:noProof/>
        </w:rPr>
      </w:pPr>
      <w:r>
        <w:rPr>
          <w:noProof/>
        </w:rPr>
        <w:t xml:space="preserve">Действие на Регламента PIC </w:t>
      </w:r>
    </w:p>
    <w:p>
      <w:pPr>
        <w:pStyle w:val="Heading2"/>
        <w:rPr>
          <w:noProof/>
        </w:rPr>
      </w:pPr>
      <w:r>
        <w:rPr>
          <w:noProof/>
        </w:rPr>
        <w:t xml:space="preserve">Дейностите за повишаване на осведомеността и подкрепата от страна на ОНО и Агенцията за износителите са подобрили съответствието с Регламента PIC </w:t>
      </w:r>
    </w:p>
    <w:p>
      <w:pPr>
        <w:pStyle w:val="Body"/>
        <w:jc w:val="both"/>
        <w:rPr>
          <w:noProof/>
        </w:rPr>
      </w:pPr>
    </w:p>
    <w:p>
      <w:pPr>
        <w:pStyle w:val="Body"/>
        <w:jc w:val="both"/>
        <w:rPr>
          <w:noProof/>
        </w:rPr>
      </w:pPr>
      <w:r>
        <w:rPr>
          <w:noProof/>
        </w:rPr>
        <w:t>От Агенцията се изисква да предоставя съдействие, както и технически и научни насоки и инструменти, на износителите и вносителите (член 6, параграф 1). Въпреки, че не е тяхно правно задължение, повечето ОНО са предоставили подкрепа и са изпълнили дейности за повишаване на осведомеността, насочени към националните износители и вносители, по време на отчетния период.</w:t>
      </w:r>
    </w:p>
    <w:p>
      <w:pPr>
        <w:pStyle w:val="Body"/>
        <w:rPr>
          <w:noProof/>
        </w:rPr>
      </w:pPr>
    </w:p>
    <w:p>
      <w:pPr>
        <w:pStyle w:val="MBT"/>
        <w:rPr>
          <w:noProof/>
        </w:rPr>
      </w:pPr>
      <w:r>
        <w:rPr>
          <w:noProof/>
        </w:rPr>
        <w:t xml:space="preserve">Двадесет и пет държави членки са изпълнили дейности за повишаване на осведомеността и информационни дейности, насочени към износителите и вносителите, по време на отчетния период. Повечето от тях са създали конкретни уебсайтове, предоставящи информация, свързана с Регламента PIC, както и препратки към страници от уебсайта на Агенцията, свързани с Регламента PIC и софтуерното приложение ePIC. В допълнение към това, десет държави членки са създали национални информационни бюра. Почти всички държави членки са посочили, че тези дейности са подобрили спазването от страна на износителите и вносителите на Регламента PIC. Например, някои ОНО са посочили увеличение на броя на уведомленията за износ, получени от съответния ОНО, увеличение на броя на дружествата, регистрирани в ePIC, и подобрено спазване на предвидените в член 10 задължения за докладване. </w:t>
      </w:r>
    </w:p>
    <w:p>
      <w:pPr>
        <w:pStyle w:val="Body"/>
        <w:rPr>
          <w:noProof/>
        </w:rPr>
      </w:pPr>
    </w:p>
    <w:p>
      <w:pPr>
        <w:pStyle w:val="Body"/>
        <w:jc w:val="both"/>
        <w:rPr>
          <w:noProof/>
        </w:rPr>
      </w:pPr>
      <w:r>
        <w:rPr>
          <w:noProof/>
        </w:rPr>
        <w:t xml:space="preserve">По време на отчетния период Агенцията е публикувала своите Насоки за прилагане на Регламент (ЕС) № 649/2012 относно износа и вноса на опасни химикали, както и няколко потребителски ръководства относно ePIC (за различните потребителски групи). Тя е предоставила информация на износителите и вносителите на своя уебсайт, ежеседмични електронни новини или бюлетин, и е организирала редица семинари, свързани с Регламента PIC, най-вече с първоначалното разработване на ePIC. Според Агенцията увеличението на броя на уведомленията за износ, изпращани от износители от ЕС, както и броят на дружествата, които прилагат Регламента PIC, показва, че осведомеността относно Регламента и неговото спазване значително са се подобрили през отчетния период, отчасти заради собствените й дейности за повишаване на осведомеността и тези на ОНО. </w:t>
      </w:r>
    </w:p>
    <w:p>
      <w:pPr>
        <w:pStyle w:val="Body"/>
        <w:jc w:val="both"/>
        <w:rPr>
          <w:noProof/>
        </w:rPr>
      </w:pPr>
    </w:p>
    <w:p>
      <w:pPr>
        <w:pStyle w:val="Heading2"/>
        <w:rPr>
          <w:noProof/>
        </w:rPr>
      </w:pPr>
      <w:r>
        <w:rPr>
          <w:noProof/>
        </w:rPr>
        <w:t xml:space="preserve">Работното натоварване, свързано с прилагането на Регламента PIC, е неравномерно разпределено между държавите членки </w:t>
      </w:r>
    </w:p>
    <w:p>
      <w:pPr>
        <w:pStyle w:val="MBT"/>
        <w:rPr>
          <w:noProof/>
        </w:rPr>
      </w:pPr>
    </w:p>
    <w:p>
      <w:pPr>
        <w:pStyle w:val="MBT"/>
        <w:rPr>
          <w:noProof/>
        </w:rPr>
      </w:pPr>
      <w:r>
        <w:rPr>
          <w:noProof/>
        </w:rPr>
        <w:t>Уведомлението за износ е инструментът на Регламента PIC, чрез който държавите си обменят информация относно забранени или строго ограничени химикали. Всички износители, базирани в ЕС, трябва да подават уведомление за износ до своя ОНО, ако възнамеряват да осъществят износ на химикали, включени в част 1 от приложение I към Регламента PIC, в трета държава. След като веднъж ОНО е проверил и приел уведомлението (след повторно подаване, ако е необходимо), то се препраща към Агенцията, която също проверява съответствието на уведомлението и го изпраща към ОНО на държавата вносител. Ако не бъде получено потвърждение за получаване, Агенцията отново изпраща уведомлението. Цялата процедура се изпълнява чрез ePIC, като износителите трябва да използват шаблона за уведомление, който системата предоставя.</w:t>
      </w:r>
    </w:p>
    <w:p>
      <w:pPr>
        <w:pStyle w:val="MBT"/>
        <w:rPr>
          <w:noProof/>
        </w:rPr>
      </w:pPr>
    </w:p>
    <w:p>
      <w:pPr>
        <w:pStyle w:val="MBT"/>
        <w:rPr>
          <w:noProof/>
        </w:rPr>
      </w:pPr>
      <w:r>
        <w:rPr>
          <w:noProof/>
        </w:rPr>
        <w:t xml:space="preserve">По време на отчетния период държавите членки са приели и препратили 15 771 уведомления за износ до Агенцията и са отхвърлили 1 214. Броят на обработените уведомления за износ варира значително между отделните държави членки. Три държави членки не са обработили нито едно уведомление за износ по време на отчетния период, а пет държави членки са имали по-малко от 10 уведомления. </w:t>
      </w:r>
      <w:bookmarkStart w:id="11" w:name="_Hlk515292435"/>
      <w:r>
        <w:rPr>
          <w:noProof/>
        </w:rPr>
        <w:t xml:space="preserve">Държавите, които са обработили най-висок брой уведомления за износ, са: Германия (5 196 уведомления), Франция (3 358), Обединеното кралство (1 829), Италия (1 321) и Испания (1 265). </w:t>
      </w:r>
      <w:bookmarkEnd w:id="11"/>
      <w:r>
        <w:rPr>
          <w:noProof/>
        </w:rPr>
        <w:t>Държавите вносители, които са получили най-висок брой уведомления за износ от Съюза, са: Швейцария (1 044 уведомления), Турция (984), Русия (890), САЩ (754) и Китай (601).</w:t>
      </w:r>
    </w:p>
    <w:p>
      <w:pPr>
        <w:pStyle w:val="MBT"/>
        <w:rPr>
          <w:noProof/>
        </w:rPr>
      </w:pPr>
    </w:p>
    <w:p>
      <w:pPr>
        <w:pStyle w:val="MBT"/>
        <w:rPr>
          <w:noProof/>
        </w:rPr>
      </w:pPr>
      <w:r>
        <w:rPr>
          <w:noProof/>
        </w:rPr>
        <w:t>За определени видове износ, които са освободени от Регламента PIC или от изискването за уведомление за износ, от износителите се изисква да поискат специален RIN от своя ОНО и да го използват в митническата декларация за улесняване на митническото оформяне.</w:t>
      </w:r>
    </w:p>
    <w:p>
      <w:pPr>
        <w:pStyle w:val="MBT"/>
        <w:rPr>
          <w:noProof/>
        </w:rPr>
      </w:pPr>
    </w:p>
    <w:p>
      <w:pPr>
        <w:pStyle w:val="MBT"/>
        <w:rPr>
          <w:noProof/>
        </w:rPr>
      </w:pPr>
      <w:r>
        <w:rPr>
          <w:noProof/>
        </w:rPr>
        <w:t xml:space="preserve">По време на отчетния период, 17 държави членки са приели 7 072 искания за специални RIN номера, които основно се използват за износ на стоки, които са освободени съгласно Регламента, тъй като се използват за научноизследователски или аналитични цели. Единадесет държави членки не са обработили нито едно подобно искане през последните три години. Германия, Обединеното кралство и Белгия са приели най-голям брой такива искания за специални RIN номера (вж. фигура 1). </w:t>
      </w:r>
    </w:p>
    <w:p>
      <w:pPr>
        <w:pStyle w:val="MBT"/>
        <w:rPr>
          <w:noProof/>
        </w:rPr>
      </w:pPr>
    </w:p>
    <w:p>
      <w:pPr>
        <w:pStyle w:val="Caption"/>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xml:space="preserve">: Общ брой на уведомленията за износ и исканията за специални RIN номера, приети от ОНО по време на отчетния период </w:t>
      </w:r>
    </w:p>
    <w:p>
      <w:pPr>
        <w:pStyle w:val="MBT"/>
        <w:rPr>
          <w:noProof/>
        </w:rPr>
      </w:pPr>
      <w:r>
        <w:rPr>
          <w:noProof/>
          <w:lang w:val="en-US" w:eastAsia="en-US"/>
        </w:rPr>
        <w:drawing>
          <wp:inline distT="0" distB="0" distL="0" distR="0">
            <wp:extent cx="5760085" cy="3574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3574415"/>
                    </a:xfrm>
                    <a:prstGeom prst="rect">
                      <a:avLst/>
                    </a:prstGeom>
                    <a:noFill/>
                    <a:ln>
                      <a:noFill/>
                    </a:ln>
                  </pic:spPr>
                </pic:pic>
              </a:graphicData>
            </a:graphic>
          </wp:inline>
        </w:drawing>
      </w:r>
    </w:p>
    <w:p>
      <w:pPr>
        <w:pStyle w:val="Heading2"/>
        <w:rPr>
          <w:noProof/>
        </w:rPr>
      </w:pPr>
      <w:r>
        <w:rPr>
          <w:noProof/>
        </w:rPr>
        <w:t xml:space="preserve">Износители, които са срещнали затруднения при попълването на формуляра за уведомление за износ </w:t>
      </w:r>
    </w:p>
    <w:p>
      <w:pPr>
        <w:pStyle w:val="MBT"/>
        <w:rPr>
          <w:noProof/>
        </w:rPr>
      </w:pPr>
    </w:p>
    <w:p>
      <w:pPr>
        <w:pStyle w:val="MBT"/>
        <w:rPr>
          <w:noProof/>
        </w:rPr>
      </w:pPr>
      <w:r>
        <w:rPr>
          <w:noProof/>
        </w:rPr>
        <w:t xml:space="preserve">Според Агенцията и ОНО износителите са срещнали затруднения при представянето на информация относно износа (т.е. данни за контакт с вносителите) и предвидената употреба на химикала в държавата вносител. По-специално, предвидената употреба и категория на употреба при износ на биоциди е била проблемна за износителите. Също така, дванадесет ОНО са посочили, че износителите са имали проблеми с наличността на кодовете по Комбинираната номенклатура (КН) или на номера за целите на митническия съюз и статистиката (МСС). Агенцията също е съобщила за проблеми с раздел 6.1 от формуляра, относно резюмето и причините, свързани с ОНА и датата на влизане в сила, тъй като някои износители са въвели неподходящи твърдения. В допълнение към това няколко ОНО и Агенцията са подчертали проблемите с предоставянето на Информационен лист за безопасност (ИЛБ) на правилния език, при износ на смеси, и въвеждане на групи от химикали в ePIC, които не са непременно изчерпателни, и които са създали объркване сред износителите за това дали даден химикал е обект на Регламента PIC или не. </w:t>
      </w:r>
    </w:p>
    <w:p>
      <w:pPr>
        <w:pStyle w:val="MBT"/>
        <w:rPr>
          <w:noProof/>
        </w:rPr>
      </w:pPr>
    </w:p>
    <w:p>
      <w:pPr>
        <w:pStyle w:val="Heading2"/>
        <w:rPr>
          <w:noProof/>
        </w:rPr>
      </w:pPr>
      <w:r>
        <w:rPr>
          <w:noProof/>
        </w:rPr>
        <w:t xml:space="preserve">Броят на исканията за повторно подаване е относително висок през тригодишния период </w:t>
      </w:r>
    </w:p>
    <w:p>
      <w:pPr>
        <w:pStyle w:val="MBT"/>
        <w:rPr>
          <w:noProof/>
        </w:rPr>
      </w:pPr>
    </w:p>
    <w:p>
      <w:pPr>
        <w:pStyle w:val="MBT"/>
        <w:rPr>
          <w:noProof/>
        </w:rPr>
      </w:pPr>
      <w:r>
        <w:rPr>
          <w:noProof/>
        </w:rPr>
        <w:t>При относително висок брой случаи ОНО или Агенцията са поискали повторно подаване на дадено уведомление. През периода 2015—2016 г. те са поискали повторното подаване на общо 2 503 уведомления за износ, от които 566 искания за повторно подаване са отправени от Агенцията (334 през 2015 г. и 232 през 2016 г.). Основните причини за повторно подаване са свързани с раздел 6 от формуляра за уведомление (резюме на ОНА и причини за ОНА, както и дата на влизане в сила) и ИЛБ (например език, или ИЛБ не отговаря на уведомлението).</w:t>
      </w:r>
    </w:p>
    <w:p>
      <w:pPr>
        <w:pStyle w:val="Body"/>
        <w:jc w:val="both"/>
        <w:rPr>
          <w:noProof/>
        </w:rPr>
      </w:pPr>
    </w:p>
    <w:p>
      <w:pPr>
        <w:pStyle w:val="Heading2"/>
        <w:rPr>
          <w:noProof/>
        </w:rPr>
      </w:pPr>
      <w:r>
        <w:rPr>
          <w:noProof/>
        </w:rPr>
        <w:t xml:space="preserve">Не са установени големи забавяния при процедурата за уведомление за износ </w:t>
      </w:r>
    </w:p>
    <w:p>
      <w:pPr>
        <w:pStyle w:val="MBT"/>
        <w:rPr>
          <w:noProof/>
        </w:rPr>
      </w:pPr>
    </w:p>
    <w:p>
      <w:pPr>
        <w:pStyle w:val="MBT"/>
        <w:rPr>
          <w:noProof/>
        </w:rPr>
      </w:pPr>
      <w:r>
        <w:rPr>
          <w:noProof/>
        </w:rPr>
        <w:t xml:space="preserve">Въпреки, че някои ОНО и Агенцията са посочили проблеми, свързани със спазването на времевите рамки на процедурата за уведомления, броят на обработените със закъснение уведомления остава нисък. Броят на уведомленията, получени от Агенцията по-малко от 25 дни преди износа (което е крайният срок, посочен в Регламента) представлява 4,9 % от общия брой на уведомленията за износ. В допълнение към това, 171 уведомления са изпратени късно до държавите вносители от Агенцията, или 1,2 % от общия брой на уведомленията, препратени към държавите вносители по време на отчетния период. Причините за забавянето обикновено са свързани с трудности при обработката на уведомленията за износ през пика на зимния сезон, дружества неспазващи крайните срокове за повторно подаване и, от страна на Агенцията, закъснения при получаването на уведомленията от ОНО. </w:t>
      </w:r>
    </w:p>
    <w:p>
      <w:pPr>
        <w:pStyle w:val="MBT"/>
        <w:rPr>
          <w:noProof/>
        </w:rPr>
      </w:pPr>
    </w:p>
    <w:p>
      <w:pPr>
        <w:pStyle w:val="Heading2"/>
        <w:rPr>
          <w:noProof/>
        </w:rPr>
      </w:pPr>
      <w:r>
        <w:rPr>
          <w:noProof/>
        </w:rPr>
        <w:t xml:space="preserve">Броят на уведомленията за износ, получени от държави извън ЕС, почти се е удвоил между 2014 г. и 2016 г. </w:t>
      </w:r>
    </w:p>
    <w:p>
      <w:pPr>
        <w:pStyle w:val="MBT"/>
        <w:rPr>
          <w:noProof/>
        </w:rPr>
      </w:pPr>
    </w:p>
    <w:p>
      <w:pPr>
        <w:pStyle w:val="MBT"/>
        <w:rPr>
          <w:noProof/>
        </w:rPr>
      </w:pPr>
      <w:r>
        <w:rPr>
          <w:noProof/>
        </w:rPr>
        <w:t xml:space="preserve">Съгласно член 9, Агенцията трябва да направи уведомленията за износ, получени от трети държави, достъпни в своята база данни, да потвърди получаването на уведомлението до ОНО на държавата износител и да предостави копие на ОНО на държавата/ите членка/и, получател на вноса. </w:t>
      </w:r>
    </w:p>
    <w:p>
      <w:pPr>
        <w:pStyle w:val="MBT"/>
        <w:rPr>
          <w:noProof/>
        </w:rPr>
      </w:pPr>
    </w:p>
    <w:p>
      <w:pPr>
        <w:pStyle w:val="MBT"/>
        <w:rPr>
          <w:noProof/>
        </w:rPr>
      </w:pPr>
      <w:r>
        <w:rPr>
          <w:noProof/>
        </w:rPr>
        <w:t>Агенцията е получила 1 105 уведомления за износ от държави извън ЕС по време на отчетния период, най-вече от САЩ и Швейцария. Броят на уведомленията за износ почти се е удвоил между 2014 г. и 2016 г.</w:t>
      </w:r>
    </w:p>
    <w:p>
      <w:pPr>
        <w:pStyle w:val="MBT"/>
        <w:rPr>
          <w:noProof/>
        </w:rPr>
      </w:pP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xml:space="preserve">: Уведомления за износ, получени от държави извън ЕС и потвърждения за получаването им, изпратени от Агенцията по време на отчетния период </w:t>
      </w:r>
    </w:p>
    <w:tbl>
      <w:tblPr>
        <w:tblStyle w:val="TableGrid"/>
        <w:tblW w:w="5000" w:type="pct"/>
        <w:tblLook w:val="04A0" w:firstRow="1" w:lastRow="0" w:firstColumn="1" w:lastColumn="0" w:noHBand="0" w:noVBand="1"/>
      </w:tblPr>
      <w:tblGrid>
        <w:gridCol w:w="3950"/>
        <w:gridCol w:w="1291"/>
        <w:gridCol w:w="1293"/>
        <w:gridCol w:w="1293"/>
        <w:gridCol w:w="1460"/>
      </w:tblGrid>
      <w:tr>
        <w:trPr>
          <w:cnfStyle w:val="100000000000" w:firstRow="1" w:lastRow="0" w:firstColumn="0" w:lastColumn="0" w:oddVBand="0" w:evenVBand="0" w:oddHBand="0" w:evenHBand="0" w:firstRowFirstColumn="0" w:firstRowLastColumn="0" w:lastRowFirstColumn="0" w:lastRowLastColumn="0"/>
        </w:trPr>
        <w:tc>
          <w:tcPr>
            <w:tcW w:w="2127" w:type="pct"/>
            <w:shd w:val="clear" w:color="auto" w:fill="000099"/>
          </w:tcPr>
          <w:p>
            <w:pPr>
              <w:pStyle w:val="MBT"/>
              <w:rPr>
                <w:noProof/>
              </w:rPr>
            </w:pPr>
          </w:p>
        </w:tc>
        <w:tc>
          <w:tcPr>
            <w:tcW w:w="695" w:type="pct"/>
            <w:shd w:val="clear" w:color="auto" w:fill="000099"/>
          </w:tcPr>
          <w:p>
            <w:pPr>
              <w:pStyle w:val="MBT"/>
              <w:rPr>
                <w:noProof/>
              </w:rPr>
            </w:pPr>
            <w:r>
              <w:rPr>
                <w:noProof/>
              </w:rPr>
              <w:t>2014 г.</w:t>
            </w:r>
          </w:p>
        </w:tc>
        <w:tc>
          <w:tcPr>
            <w:tcW w:w="696" w:type="pct"/>
            <w:shd w:val="clear" w:color="auto" w:fill="000099"/>
          </w:tcPr>
          <w:p>
            <w:pPr>
              <w:pStyle w:val="MBT"/>
              <w:rPr>
                <w:noProof/>
              </w:rPr>
            </w:pPr>
            <w:r>
              <w:rPr>
                <w:noProof/>
              </w:rPr>
              <w:t>2015 г.</w:t>
            </w:r>
          </w:p>
        </w:tc>
        <w:tc>
          <w:tcPr>
            <w:tcW w:w="696" w:type="pct"/>
            <w:shd w:val="clear" w:color="auto" w:fill="000099"/>
          </w:tcPr>
          <w:p>
            <w:pPr>
              <w:pStyle w:val="MBT"/>
              <w:rPr>
                <w:noProof/>
              </w:rPr>
            </w:pPr>
            <w:r>
              <w:rPr>
                <w:noProof/>
              </w:rPr>
              <w:t>2016 г.</w:t>
            </w:r>
          </w:p>
        </w:tc>
        <w:tc>
          <w:tcPr>
            <w:tcW w:w="786" w:type="pct"/>
            <w:shd w:val="clear" w:color="auto" w:fill="000099"/>
          </w:tcPr>
          <w:p>
            <w:pPr>
              <w:pStyle w:val="MBT"/>
              <w:rPr>
                <w:noProof/>
              </w:rPr>
            </w:pPr>
            <w:r>
              <w:rPr>
                <w:noProof/>
              </w:rPr>
              <w:t xml:space="preserve">Общо </w:t>
            </w:r>
          </w:p>
        </w:tc>
      </w:tr>
      <w:tr>
        <w:tc>
          <w:tcPr>
            <w:tcW w:w="2127" w:type="pct"/>
          </w:tcPr>
          <w:p>
            <w:pPr>
              <w:pStyle w:val="MBT"/>
              <w:rPr>
                <w:noProof/>
              </w:rPr>
            </w:pPr>
            <w:r>
              <w:rPr>
                <w:noProof/>
              </w:rPr>
              <w:t xml:space="preserve">Получени уведомления за износ </w:t>
            </w:r>
          </w:p>
        </w:tc>
        <w:tc>
          <w:tcPr>
            <w:tcW w:w="695" w:type="pct"/>
          </w:tcPr>
          <w:p>
            <w:pPr>
              <w:pStyle w:val="MBT"/>
              <w:rPr>
                <w:noProof/>
              </w:rPr>
            </w:pPr>
            <w:r>
              <w:rPr>
                <w:noProof/>
              </w:rPr>
              <w:t>209</w:t>
            </w:r>
          </w:p>
        </w:tc>
        <w:tc>
          <w:tcPr>
            <w:tcW w:w="696" w:type="pct"/>
          </w:tcPr>
          <w:p>
            <w:pPr>
              <w:pStyle w:val="MBT"/>
              <w:rPr>
                <w:noProof/>
              </w:rPr>
            </w:pPr>
            <w:r>
              <w:rPr>
                <w:noProof/>
              </w:rPr>
              <w:t>486</w:t>
            </w:r>
          </w:p>
        </w:tc>
        <w:tc>
          <w:tcPr>
            <w:tcW w:w="696" w:type="pct"/>
          </w:tcPr>
          <w:p>
            <w:pPr>
              <w:pStyle w:val="MBT"/>
              <w:rPr>
                <w:noProof/>
              </w:rPr>
            </w:pPr>
            <w:r>
              <w:rPr>
                <w:noProof/>
              </w:rPr>
              <w:t>410</w:t>
            </w:r>
          </w:p>
        </w:tc>
        <w:tc>
          <w:tcPr>
            <w:tcW w:w="786" w:type="pct"/>
          </w:tcPr>
          <w:p>
            <w:pPr>
              <w:pStyle w:val="MBT"/>
              <w:rPr>
                <w:noProof/>
              </w:rPr>
            </w:pPr>
            <w:r>
              <w:rPr>
                <w:noProof/>
              </w:rPr>
              <w:t>1 105</w:t>
            </w:r>
          </w:p>
        </w:tc>
      </w:tr>
    </w:tbl>
    <w:p>
      <w:pPr>
        <w:pStyle w:val="Heading2"/>
        <w:rPr>
          <w:noProof/>
        </w:rPr>
      </w:pPr>
      <w:r>
        <w:rPr>
          <w:noProof/>
        </w:rPr>
        <w:t>Докладването съгласно член 10 е работило ефективно</w:t>
      </w:r>
    </w:p>
    <w:p>
      <w:pPr>
        <w:pStyle w:val="MBT"/>
        <w:rPr>
          <w:noProof/>
        </w:rPr>
      </w:pPr>
    </w:p>
    <w:p>
      <w:pPr>
        <w:pStyle w:val="MBT"/>
        <w:rPr>
          <w:noProof/>
        </w:rPr>
      </w:pPr>
      <w:r>
        <w:rPr>
          <w:noProof/>
        </w:rPr>
        <w:t>В член 10 са предвидени задължения за износителите и вносителите да уведомяват ОНО, през първото тримесечие на всяка година, за количеството химикали, включени в приложение I към Регламента PIC, които са изнесени към или внесени от трети държави през предходната година. Също така, износителите трябва да предоставят на ОНО имената и адресите на всеки вносител. На свой ред, ОНО трябва да предоставят тази информация на Агенцията всяка година, а тя да обобщи данните на равнище ЕС и да ги направи обществено достъпни в своята база данни</w:t>
      </w:r>
      <w:r>
        <w:rPr>
          <w:rStyle w:val="FootnoteReference"/>
          <w:noProof/>
          <w:lang w:val="en-GB"/>
        </w:rPr>
        <w:footnoteReference w:id="9"/>
      </w:r>
      <w:r>
        <w:rPr>
          <w:noProof/>
        </w:rPr>
        <w:t>.</w:t>
      </w:r>
    </w:p>
    <w:p>
      <w:pPr>
        <w:pStyle w:val="MBT"/>
        <w:rPr>
          <w:noProof/>
        </w:rPr>
      </w:pPr>
    </w:p>
    <w:p>
      <w:pPr>
        <w:pStyle w:val="MBT"/>
        <w:rPr>
          <w:noProof/>
        </w:rPr>
      </w:pPr>
      <w:r>
        <w:rPr>
          <w:noProof/>
        </w:rPr>
        <w:t>Информацията, предоставена от Агенцията и ОНО показва, че са идентифицирани няколко проблема във връзка с процедурата по докладване съгласно член 10. Около една трета от ОНО са посочили, че са имали закъснения на износители или вносители при предоставянето на информацията, въпреки че тези закъснения не са засегнали завършването на отчетната процедура съгласно член 10. Подобно на това, Агенцията се е сблъскала с някои затруднения при окомплектоването на информацията от държавите членки, където ОНО са включили данни за износа на химикали, включени в приложение I, които са били обект на износ за научноизследователски и аналитични цели и следователно попадат извън обхвата на Регламента PIC и съответното задължение за подаване на информация.</w:t>
      </w:r>
    </w:p>
    <w:p>
      <w:pPr>
        <w:pStyle w:val="MBT"/>
        <w:rPr>
          <w:noProof/>
        </w:rPr>
      </w:pPr>
    </w:p>
    <w:p>
      <w:pPr>
        <w:pStyle w:val="MBT"/>
        <w:rPr>
          <w:noProof/>
        </w:rPr>
      </w:pPr>
      <w:r>
        <w:rPr>
          <w:noProof/>
        </w:rPr>
        <w:t xml:space="preserve">Данните, събрани за целите на отчитането съгласно член 10, се използват от ОНО, митническите или други правоприлагащи органи в 16 държави членки. Осем ОНО са посочили, че данните се използват за дейности по правоприлагане, шест допълнително са уточнили, че данните се използват за дейности по правоприлагане по Регламента REACH (например кръстосани проверки за съответствие с изискванията за регистрация, или проверки за спазване на установените ограничения). </w:t>
      </w:r>
    </w:p>
    <w:p>
      <w:pPr>
        <w:pStyle w:val="Body"/>
        <w:jc w:val="both"/>
        <w:rPr>
          <w:noProof/>
        </w:rPr>
      </w:pPr>
    </w:p>
    <w:p>
      <w:pPr>
        <w:pStyle w:val="Heading2"/>
        <w:rPr>
          <w:noProof/>
        </w:rPr>
      </w:pPr>
      <w:r>
        <w:rPr>
          <w:noProof/>
        </w:rPr>
        <w:t xml:space="preserve">Решения относно вноса в ЕС са взети за седем вещества, включени в приложение III към Ротердамската конвенция </w:t>
      </w:r>
    </w:p>
    <w:p>
      <w:pPr>
        <w:pStyle w:val="Body"/>
        <w:jc w:val="both"/>
        <w:rPr>
          <w:noProof/>
        </w:rPr>
      </w:pPr>
    </w:p>
    <w:p>
      <w:pPr>
        <w:pStyle w:val="MBT"/>
        <w:rPr>
          <w:noProof/>
        </w:rPr>
      </w:pPr>
      <w:r>
        <w:rPr>
          <w:noProof/>
        </w:rPr>
        <w:t>Съгласно член 10 от Конвенцията, от страните се изисква да вземат решение за вноса за всеки нов химикал, включен в приложение III и да го изпратят на Секретариата. Съгласно член 13 от Регламента PIC, решението за вноса в Съюза се приема посредством акт за изпълнение, който се изготвя от Комисията и се представя на Комитета по REACH за становище, съгласно консултативната процедура.</w:t>
      </w:r>
    </w:p>
    <w:p>
      <w:pPr>
        <w:pStyle w:val="Body"/>
        <w:jc w:val="both"/>
        <w:rPr>
          <w:noProof/>
        </w:rPr>
      </w:pPr>
    </w:p>
    <w:p>
      <w:pPr>
        <w:pStyle w:val="Body"/>
        <w:jc w:val="both"/>
        <w:rPr>
          <w:noProof/>
        </w:rPr>
      </w:pPr>
      <w:r>
        <w:rPr>
          <w:noProof/>
        </w:rPr>
        <w:t xml:space="preserve">Решения за вноса бяха установени чрез две решения за изпълнение, приети от Комисията в хода на отчетния период. </w:t>
      </w:r>
    </w:p>
    <w:p>
      <w:pPr>
        <w:pStyle w:val="Body"/>
        <w:spacing w:after="120"/>
        <w:jc w:val="both"/>
        <w:rPr>
          <w:noProof/>
        </w:rPr>
      </w:pP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xml:space="preserve">: Решения относно вноса в Съюза, приети по време на отчетния период </w:t>
      </w:r>
    </w:p>
    <w:tbl>
      <w:tblPr>
        <w:tblStyle w:val="TableGrid"/>
        <w:tblW w:w="5000" w:type="pct"/>
        <w:tblLook w:val="04A0" w:firstRow="1" w:lastRow="0" w:firstColumn="1" w:lastColumn="0" w:noHBand="0" w:noVBand="1"/>
      </w:tblPr>
      <w:tblGrid>
        <w:gridCol w:w="1345"/>
        <w:gridCol w:w="2852"/>
        <w:gridCol w:w="1150"/>
        <w:gridCol w:w="1355"/>
        <w:gridCol w:w="1252"/>
        <w:gridCol w:w="1333"/>
      </w:tblGrid>
      <w:tr>
        <w:trPr>
          <w:cnfStyle w:val="100000000000" w:firstRow="1" w:lastRow="0" w:firstColumn="0" w:lastColumn="0" w:oddVBand="0" w:evenVBand="0" w:oddHBand="0" w:evenHBand="0" w:firstRowFirstColumn="0" w:firstRowLastColumn="0" w:lastRowFirstColumn="0" w:lastRowLastColumn="0"/>
          <w:tblHeader/>
        </w:trPr>
        <w:tc>
          <w:tcPr>
            <w:tcW w:w="904" w:type="pct"/>
            <w:shd w:val="clear" w:color="auto" w:fill="000099"/>
          </w:tcPr>
          <w:p>
            <w:pPr>
              <w:pStyle w:val="MBT"/>
              <w:rPr>
                <w:noProof/>
              </w:rPr>
            </w:pPr>
            <w:r>
              <w:rPr>
                <w:noProof/>
              </w:rPr>
              <w:t>Акт за изпълнение</w:t>
            </w:r>
          </w:p>
        </w:tc>
        <w:tc>
          <w:tcPr>
            <w:tcW w:w="1075" w:type="pct"/>
            <w:shd w:val="clear" w:color="auto" w:fill="000099"/>
          </w:tcPr>
          <w:p>
            <w:pPr>
              <w:pStyle w:val="MBT"/>
              <w:rPr>
                <w:noProof/>
              </w:rPr>
            </w:pPr>
            <w:r>
              <w:rPr>
                <w:noProof/>
              </w:rPr>
              <w:t>Химикали</w:t>
            </w:r>
          </w:p>
        </w:tc>
        <w:tc>
          <w:tcPr>
            <w:tcW w:w="1201" w:type="pct"/>
            <w:gridSpan w:val="2"/>
            <w:shd w:val="clear" w:color="auto" w:fill="000099"/>
          </w:tcPr>
          <w:p>
            <w:pPr>
              <w:pStyle w:val="MBT"/>
              <w:jc w:val="left"/>
              <w:rPr>
                <w:noProof/>
              </w:rPr>
            </w:pPr>
            <w:r>
              <w:rPr>
                <w:noProof/>
              </w:rPr>
              <w:t xml:space="preserve">Естество/състояние на решението </w:t>
            </w:r>
          </w:p>
        </w:tc>
        <w:tc>
          <w:tcPr>
            <w:tcW w:w="845" w:type="pct"/>
            <w:shd w:val="clear" w:color="auto" w:fill="000099"/>
          </w:tcPr>
          <w:p>
            <w:pPr>
              <w:pStyle w:val="MBT"/>
              <w:rPr>
                <w:noProof/>
              </w:rPr>
            </w:pPr>
            <w:r>
              <w:rPr>
                <w:noProof/>
              </w:rPr>
              <w:t>Решение относно вноса</w:t>
            </w:r>
          </w:p>
        </w:tc>
        <w:tc>
          <w:tcPr>
            <w:tcW w:w="975" w:type="pct"/>
            <w:shd w:val="clear" w:color="auto" w:fill="000099"/>
          </w:tcPr>
          <w:p>
            <w:pPr>
              <w:pStyle w:val="MBT"/>
              <w:jc w:val="left"/>
              <w:rPr>
                <w:noProof/>
              </w:rPr>
            </w:pPr>
            <w:r>
              <w:rPr>
                <w:noProof/>
              </w:rPr>
              <w:t>Основание за решението</w:t>
            </w:r>
          </w:p>
        </w:tc>
      </w:tr>
      <w:tr>
        <w:tc>
          <w:tcPr>
            <w:tcW w:w="904" w:type="pct"/>
            <w:vMerge w:val="restart"/>
          </w:tcPr>
          <w:p>
            <w:pPr>
              <w:pStyle w:val="MBT"/>
              <w:jc w:val="left"/>
              <w:rPr>
                <w:noProof/>
              </w:rPr>
            </w:pPr>
            <w:r>
              <w:rPr>
                <w:noProof/>
              </w:rPr>
              <w:t>Решение за изпълнение от 15 май 2014 г. на Комисията</w:t>
            </w:r>
          </w:p>
        </w:tc>
        <w:tc>
          <w:tcPr>
            <w:tcW w:w="1075" w:type="pct"/>
          </w:tcPr>
          <w:p>
            <w:pPr>
              <w:pStyle w:val="MBT"/>
              <w:jc w:val="left"/>
              <w:rPr>
                <w:noProof/>
              </w:rPr>
            </w:pPr>
            <w:r>
              <w:rPr>
                <w:noProof/>
              </w:rPr>
              <w:t xml:space="preserve">Азинфос-метил </w:t>
            </w:r>
          </w:p>
        </w:tc>
        <w:tc>
          <w:tcPr>
            <w:tcW w:w="681" w:type="pct"/>
          </w:tcPr>
          <w:p>
            <w:pPr>
              <w:pStyle w:val="MBT"/>
              <w:rPr>
                <w:noProof/>
              </w:rPr>
            </w:pPr>
            <w:r>
              <w:rPr>
                <w:noProof/>
              </w:rPr>
              <w:t>Ново решение</w:t>
            </w:r>
          </w:p>
        </w:tc>
        <w:tc>
          <w:tcPr>
            <w:tcW w:w="520" w:type="pct"/>
          </w:tcPr>
          <w:p>
            <w:pPr>
              <w:pStyle w:val="MBT"/>
              <w:rPr>
                <w:noProof/>
              </w:rPr>
            </w:pPr>
            <w:r>
              <w:rPr>
                <w:noProof/>
              </w:rPr>
              <w:t xml:space="preserve">Окончателно </w:t>
            </w:r>
          </w:p>
        </w:tc>
        <w:tc>
          <w:tcPr>
            <w:tcW w:w="845" w:type="pct"/>
          </w:tcPr>
          <w:p>
            <w:pPr>
              <w:pStyle w:val="MBT"/>
              <w:jc w:val="left"/>
              <w:rPr>
                <w:noProof/>
              </w:rPr>
            </w:pPr>
            <w:r>
              <w:rPr>
                <w:noProof/>
              </w:rPr>
              <w:t>Несъгласие за внос</w:t>
            </w:r>
          </w:p>
        </w:tc>
        <w:tc>
          <w:tcPr>
            <w:tcW w:w="975" w:type="pct"/>
          </w:tcPr>
          <w:p>
            <w:pPr>
              <w:pStyle w:val="MBT"/>
              <w:jc w:val="left"/>
              <w:rPr>
                <w:noProof/>
              </w:rPr>
            </w:pPr>
            <w:r>
              <w:rPr>
                <w:noProof/>
              </w:rPr>
              <w:t>Забрана за използване по РПРЗ</w:t>
            </w:r>
          </w:p>
        </w:tc>
      </w:tr>
      <w:tr>
        <w:tc>
          <w:tcPr>
            <w:tcW w:w="904" w:type="pct"/>
            <w:vMerge/>
          </w:tcPr>
          <w:p>
            <w:pPr>
              <w:pStyle w:val="MBT"/>
              <w:rPr>
                <w:noProof/>
              </w:rPr>
            </w:pPr>
          </w:p>
        </w:tc>
        <w:tc>
          <w:tcPr>
            <w:tcW w:w="1075" w:type="pct"/>
          </w:tcPr>
          <w:p>
            <w:pPr>
              <w:pStyle w:val="MBT"/>
              <w:jc w:val="left"/>
              <w:rPr>
                <w:noProof/>
              </w:rPr>
            </w:pPr>
            <w:r>
              <w:rPr>
                <w:noProof/>
              </w:rPr>
              <w:t xml:space="preserve">Търговски пентабромодифенилов етер </w:t>
            </w:r>
          </w:p>
        </w:tc>
        <w:tc>
          <w:tcPr>
            <w:tcW w:w="681" w:type="pct"/>
          </w:tcPr>
          <w:p>
            <w:pPr>
              <w:pStyle w:val="MBT"/>
              <w:rPr>
                <w:noProof/>
              </w:rPr>
            </w:pPr>
            <w:r>
              <w:rPr>
                <w:noProof/>
              </w:rPr>
              <w:t>Ново решение</w:t>
            </w:r>
          </w:p>
        </w:tc>
        <w:tc>
          <w:tcPr>
            <w:tcW w:w="520" w:type="pct"/>
          </w:tcPr>
          <w:p>
            <w:pPr>
              <w:pStyle w:val="MBT"/>
              <w:rPr>
                <w:noProof/>
              </w:rPr>
            </w:pPr>
            <w:r>
              <w:rPr>
                <w:noProof/>
              </w:rPr>
              <w:t xml:space="preserve">Окончателно </w:t>
            </w:r>
          </w:p>
        </w:tc>
        <w:tc>
          <w:tcPr>
            <w:tcW w:w="845" w:type="pct"/>
          </w:tcPr>
          <w:p>
            <w:pPr>
              <w:pStyle w:val="MBT"/>
              <w:jc w:val="left"/>
              <w:rPr>
                <w:noProof/>
              </w:rPr>
            </w:pPr>
            <w:r>
              <w:rPr>
                <w:noProof/>
              </w:rPr>
              <w:t>Съгласие за внос само при определени условия</w:t>
            </w:r>
          </w:p>
        </w:tc>
        <w:tc>
          <w:tcPr>
            <w:tcW w:w="975" w:type="pct"/>
          </w:tcPr>
          <w:p>
            <w:pPr>
              <w:pStyle w:val="MBT"/>
              <w:jc w:val="left"/>
              <w:rPr>
                <w:noProof/>
              </w:rPr>
            </w:pPr>
            <w:r>
              <w:rPr>
                <w:noProof/>
              </w:rPr>
              <w:t xml:space="preserve">Забрана за използване, подлежи на конкретни изключения съгласно Регламента относно устойчивите органични замърсители </w:t>
            </w:r>
          </w:p>
        </w:tc>
      </w:tr>
      <w:tr>
        <w:tc>
          <w:tcPr>
            <w:tcW w:w="904" w:type="pct"/>
            <w:vMerge/>
          </w:tcPr>
          <w:p>
            <w:pPr>
              <w:pStyle w:val="MBT"/>
              <w:rPr>
                <w:noProof/>
              </w:rPr>
            </w:pPr>
          </w:p>
        </w:tc>
        <w:tc>
          <w:tcPr>
            <w:tcW w:w="1075" w:type="pct"/>
          </w:tcPr>
          <w:p>
            <w:pPr>
              <w:pStyle w:val="MBT"/>
              <w:jc w:val="left"/>
              <w:rPr>
                <w:noProof/>
              </w:rPr>
            </w:pPr>
            <w:r>
              <w:rPr>
                <w:noProof/>
              </w:rPr>
              <w:t xml:space="preserve">Търговски октабромодифенилов етер </w:t>
            </w:r>
          </w:p>
        </w:tc>
        <w:tc>
          <w:tcPr>
            <w:tcW w:w="681" w:type="pct"/>
          </w:tcPr>
          <w:p>
            <w:pPr>
              <w:pStyle w:val="MBT"/>
              <w:rPr>
                <w:noProof/>
              </w:rPr>
            </w:pPr>
            <w:r>
              <w:rPr>
                <w:noProof/>
              </w:rPr>
              <w:t>Ново решение</w:t>
            </w:r>
          </w:p>
        </w:tc>
        <w:tc>
          <w:tcPr>
            <w:tcW w:w="520" w:type="pct"/>
          </w:tcPr>
          <w:p>
            <w:pPr>
              <w:pStyle w:val="MBT"/>
              <w:rPr>
                <w:noProof/>
              </w:rPr>
            </w:pPr>
            <w:r>
              <w:rPr>
                <w:noProof/>
              </w:rPr>
              <w:t xml:space="preserve">Окончателно </w:t>
            </w:r>
          </w:p>
        </w:tc>
        <w:tc>
          <w:tcPr>
            <w:tcW w:w="845" w:type="pct"/>
          </w:tcPr>
          <w:p>
            <w:pPr>
              <w:pStyle w:val="MBT"/>
              <w:jc w:val="left"/>
              <w:rPr>
                <w:noProof/>
              </w:rPr>
            </w:pPr>
            <w:r>
              <w:rPr>
                <w:noProof/>
              </w:rPr>
              <w:t>Съгласие за внос само при определени условия</w:t>
            </w:r>
          </w:p>
        </w:tc>
        <w:tc>
          <w:tcPr>
            <w:tcW w:w="975" w:type="pct"/>
          </w:tcPr>
          <w:p>
            <w:pPr>
              <w:pStyle w:val="MBT"/>
              <w:jc w:val="left"/>
              <w:rPr>
                <w:noProof/>
              </w:rPr>
            </w:pPr>
            <w:r>
              <w:rPr>
                <w:noProof/>
              </w:rPr>
              <w:t xml:space="preserve">Забрана за използване, подлежи на конкретни изключения съгласно Регламента относно устойчивите органични замърсители </w:t>
            </w:r>
          </w:p>
        </w:tc>
      </w:tr>
      <w:tr>
        <w:tc>
          <w:tcPr>
            <w:tcW w:w="904" w:type="pct"/>
            <w:vMerge/>
          </w:tcPr>
          <w:p>
            <w:pPr>
              <w:pStyle w:val="MBT"/>
              <w:rPr>
                <w:noProof/>
              </w:rPr>
            </w:pPr>
          </w:p>
        </w:tc>
        <w:tc>
          <w:tcPr>
            <w:tcW w:w="1075" w:type="pct"/>
          </w:tcPr>
          <w:p>
            <w:pPr>
              <w:pStyle w:val="MBT"/>
              <w:jc w:val="left"/>
              <w:rPr>
                <w:noProof/>
              </w:rPr>
            </w:pPr>
            <w:r>
              <w:rPr>
                <w:noProof/>
              </w:rPr>
              <w:t xml:space="preserve">Перфлуорооктансулфонова киселина, перфлуорооктансулфонати, перфлуорооктансулфонамиди и перфлуорооктансулфонили </w:t>
            </w:r>
          </w:p>
        </w:tc>
        <w:tc>
          <w:tcPr>
            <w:tcW w:w="681" w:type="pct"/>
          </w:tcPr>
          <w:p>
            <w:pPr>
              <w:pStyle w:val="MBT"/>
              <w:rPr>
                <w:noProof/>
              </w:rPr>
            </w:pPr>
            <w:r>
              <w:rPr>
                <w:noProof/>
              </w:rPr>
              <w:t>Ново решение</w:t>
            </w:r>
          </w:p>
        </w:tc>
        <w:tc>
          <w:tcPr>
            <w:tcW w:w="520" w:type="pct"/>
          </w:tcPr>
          <w:p>
            <w:pPr>
              <w:pStyle w:val="MBT"/>
              <w:rPr>
                <w:noProof/>
              </w:rPr>
            </w:pPr>
            <w:r>
              <w:rPr>
                <w:noProof/>
              </w:rPr>
              <w:t xml:space="preserve">Окончателно </w:t>
            </w:r>
          </w:p>
        </w:tc>
        <w:tc>
          <w:tcPr>
            <w:tcW w:w="845" w:type="pct"/>
          </w:tcPr>
          <w:p>
            <w:pPr>
              <w:pStyle w:val="MBT"/>
              <w:jc w:val="left"/>
              <w:rPr>
                <w:noProof/>
              </w:rPr>
            </w:pPr>
            <w:r>
              <w:rPr>
                <w:noProof/>
              </w:rPr>
              <w:t>Несъгласие за внос</w:t>
            </w:r>
          </w:p>
        </w:tc>
        <w:tc>
          <w:tcPr>
            <w:tcW w:w="975" w:type="pct"/>
          </w:tcPr>
          <w:p>
            <w:pPr>
              <w:pStyle w:val="MBT"/>
              <w:jc w:val="left"/>
              <w:rPr>
                <w:noProof/>
              </w:rPr>
            </w:pPr>
            <w:r>
              <w:rPr>
                <w:noProof/>
              </w:rPr>
              <w:t xml:space="preserve">Забрана за използване, подлежи на конкретни изключения съгласно Регламента относно устойчивите органични замърсители </w:t>
            </w:r>
          </w:p>
        </w:tc>
      </w:tr>
      <w:tr>
        <w:tc>
          <w:tcPr>
            <w:tcW w:w="904" w:type="pct"/>
            <w:vMerge w:val="restart"/>
          </w:tcPr>
          <w:p>
            <w:pPr>
              <w:pStyle w:val="MBT"/>
              <w:jc w:val="left"/>
              <w:rPr>
                <w:noProof/>
              </w:rPr>
            </w:pPr>
            <w:r>
              <w:rPr>
                <w:noProof/>
              </w:rPr>
              <w:t>Решение за изпълнение от 11 февруари 2016 г. на Комисията</w:t>
            </w:r>
          </w:p>
        </w:tc>
        <w:tc>
          <w:tcPr>
            <w:tcW w:w="1075" w:type="pct"/>
          </w:tcPr>
          <w:p>
            <w:pPr>
              <w:pStyle w:val="MBT"/>
              <w:jc w:val="left"/>
              <w:rPr>
                <w:noProof/>
              </w:rPr>
            </w:pPr>
            <w:r>
              <w:rPr>
                <w:noProof/>
              </w:rPr>
              <w:t xml:space="preserve">Метамидофос </w:t>
            </w:r>
          </w:p>
        </w:tc>
        <w:tc>
          <w:tcPr>
            <w:tcW w:w="681" w:type="pct"/>
          </w:tcPr>
          <w:p>
            <w:pPr>
              <w:pStyle w:val="MBT"/>
              <w:rPr>
                <w:noProof/>
              </w:rPr>
            </w:pPr>
            <w:r>
              <w:rPr>
                <w:noProof/>
              </w:rPr>
              <w:t>Ново решение</w:t>
            </w:r>
          </w:p>
        </w:tc>
        <w:tc>
          <w:tcPr>
            <w:tcW w:w="520" w:type="pct"/>
          </w:tcPr>
          <w:p>
            <w:pPr>
              <w:pStyle w:val="MBT"/>
              <w:rPr>
                <w:noProof/>
              </w:rPr>
            </w:pPr>
            <w:r>
              <w:rPr>
                <w:noProof/>
              </w:rPr>
              <w:t xml:space="preserve">Окончателно </w:t>
            </w:r>
          </w:p>
        </w:tc>
        <w:tc>
          <w:tcPr>
            <w:tcW w:w="845" w:type="pct"/>
          </w:tcPr>
          <w:p>
            <w:pPr>
              <w:pStyle w:val="MBT"/>
              <w:jc w:val="left"/>
              <w:rPr>
                <w:noProof/>
              </w:rPr>
            </w:pPr>
            <w:r>
              <w:rPr>
                <w:noProof/>
              </w:rPr>
              <w:t>Несъгласие за внос</w:t>
            </w:r>
          </w:p>
        </w:tc>
        <w:tc>
          <w:tcPr>
            <w:tcW w:w="975" w:type="pct"/>
          </w:tcPr>
          <w:p>
            <w:pPr>
              <w:pStyle w:val="MBT"/>
              <w:jc w:val="left"/>
              <w:rPr>
                <w:noProof/>
              </w:rPr>
            </w:pPr>
            <w:r>
              <w:rPr>
                <w:noProof/>
              </w:rPr>
              <w:t>Забрана за използване по РПРЗ</w:t>
            </w:r>
          </w:p>
        </w:tc>
      </w:tr>
      <w:tr>
        <w:tc>
          <w:tcPr>
            <w:tcW w:w="904" w:type="pct"/>
            <w:vMerge/>
          </w:tcPr>
          <w:p>
            <w:pPr>
              <w:pStyle w:val="MBT"/>
              <w:rPr>
                <w:noProof/>
              </w:rPr>
            </w:pPr>
          </w:p>
        </w:tc>
        <w:tc>
          <w:tcPr>
            <w:tcW w:w="1075" w:type="pct"/>
          </w:tcPr>
          <w:p>
            <w:pPr>
              <w:pStyle w:val="MBT"/>
              <w:jc w:val="left"/>
              <w:rPr>
                <w:noProof/>
              </w:rPr>
            </w:pPr>
            <w:r>
              <w:rPr>
                <w:noProof/>
              </w:rPr>
              <w:t xml:space="preserve">Етиленов оксид </w:t>
            </w:r>
          </w:p>
        </w:tc>
        <w:tc>
          <w:tcPr>
            <w:tcW w:w="681" w:type="pct"/>
          </w:tcPr>
          <w:p>
            <w:pPr>
              <w:pStyle w:val="MBT"/>
              <w:rPr>
                <w:noProof/>
              </w:rPr>
            </w:pPr>
            <w:r>
              <w:rPr>
                <w:noProof/>
              </w:rPr>
              <w:t>За изменение на предходно решение</w:t>
            </w:r>
          </w:p>
        </w:tc>
        <w:tc>
          <w:tcPr>
            <w:tcW w:w="520" w:type="pct"/>
          </w:tcPr>
          <w:p>
            <w:pPr>
              <w:pStyle w:val="MBT"/>
              <w:rPr>
                <w:noProof/>
              </w:rPr>
            </w:pPr>
            <w:r>
              <w:rPr>
                <w:noProof/>
              </w:rPr>
              <w:t xml:space="preserve">Междинен период </w:t>
            </w:r>
          </w:p>
        </w:tc>
        <w:tc>
          <w:tcPr>
            <w:tcW w:w="845" w:type="pct"/>
          </w:tcPr>
          <w:p>
            <w:pPr>
              <w:pStyle w:val="MBT"/>
              <w:jc w:val="left"/>
              <w:rPr>
                <w:noProof/>
              </w:rPr>
            </w:pPr>
            <w:r>
              <w:rPr>
                <w:noProof/>
              </w:rPr>
              <w:t xml:space="preserve">Съгласие за внос само при определени условия </w:t>
            </w:r>
          </w:p>
        </w:tc>
        <w:tc>
          <w:tcPr>
            <w:tcW w:w="975" w:type="pct"/>
          </w:tcPr>
          <w:p>
            <w:pPr>
              <w:pStyle w:val="MBT"/>
              <w:jc w:val="left"/>
              <w:rPr>
                <w:noProof/>
              </w:rPr>
            </w:pPr>
            <w:r>
              <w:rPr>
                <w:noProof/>
              </w:rPr>
              <w:t xml:space="preserve">Забрана за използване по РПРЗ и ограничение по BPR </w:t>
            </w:r>
          </w:p>
        </w:tc>
      </w:tr>
      <w:tr>
        <w:tc>
          <w:tcPr>
            <w:tcW w:w="904" w:type="pct"/>
            <w:vMerge/>
          </w:tcPr>
          <w:p>
            <w:pPr>
              <w:pStyle w:val="MBT"/>
              <w:rPr>
                <w:noProof/>
              </w:rPr>
            </w:pPr>
          </w:p>
        </w:tc>
        <w:tc>
          <w:tcPr>
            <w:tcW w:w="1075" w:type="pct"/>
          </w:tcPr>
          <w:p>
            <w:pPr>
              <w:pStyle w:val="MBT"/>
              <w:jc w:val="left"/>
              <w:rPr>
                <w:noProof/>
              </w:rPr>
            </w:pPr>
            <w:r>
              <w:rPr>
                <w:noProof/>
              </w:rPr>
              <w:t xml:space="preserve">ДДТ </w:t>
            </w:r>
          </w:p>
        </w:tc>
        <w:tc>
          <w:tcPr>
            <w:tcW w:w="681" w:type="pct"/>
          </w:tcPr>
          <w:p>
            <w:pPr>
              <w:pStyle w:val="MBT"/>
              <w:rPr>
                <w:noProof/>
              </w:rPr>
            </w:pPr>
            <w:r>
              <w:rPr>
                <w:noProof/>
              </w:rPr>
              <w:t>За изменение на предходно решение</w:t>
            </w:r>
          </w:p>
        </w:tc>
        <w:tc>
          <w:tcPr>
            <w:tcW w:w="520" w:type="pct"/>
          </w:tcPr>
          <w:p>
            <w:pPr>
              <w:pStyle w:val="MBT"/>
              <w:rPr>
                <w:noProof/>
              </w:rPr>
            </w:pPr>
            <w:r>
              <w:rPr>
                <w:noProof/>
              </w:rPr>
              <w:t xml:space="preserve">Окончателно </w:t>
            </w:r>
          </w:p>
        </w:tc>
        <w:tc>
          <w:tcPr>
            <w:tcW w:w="845" w:type="pct"/>
          </w:tcPr>
          <w:p>
            <w:pPr>
              <w:pStyle w:val="MBT"/>
              <w:jc w:val="left"/>
              <w:rPr>
                <w:noProof/>
              </w:rPr>
            </w:pPr>
            <w:r>
              <w:rPr>
                <w:noProof/>
              </w:rPr>
              <w:t>Несъгласие за внос</w:t>
            </w:r>
          </w:p>
        </w:tc>
        <w:tc>
          <w:tcPr>
            <w:tcW w:w="975" w:type="pct"/>
          </w:tcPr>
          <w:p>
            <w:pPr>
              <w:pStyle w:val="MBT"/>
              <w:jc w:val="left"/>
              <w:rPr>
                <w:noProof/>
              </w:rPr>
            </w:pPr>
            <w:r>
              <w:rPr>
                <w:noProof/>
              </w:rPr>
              <w:t xml:space="preserve">Забрана за използване съгласно Регламента относно устойчивите органични замърсители </w:t>
            </w:r>
          </w:p>
        </w:tc>
      </w:tr>
    </w:tbl>
    <w:p>
      <w:pPr>
        <w:pStyle w:val="Body"/>
        <w:jc w:val="both"/>
        <w:rPr>
          <w:noProof/>
        </w:rPr>
      </w:pPr>
    </w:p>
    <w:p>
      <w:pPr>
        <w:pStyle w:val="Heading2"/>
        <w:rPr>
          <w:noProof/>
        </w:rPr>
      </w:pPr>
      <w:r>
        <w:rPr>
          <w:noProof/>
        </w:rPr>
        <w:t>Няколко ОНО от трети държави са изпитали затруднения при обработването на заявки за изрично съгласие</w:t>
      </w:r>
    </w:p>
    <w:p>
      <w:pPr>
        <w:pStyle w:val="MBT"/>
        <w:rPr>
          <w:noProof/>
        </w:rPr>
      </w:pPr>
    </w:p>
    <w:p>
      <w:pPr>
        <w:pStyle w:val="MBT"/>
        <w:rPr>
          <w:noProof/>
        </w:rPr>
      </w:pPr>
      <w:r>
        <w:rPr>
          <w:noProof/>
        </w:rPr>
        <w:t xml:space="preserve">В член 14 се изисква съгласието на държавата вносител преди да се премине към обработка на износа на химикали, включени в част 2 или 3 от приложение I. </w:t>
      </w:r>
      <w:bookmarkStart w:id="12" w:name="_Hlk504126679"/>
      <w:r>
        <w:rPr>
          <w:noProof/>
        </w:rPr>
        <w:t>Въпреки това,</w:t>
      </w:r>
      <w:bookmarkEnd w:id="12"/>
      <w:r>
        <w:rPr>
          <w:noProof/>
        </w:rPr>
        <w:t xml:space="preserve"> ОНО на износителя може да реши, за всеки отделен случай и в консултация с Комисията, да отмени изискването за изрично съгласие, когато даден химикал, за който са в сила изискванията за уведомление по PIC процедурата, е предмет на износ към държава от ОИСР (член 14, параграф 6) или когато не бъде получен отговор от държавата вносител след 60 дни и ако са изпълнени определени условия (член 14, параграф 7). </w:t>
      </w:r>
    </w:p>
    <w:p>
      <w:pPr>
        <w:pStyle w:val="Body"/>
        <w:jc w:val="both"/>
        <w:rPr>
          <w:noProof/>
        </w:rPr>
      </w:pPr>
    </w:p>
    <w:p>
      <w:pPr>
        <w:pStyle w:val="MBT"/>
        <w:rPr>
          <w:noProof/>
        </w:rPr>
      </w:pPr>
      <w:r>
        <w:rPr>
          <w:noProof/>
        </w:rPr>
        <w:t xml:space="preserve">По време на отчетния период, 19 държави членки са приложили процедурата за изрично съгласие по член 14. Те са посочили, че основното предизвикателство са били трудностите на няколко държави вносители, свързани с обработването на искания за изрично съгласие, или защото ОНО са отговорили след 60-я ден на срока за изчакване, или защото не са отговорили изобщо. От 3 362 искания за изрично съгласие, обработени от ОНО, 56 % са получили отговор. Делът е намалявал през отчетния период (61 % през 2014 г., 58 % през 2015 г. и 51 % през 2016 г.), а в същото време броят се е увеличил. Това обяснява защо Агенцията е трябвало да изпраща значителен брой напомнящи съобщения. Първо напомнящо съобщение е изпратено за 65 % от исканията, а второ съобщение — за 42 % от исканията. </w:t>
      </w:r>
    </w:p>
    <w:p>
      <w:pPr>
        <w:pStyle w:val="MBT"/>
        <w:rPr>
          <w:noProof/>
        </w:rPr>
      </w:pPr>
    </w:p>
    <w:p>
      <w:pPr>
        <w:pStyle w:val="Body"/>
        <w:jc w:val="both"/>
        <w:rPr>
          <w:noProof/>
        </w:rPr>
      </w:pPr>
      <w:r>
        <w:rPr>
          <w:noProof/>
        </w:rPr>
        <w:t>Няколко от държавите членки е трябвало да решат дали изискването за изрично съгласие да бъде отменено или не (например шест за износ към държава от ОИСР и 11 в отсъствие на отговор от компетентния орган на държавата вносител), а информацията, предоставена от ОНО, показва, че е имало няколко проблема с изпълнението. Въпреки, че Агенцията е заявила, че първоначално се е затруднявала с тълкуването на случаите, при които се прилагат разпоредбите на член 14, параграф 8, броят на проблемните случаи е намалял до много ниско равнище.</w:t>
      </w:r>
    </w:p>
    <w:p>
      <w:pPr>
        <w:pStyle w:val="Heading2"/>
        <w:rPr>
          <w:noProof/>
        </w:rPr>
      </w:pPr>
      <w:r>
        <w:rPr>
          <w:noProof/>
        </w:rPr>
        <w:t>Неизпълнението на изискванията относно информацията, която трябва да придружава изнасяните химикали, е свързано най-вече с опаковането и ИЛБ</w:t>
      </w:r>
    </w:p>
    <w:p>
      <w:pPr>
        <w:pStyle w:val="Body"/>
        <w:rPr>
          <w:noProof/>
        </w:rPr>
      </w:pPr>
    </w:p>
    <w:p>
      <w:pPr>
        <w:pStyle w:val="Body"/>
        <w:jc w:val="both"/>
        <w:rPr>
          <w:noProof/>
        </w:rPr>
      </w:pPr>
      <w:r>
        <w:rPr>
          <w:noProof/>
        </w:rPr>
        <w:t>В член 17 се посочва, че изнасяните химикали трябва да бъдат опаковани и етикетирани в съответствие със съответните разпоредби на Съюза, освен ако държавата вносител няма различни изисквания. ИЛБ, който съответства на приложение II към Регламента REACH, трябва да бъде изпращан на всеки вносител, заедно с химикала.</w:t>
      </w:r>
    </w:p>
    <w:p>
      <w:pPr>
        <w:pStyle w:val="Body"/>
        <w:rPr>
          <w:noProof/>
        </w:rPr>
      </w:pPr>
    </w:p>
    <w:p>
      <w:pPr>
        <w:pStyle w:val="MBT"/>
        <w:rPr>
          <w:noProof/>
        </w:rPr>
      </w:pPr>
      <w:r>
        <w:rPr>
          <w:noProof/>
        </w:rPr>
        <w:t xml:space="preserve">Националните правоприлагащи органи (НПО) в осем държави членки са изпитвали затруднения със съответствието, по отношение на информацията, която придружава изнасяните химикали. Шест държави членки са посочили, че тези проблеми със съответствието са били свързани с изискванията за опаковането съгласно Регламента CLP, докато други шест са посочили, че са имали проблеми със съответствието по отношение на прилагането на изискванията за ИЛБ по Регламента REACH. </w:t>
      </w:r>
    </w:p>
    <w:p>
      <w:pPr>
        <w:pStyle w:val="Body"/>
        <w:rPr>
          <w:noProof/>
        </w:rPr>
      </w:pPr>
    </w:p>
    <w:p>
      <w:pPr>
        <w:pStyle w:val="Heading2"/>
        <w:rPr>
          <w:noProof/>
        </w:rPr>
      </w:pPr>
      <w:r>
        <w:rPr>
          <w:noProof/>
        </w:rPr>
        <w:t>Всички държави членки са въвели система за контрол на износа и вноса на химикали, попадащи в обхвата на Регламента PIC</w:t>
      </w:r>
    </w:p>
    <w:p>
      <w:pPr>
        <w:pStyle w:val="Body"/>
        <w:rPr>
          <w:noProof/>
        </w:rPr>
      </w:pPr>
    </w:p>
    <w:p>
      <w:pPr>
        <w:pStyle w:val="MBT"/>
        <w:rPr>
          <w:noProof/>
        </w:rPr>
      </w:pPr>
      <w:r>
        <w:rPr>
          <w:noProof/>
        </w:rPr>
        <w:t>Съгласно член 18 от Регламента PIC, държавите членки трябва да определят органи, като например митническите органи, които да контролират вноса и износа на химикали, включени в приложение I. Всички държави членки са определили тези органи. Митниците се грижат за изпълнението на Регламента PIC във всички държави членки, освен в Малта и Обединеното кралство. В четири държави единственият национален правоприлагащ орган (НПО) е митническата администрация (Испания, Хърватия, Италия и Словакия). Други правоприлагащи органи обикновено са службите за опазване на околната среда, тези по химикалите и/или здравните инспекции. В девет държави членки, НПО е част от същата институция като ОНО.</w:t>
      </w:r>
    </w:p>
    <w:p>
      <w:pPr>
        <w:pStyle w:val="MBT"/>
        <w:rPr>
          <w:noProof/>
        </w:rPr>
      </w:pPr>
    </w:p>
    <w:p>
      <w:pPr>
        <w:pStyle w:val="MBT"/>
        <w:rPr>
          <w:noProof/>
        </w:rPr>
      </w:pPr>
      <w:r>
        <w:rPr>
          <w:noProof/>
        </w:rPr>
        <w:t xml:space="preserve">В почти всички държави членки НПО, които участват в прилагането на Регламента PIC, също участват в прилагането на други законодателни актове в областта на химикалите, като например Регламента CLP (27 държави членки), Регламента REACH (25 държави членки), и BPR (22 държави членки). </w:t>
      </w:r>
    </w:p>
    <w:p>
      <w:pPr>
        <w:pStyle w:val="MBT"/>
        <w:rPr>
          <w:noProof/>
        </w:rPr>
      </w:pPr>
    </w:p>
    <w:p>
      <w:pPr>
        <w:pStyle w:val="MBT"/>
        <w:rPr>
          <w:noProof/>
        </w:rPr>
      </w:pPr>
      <w:r>
        <w:rPr>
          <w:noProof/>
        </w:rPr>
        <w:t>Повечето държави членки (18) са посочили, че НПО разполагат с достатъчни ресурси, за да изпълняват задълженията си по Регламента PIC. Държавите членки, които са заявили проблеми с ресурсите във връзка с НПО, обикновено посочват недостиг на човешки ресурси.</w:t>
      </w:r>
    </w:p>
    <w:p>
      <w:pPr>
        <w:pStyle w:val="MBT"/>
        <w:rPr>
          <w:noProof/>
        </w:rPr>
      </w:pPr>
    </w:p>
    <w:p>
      <w:pPr>
        <w:pStyle w:val="MBT"/>
        <w:rPr>
          <w:noProof/>
        </w:rPr>
      </w:pPr>
      <w:r>
        <w:rPr>
          <w:noProof/>
        </w:rPr>
        <w:t xml:space="preserve">16 държави членки са стартирали някакъв вид стратегия относно правоприлагането (включително процедурни правила, писмени инструкции и т.н.), а 15 държави членки са започнали регулярно обучение на инспекторите си. Също така, повечето държави членки са описали прилаганите от тях системи за налагане на наказания при нарушения на Регламента PIC. ОНО обикновено описват комбинация от мерки за принудително изпълнение, като изземване и задържане на стоки, оттегляне от пазара, временно спиране на дейности и др. Десет държави членки са споменали, че НПО могат да издават официални уведомителни писма, с които да изискват спазване на определена времева рамка. По отношение на наказанията за нарушения, 23 държави членки са посочили, че налагат глоби за конкретни нарушения, често в различен размер, в зависимост от сериозността на нарушението. В седем държави членки наказанието „лишаване от свобода“ може да бъде наложено за най-сериозните нарушения. </w:t>
      </w:r>
    </w:p>
    <w:p>
      <w:pPr>
        <w:pStyle w:val="Body"/>
        <w:rPr>
          <w:noProof/>
        </w:rPr>
      </w:pPr>
    </w:p>
    <w:p>
      <w:pPr>
        <w:pStyle w:val="Body"/>
        <w:rPr>
          <w:noProof/>
        </w:rPr>
      </w:pPr>
    </w:p>
    <w:p>
      <w:pPr>
        <w:pStyle w:val="Heading2"/>
        <w:rPr>
          <w:noProof/>
        </w:rPr>
      </w:pPr>
      <w:r>
        <w:rPr>
          <w:noProof/>
        </w:rPr>
        <w:t>Почти всички държави членки са изпълнили дейности по правоприлагане и са установили високо ниво на съответствие</w:t>
      </w:r>
    </w:p>
    <w:p>
      <w:pPr>
        <w:pStyle w:val="Body"/>
        <w:rPr>
          <w:noProof/>
        </w:rPr>
      </w:pPr>
    </w:p>
    <w:p>
      <w:pPr>
        <w:pStyle w:val="MBT"/>
        <w:rPr>
          <w:noProof/>
        </w:rPr>
      </w:pPr>
      <w:r>
        <w:rPr>
          <w:noProof/>
        </w:rPr>
        <w:t xml:space="preserve">По време на отчетния период, 18 държави членки са извършили проверки за съответствие, а 15 са извършили посещения на място, в обхвата на Регламента PIC. </w:t>
      </w:r>
    </w:p>
    <w:p>
      <w:pPr>
        <w:pStyle w:val="MBT"/>
        <w:rPr>
          <w:noProof/>
        </w:rPr>
      </w:pPr>
    </w:p>
    <w:p>
      <w:pPr>
        <w:pStyle w:val="Caption"/>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Дейности по првоприлагане, извършени от държави членки</w:t>
      </w:r>
    </w:p>
    <w:p>
      <w:pPr>
        <w:pStyle w:val="Body"/>
        <w:jc w:val="both"/>
        <w:rPr>
          <w:noProof/>
        </w:rPr>
      </w:pPr>
      <w:r>
        <w:rPr>
          <w:noProof/>
          <w:lang w:val="en-US"/>
        </w:rPr>
        <w:drawing>
          <wp:inline distT="0" distB="0" distL="0" distR="0">
            <wp:extent cx="5760085" cy="3197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3197860"/>
                    </a:xfrm>
                    <a:prstGeom prst="rect">
                      <a:avLst/>
                    </a:prstGeom>
                    <a:noFill/>
                    <a:ln>
                      <a:noFill/>
                    </a:ln>
                  </pic:spPr>
                </pic:pic>
              </a:graphicData>
            </a:graphic>
          </wp:inline>
        </w:drawing>
      </w:r>
    </w:p>
    <w:p>
      <w:pPr>
        <w:pStyle w:val="Body"/>
        <w:jc w:val="both"/>
        <w:rPr>
          <w:noProof/>
        </w:rPr>
      </w:pPr>
    </w:p>
    <w:p>
      <w:pPr>
        <w:pStyle w:val="MBT"/>
        <w:rPr>
          <w:noProof/>
        </w:rPr>
      </w:pPr>
      <w:r>
        <w:rPr>
          <w:noProof/>
        </w:rPr>
        <w:t>Според данните, предоставени от ОНО, митническите и другите НПО са извършили контролни проверки върху износа на химикали в 17 държави членки, както и върху вноса на химикали, попадащи в обхвата на Регламента PIC, в 11 държави членки</w:t>
      </w:r>
      <w:r>
        <w:rPr>
          <w:rStyle w:val="FootnoteReference"/>
          <w:noProof/>
        </w:rPr>
        <w:footnoteReference w:id="10"/>
      </w:r>
      <w:r>
        <w:rPr>
          <w:noProof/>
        </w:rPr>
        <w:t>. Броят на извършените контролни проверки е много различен в отделните държави членки, което може да се дължи на броя на операциите по износ и внос на подлежащи на PIC процедурата химикали в съответната държава, възприетата стратегия за инспекции, или видовете контролни проверки, които се извършват (например контролни проверки по сигнал спрямо регулярно наблюдение). Три държави членки са посочили успешно установяване на нарушения чрез контролни проверки от страна на митническите органи, с много нисък брой на случаите на нарушения. Девет държави членки са посочили случаи, открити чрез контролни проверки, извършени от инспектори, като нивото на нарушенията варира значително между тези държави членки. В някои случаи това може да е свързано с вида на контролните проверки, които се извършват (например, при проверките по сигнал има по-голяма вероятност да се открият нарушения). Тринадесет случая на нарушения са довели до глоби в четири държави членки.</w:t>
      </w:r>
    </w:p>
    <w:p>
      <w:pPr>
        <w:pStyle w:val="MBT"/>
        <w:rPr>
          <w:noProof/>
        </w:rPr>
      </w:pPr>
    </w:p>
    <w:p>
      <w:pPr>
        <w:pStyle w:val="Caption"/>
        <w:rPr>
          <w:noProof/>
        </w:rPr>
      </w:pPr>
      <w:r>
        <w:rPr>
          <w:noProof/>
        </w:rPr>
        <w:t xml:space="preserve">Таблица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Pr>
          <w:noProof/>
        </w:rPr>
        <w:t>: Брой на извършените контролни проверки и наблюдаваните нарушения от страна на митническите органи и инспекторите по време на отчетния период</w:t>
      </w:r>
      <w:r>
        <w:rPr>
          <w:rStyle w:val="FootnoteReference"/>
          <w:noProof/>
          <w:lang w:val="en-US"/>
        </w:rPr>
        <w:footnoteReference w:id="11"/>
      </w:r>
      <w:r>
        <w:rPr>
          <w:noProof/>
        </w:rPr>
        <w:t xml:space="preserve"> </w:t>
      </w:r>
    </w:p>
    <w:tbl>
      <w:tblPr>
        <w:tblStyle w:val="TableGrid"/>
        <w:tblW w:w="5000" w:type="pct"/>
        <w:tblLook w:val="04A0" w:firstRow="1" w:lastRow="0" w:firstColumn="1" w:lastColumn="0" w:noHBand="0" w:noVBand="1"/>
      </w:tblPr>
      <w:tblGrid>
        <w:gridCol w:w="2358"/>
        <w:gridCol w:w="1650"/>
        <w:gridCol w:w="1920"/>
        <w:gridCol w:w="1438"/>
        <w:gridCol w:w="1921"/>
      </w:tblGrid>
      <w:tr>
        <w:trPr>
          <w:cnfStyle w:val="100000000000" w:firstRow="1" w:lastRow="0" w:firstColumn="0" w:lastColumn="0" w:oddVBand="0" w:evenVBand="0" w:oddHBand="0" w:evenHBand="0" w:firstRowFirstColumn="0" w:firstRowLastColumn="0" w:lastRowFirstColumn="0" w:lastRowLastColumn="0"/>
        </w:trPr>
        <w:tc>
          <w:tcPr>
            <w:tcW w:w="1318" w:type="pct"/>
            <w:shd w:val="clear" w:color="auto" w:fill="000099"/>
          </w:tcPr>
          <w:p>
            <w:pPr>
              <w:pStyle w:val="MBT"/>
              <w:rPr>
                <w:noProof/>
              </w:rPr>
            </w:pPr>
            <w:r>
              <w:rPr>
                <w:noProof/>
              </w:rPr>
              <w:t>Държава членка</w:t>
            </w:r>
          </w:p>
        </w:tc>
        <w:tc>
          <w:tcPr>
            <w:tcW w:w="696" w:type="pct"/>
            <w:shd w:val="clear" w:color="auto" w:fill="000099"/>
          </w:tcPr>
          <w:p>
            <w:pPr>
              <w:pStyle w:val="MBT"/>
              <w:jc w:val="left"/>
              <w:rPr>
                <w:noProof/>
              </w:rPr>
            </w:pPr>
            <w:r>
              <w:rPr>
                <w:noProof/>
              </w:rPr>
              <w:t>Контролни проверки върху износа и вноса, от страна на митническите органи</w:t>
            </w:r>
          </w:p>
        </w:tc>
        <w:tc>
          <w:tcPr>
            <w:tcW w:w="1082" w:type="pct"/>
            <w:shd w:val="clear" w:color="auto" w:fill="000099"/>
          </w:tcPr>
          <w:p>
            <w:pPr>
              <w:pStyle w:val="MBT"/>
              <w:jc w:val="left"/>
              <w:rPr>
                <w:noProof/>
              </w:rPr>
            </w:pPr>
            <w:r>
              <w:rPr>
                <w:noProof/>
              </w:rPr>
              <w:t xml:space="preserve">Нарушения, установени от митническите органи </w:t>
            </w:r>
          </w:p>
        </w:tc>
        <w:tc>
          <w:tcPr>
            <w:tcW w:w="822" w:type="pct"/>
            <w:shd w:val="clear" w:color="auto" w:fill="000099"/>
          </w:tcPr>
          <w:p>
            <w:pPr>
              <w:pStyle w:val="MBT"/>
              <w:jc w:val="left"/>
              <w:rPr>
                <w:noProof/>
              </w:rPr>
            </w:pPr>
            <w:r>
              <w:rPr>
                <w:noProof/>
              </w:rPr>
              <w:t>Контролни проверки върху износа и вноса, от страна на инспектори</w:t>
            </w:r>
          </w:p>
        </w:tc>
        <w:tc>
          <w:tcPr>
            <w:tcW w:w="1082" w:type="pct"/>
            <w:shd w:val="clear" w:color="auto" w:fill="000099"/>
          </w:tcPr>
          <w:p>
            <w:pPr>
              <w:pStyle w:val="MBT"/>
              <w:jc w:val="left"/>
              <w:rPr>
                <w:noProof/>
              </w:rPr>
            </w:pPr>
            <w:r>
              <w:rPr>
                <w:noProof/>
              </w:rPr>
              <w:t xml:space="preserve">Нарушения, установени от инспектори </w:t>
            </w:r>
          </w:p>
        </w:tc>
      </w:tr>
      <w:tr>
        <w:tc>
          <w:tcPr>
            <w:tcW w:w="1318" w:type="pct"/>
          </w:tcPr>
          <w:p>
            <w:pPr>
              <w:pStyle w:val="MBT"/>
              <w:rPr>
                <w:noProof/>
              </w:rPr>
            </w:pPr>
            <w:r>
              <w:rPr>
                <w:noProof/>
              </w:rPr>
              <w:t>Австрия</w:t>
            </w:r>
          </w:p>
        </w:tc>
        <w:tc>
          <w:tcPr>
            <w:tcW w:w="696" w:type="pct"/>
          </w:tcPr>
          <w:p>
            <w:pPr>
              <w:pStyle w:val="MBT"/>
              <w:rPr>
                <w:noProof/>
              </w:rPr>
            </w:pPr>
            <w:r>
              <w:rPr>
                <w:noProof/>
              </w:rPr>
              <w:t>561</w:t>
            </w:r>
          </w:p>
        </w:tc>
        <w:tc>
          <w:tcPr>
            <w:tcW w:w="1082" w:type="pct"/>
          </w:tcPr>
          <w:p>
            <w:pPr>
              <w:pStyle w:val="MBT"/>
              <w:rPr>
                <w:noProof/>
              </w:rPr>
            </w:pPr>
            <w:r>
              <w:rPr>
                <w:noProof/>
              </w:rPr>
              <w:t>0</w:t>
            </w:r>
          </w:p>
        </w:tc>
        <w:tc>
          <w:tcPr>
            <w:tcW w:w="822" w:type="pct"/>
          </w:tcPr>
          <w:p>
            <w:pPr>
              <w:pStyle w:val="MBT"/>
              <w:rPr>
                <w:noProof/>
              </w:rPr>
            </w:pPr>
            <w:r>
              <w:rPr>
                <w:noProof/>
              </w:rPr>
              <w:t>16</w:t>
            </w:r>
          </w:p>
        </w:tc>
        <w:tc>
          <w:tcPr>
            <w:tcW w:w="1082" w:type="pct"/>
          </w:tcPr>
          <w:p>
            <w:pPr>
              <w:pStyle w:val="MBT"/>
              <w:rPr>
                <w:noProof/>
              </w:rPr>
            </w:pPr>
            <w:r>
              <w:rPr>
                <w:noProof/>
              </w:rPr>
              <w:t>8</w:t>
            </w:r>
          </w:p>
        </w:tc>
      </w:tr>
      <w:tr>
        <w:tc>
          <w:tcPr>
            <w:tcW w:w="1318" w:type="pct"/>
          </w:tcPr>
          <w:p>
            <w:pPr>
              <w:pStyle w:val="MBT"/>
              <w:rPr>
                <w:noProof/>
              </w:rPr>
            </w:pPr>
            <w:r>
              <w:rPr>
                <w:noProof/>
              </w:rPr>
              <w:t>Белгия</w:t>
            </w:r>
          </w:p>
        </w:tc>
        <w:tc>
          <w:tcPr>
            <w:tcW w:w="696" w:type="pct"/>
          </w:tcPr>
          <w:p>
            <w:pPr>
              <w:pStyle w:val="MBT"/>
              <w:rPr>
                <w:noProof/>
              </w:rPr>
            </w:pPr>
            <w:r>
              <w:rPr>
                <w:noProof/>
              </w:rPr>
              <w:t>Не се прилага.</w:t>
            </w:r>
          </w:p>
        </w:tc>
        <w:tc>
          <w:tcPr>
            <w:tcW w:w="1082" w:type="pct"/>
          </w:tcPr>
          <w:p>
            <w:pPr>
              <w:pStyle w:val="MBT"/>
              <w:rPr>
                <w:noProof/>
              </w:rPr>
            </w:pPr>
            <w:r>
              <w:rPr>
                <w:noProof/>
              </w:rPr>
              <w:t>Не се прилага.</w:t>
            </w:r>
          </w:p>
        </w:tc>
        <w:tc>
          <w:tcPr>
            <w:tcW w:w="822" w:type="pct"/>
          </w:tcPr>
          <w:p>
            <w:pPr>
              <w:pStyle w:val="MBT"/>
              <w:rPr>
                <w:noProof/>
              </w:rPr>
            </w:pPr>
            <w:r>
              <w:rPr>
                <w:noProof/>
              </w:rPr>
              <w:t>29</w:t>
            </w:r>
          </w:p>
        </w:tc>
        <w:tc>
          <w:tcPr>
            <w:tcW w:w="1082" w:type="pct"/>
          </w:tcPr>
          <w:p>
            <w:pPr>
              <w:pStyle w:val="MBT"/>
              <w:rPr>
                <w:noProof/>
              </w:rPr>
            </w:pPr>
            <w:r>
              <w:rPr>
                <w:noProof/>
              </w:rPr>
              <w:t>10</w:t>
            </w:r>
          </w:p>
        </w:tc>
      </w:tr>
      <w:tr>
        <w:tc>
          <w:tcPr>
            <w:tcW w:w="1318" w:type="pct"/>
          </w:tcPr>
          <w:p>
            <w:pPr>
              <w:pStyle w:val="MBT"/>
              <w:rPr>
                <w:noProof/>
              </w:rPr>
            </w:pPr>
            <w:r>
              <w:rPr>
                <w:noProof/>
              </w:rPr>
              <w:t>България</w:t>
            </w:r>
          </w:p>
        </w:tc>
        <w:tc>
          <w:tcPr>
            <w:tcW w:w="696" w:type="pct"/>
          </w:tcPr>
          <w:p>
            <w:pPr>
              <w:pStyle w:val="MBT"/>
              <w:rPr>
                <w:noProof/>
              </w:rPr>
            </w:pPr>
            <w:r>
              <w:rPr>
                <w:noProof/>
              </w:rPr>
              <w:t>463</w:t>
            </w:r>
          </w:p>
        </w:tc>
        <w:tc>
          <w:tcPr>
            <w:tcW w:w="1082" w:type="pct"/>
          </w:tcPr>
          <w:p>
            <w:pPr>
              <w:pStyle w:val="MBT"/>
              <w:rPr>
                <w:noProof/>
              </w:rPr>
            </w:pPr>
            <w:r>
              <w:rPr>
                <w:noProof/>
              </w:rPr>
              <w:t>0</w:t>
            </w:r>
          </w:p>
        </w:tc>
        <w:tc>
          <w:tcPr>
            <w:tcW w:w="822" w:type="pct"/>
          </w:tcPr>
          <w:p>
            <w:pPr>
              <w:pStyle w:val="MBT"/>
              <w:rPr>
                <w:noProof/>
              </w:rPr>
            </w:pPr>
            <w:r>
              <w:rPr>
                <w:noProof/>
              </w:rPr>
              <w:t>40</w:t>
            </w:r>
          </w:p>
        </w:tc>
        <w:tc>
          <w:tcPr>
            <w:tcW w:w="1082" w:type="pct"/>
          </w:tcPr>
          <w:p>
            <w:pPr>
              <w:pStyle w:val="MBT"/>
              <w:rPr>
                <w:noProof/>
              </w:rPr>
            </w:pPr>
            <w:r>
              <w:rPr>
                <w:noProof/>
              </w:rPr>
              <w:t>7</w:t>
            </w:r>
          </w:p>
        </w:tc>
      </w:tr>
      <w:tr>
        <w:tc>
          <w:tcPr>
            <w:tcW w:w="1318" w:type="pct"/>
          </w:tcPr>
          <w:p>
            <w:pPr>
              <w:pStyle w:val="MBT"/>
              <w:rPr>
                <w:noProof/>
              </w:rPr>
            </w:pPr>
            <w:r>
              <w:rPr>
                <w:noProof/>
              </w:rPr>
              <w:t>Финландия</w:t>
            </w:r>
          </w:p>
        </w:tc>
        <w:tc>
          <w:tcPr>
            <w:tcW w:w="696" w:type="pct"/>
          </w:tcPr>
          <w:p>
            <w:pPr>
              <w:pStyle w:val="MBT"/>
              <w:rPr>
                <w:noProof/>
              </w:rPr>
            </w:pPr>
            <w:r>
              <w:rPr>
                <w:noProof/>
              </w:rPr>
              <w:t>3 633</w:t>
            </w:r>
          </w:p>
        </w:tc>
        <w:tc>
          <w:tcPr>
            <w:tcW w:w="1082" w:type="pct"/>
          </w:tcPr>
          <w:p>
            <w:pPr>
              <w:pStyle w:val="MBT"/>
              <w:rPr>
                <w:noProof/>
              </w:rPr>
            </w:pPr>
            <w:r>
              <w:rPr>
                <w:noProof/>
              </w:rPr>
              <w:t>Не се прилага.</w:t>
            </w:r>
          </w:p>
        </w:tc>
        <w:tc>
          <w:tcPr>
            <w:tcW w:w="822" w:type="pct"/>
          </w:tcPr>
          <w:p>
            <w:pPr>
              <w:pStyle w:val="MBT"/>
              <w:rPr>
                <w:noProof/>
              </w:rPr>
            </w:pPr>
            <w:r>
              <w:rPr>
                <w:noProof/>
              </w:rPr>
              <w:t>1</w:t>
            </w:r>
          </w:p>
        </w:tc>
        <w:tc>
          <w:tcPr>
            <w:tcW w:w="1082" w:type="pct"/>
          </w:tcPr>
          <w:p>
            <w:pPr>
              <w:pStyle w:val="MBT"/>
              <w:rPr>
                <w:noProof/>
              </w:rPr>
            </w:pPr>
            <w:r>
              <w:rPr>
                <w:noProof/>
              </w:rPr>
              <w:t>1</w:t>
            </w:r>
          </w:p>
        </w:tc>
      </w:tr>
      <w:tr>
        <w:tc>
          <w:tcPr>
            <w:tcW w:w="1318" w:type="pct"/>
          </w:tcPr>
          <w:p>
            <w:pPr>
              <w:pStyle w:val="MBT"/>
              <w:rPr>
                <w:noProof/>
              </w:rPr>
            </w:pPr>
            <w:r>
              <w:rPr>
                <w:noProof/>
              </w:rPr>
              <w:t xml:space="preserve">Франция </w:t>
            </w:r>
          </w:p>
        </w:tc>
        <w:tc>
          <w:tcPr>
            <w:tcW w:w="696" w:type="pct"/>
          </w:tcPr>
          <w:p>
            <w:pPr>
              <w:pStyle w:val="MBT"/>
              <w:rPr>
                <w:noProof/>
              </w:rPr>
            </w:pPr>
            <w:r>
              <w:rPr>
                <w:noProof/>
              </w:rPr>
              <w:t>123</w:t>
            </w:r>
          </w:p>
        </w:tc>
        <w:tc>
          <w:tcPr>
            <w:tcW w:w="1082" w:type="pct"/>
          </w:tcPr>
          <w:p>
            <w:pPr>
              <w:pStyle w:val="MBT"/>
              <w:rPr>
                <w:noProof/>
              </w:rPr>
            </w:pPr>
            <w:r>
              <w:rPr>
                <w:noProof/>
              </w:rPr>
              <w:t>3</w:t>
            </w:r>
          </w:p>
        </w:tc>
        <w:tc>
          <w:tcPr>
            <w:tcW w:w="822" w:type="pct"/>
          </w:tcPr>
          <w:p>
            <w:pPr>
              <w:pStyle w:val="MBT"/>
              <w:rPr>
                <w:noProof/>
              </w:rPr>
            </w:pPr>
            <w:r>
              <w:rPr>
                <w:noProof/>
              </w:rPr>
              <w:t>Не се прилага.</w:t>
            </w:r>
          </w:p>
        </w:tc>
        <w:tc>
          <w:tcPr>
            <w:tcW w:w="1082" w:type="pct"/>
          </w:tcPr>
          <w:p>
            <w:pPr>
              <w:pStyle w:val="MBT"/>
              <w:rPr>
                <w:noProof/>
              </w:rPr>
            </w:pPr>
            <w:r>
              <w:rPr>
                <w:noProof/>
              </w:rPr>
              <w:t>Не се прилага.</w:t>
            </w:r>
          </w:p>
        </w:tc>
      </w:tr>
      <w:tr>
        <w:tc>
          <w:tcPr>
            <w:tcW w:w="1318" w:type="pct"/>
          </w:tcPr>
          <w:p>
            <w:pPr>
              <w:pStyle w:val="MBT"/>
              <w:rPr>
                <w:noProof/>
              </w:rPr>
            </w:pPr>
            <w:r>
              <w:rPr>
                <w:noProof/>
              </w:rPr>
              <w:t>Германия</w:t>
            </w:r>
          </w:p>
        </w:tc>
        <w:tc>
          <w:tcPr>
            <w:tcW w:w="696" w:type="pct"/>
          </w:tcPr>
          <w:p>
            <w:pPr>
              <w:pStyle w:val="MBT"/>
              <w:rPr>
                <w:noProof/>
              </w:rPr>
            </w:pPr>
            <w:r>
              <w:rPr>
                <w:noProof/>
              </w:rPr>
              <w:t>1</w:t>
            </w:r>
            <w:r>
              <w:rPr>
                <w:rStyle w:val="FootnoteReference"/>
                <w:noProof/>
              </w:rPr>
              <w:footnoteReference w:id="12"/>
            </w:r>
          </w:p>
        </w:tc>
        <w:tc>
          <w:tcPr>
            <w:tcW w:w="1082" w:type="pct"/>
          </w:tcPr>
          <w:p>
            <w:pPr>
              <w:pStyle w:val="MBT"/>
              <w:rPr>
                <w:noProof/>
              </w:rPr>
            </w:pPr>
            <w:r>
              <w:rPr>
                <w:noProof/>
              </w:rPr>
              <w:t>1</w:t>
            </w:r>
          </w:p>
        </w:tc>
        <w:tc>
          <w:tcPr>
            <w:tcW w:w="822" w:type="pct"/>
          </w:tcPr>
          <w:p>
            <w:pPr>
              <w:pStyle w:val="MBT"/>
              <w:rPr>
                <w:noProof/>
              </w:rPr>
            </w:pPr>
            <w:r>
              <w:rPr>
                <w:noProof/>
              </w:rPr>
              <w:t>49</w:t>
            </w:r>
          </w:p>
        </w:tc>
        <w:tc>
          <w:tcPr>
            <w:tcW w:w="1082" w:type="pct"/>
          </w:tcPr>
          <w:p>
            <w:pPr>
              <w:pStyle w:val="MBT"/>
              <w:rPr>
                <w:noProof/>
              </w:rPr>
            </w:pPr>
            <w:r>
              <w:rPr>
                <w:noProof/>
              </w:rPr>
              <w:t>21</w:t>
            </w:r>
          </w:p>
        </w:tc>
      </w:tr>
      <w:tr>
        <w:tc>
          <w:tcPr>
            <w:tcW w:w="1318" w:type="pct"/>
          </w:tcPr>
          <w:p>
            <w:pPr>
              <w:pStyle w:val="MBT"/>
              <w:rPr>
                <w:noProof/>
              </w:rPr>
            </w:pPr>
            <w:r>
              <w:rPr>
                <w:noProof/>
              </w:rPr>
              <w:t>Унгария</w:t>
            </w:r>
          </w:p>
        </w:tc>
        <w:tc>
          <w:tcPr>
            <w:tcW w:w="696" w:type="pct"/>
          </w:tcPr>
          <w:p>
            <w:pPr>
              <w:pStyle w:val="MBT"/>
              <w:rPr>
                <w:noProof/>
              </w:rPr>
            </w:pPr>
            <w:r>
              <w:rPr>
                <w:noProof/>
              </w:rPr>
              <w:t>35</w:t>
            </w:r>
          </w:p>
        </w:tc>
        <w:tc>
          <w:tcPr>
            <w:tcW w:w="1082" w:type="pct"/>
          </w:tcPr>
          <w:p>
            <w:pPr>
              <w:pStyle w:val="MBT"/>
              <w:rPr>
                <w:noProof/>
              </w:rPr>
            </w:pPr>
            <w:r>
              <w:rPr>
                <w:noProof/>
              </w:rPr>
              <w:t>0</w:t>
            </w:r>
          </w:p>
        </w:tc>
        <w:tc>
          <w:tcPr>
            <w:tcW w:w="822" w:type="pct"/>
          </w:tcPr>
          <w:p>
            <w:pPr>
              <w:pStyle w:val="MBT"/>
              <w:rPr>
                <w:noProof/>
              </w:rPr>
            </w:pPr>
            <w:r>
              <w:rPr>
                <w:noProof/>
              </w:rPr>
              <w:t>93</w:t>
            </w:r>
          </w:p>
        </w:tc>
        <w:tc>
          <w:tcPr>
            <w:tcW w:w="1082" w:type="pct"/>
          </w:tcPr>
          <w:p>
            <w:pPr>
              <w:pStyle w:val="MBT"/>
              <w:rPr>
                <w:noProof/>
              </w:rPr>
            </w:pPr>
            <w:r>
              <w:rPr>
                <w:noProof/>
              </w:rPr>
              <w:t>2</w:t>
            </w:r>
          </w:p>
        </w:tc>
      </w:tr>
      <w:tr>
        <w:tc>
          <w:tcPr>
            <w:tcW w:w="1318" w:type="pct"/>
          </w:tcPr>
          <w:p>
            <w:pPr>
              <w:pStyle w:val="MBT"/>
              <w:rPr>
                <w:noProof/>
              </w:rPr>
            </w:pPr>
            <w:r>
              <w:rPr>
                <w:noProof/>
              </w:rPr>
              <w:t>Италия</w:t>
            </w:r>
          </w:p>
        </w:tc>
        <w:tc>
          <w:tcPr>
            <w:tcW w:w="696" w:type="pct"/>
          </w:tcPr>
          <w:p>
            <w:pPr>
              <w:pStyle w:val="MBT"/>
              <w:rPr>
                <w:noProof/>
              </w:rPr>
            </w:pPr>
            <w:r>
              <w:rPr>
                <w:noProof/>
              </w:rPr>
              <w:t>1205</w:t>
            </w:r>
          </w:p>
        </w:tc>
        <w:tc>
          <w:tcPr>
            <w:tcW w:w="1082" w:type="pct"/>
          </w:tcPr>
          <w:p>
            <w:pPr>
              <w:pStyle w:val="MBT"/>
              <w:rPr>
                <w:noProof/>
              </w:rPr>
            </w:pPr>
            <w:r>
              <w:rPr>
                <w:noProof/>
              </w:rPr>
              <w:t>9</w:t>
            </w:r>
          </w:p>
        </w:tc>
        <w:tc>
          <w:tcPr>
            <w:tcW w:w="822" w:type="pct"/>
          </w:tcPr>
          <w:p>
            <w:pPr>
              <w:pStyle w:val="MBT"/>
              <w:rPr>
                <w:noProof/>
              </w:rPr>
            </w:pPr>
            <w:r>
              <w:rPr>
                <w:noProof/>
              </w:rPr>
              <w:t>Не се прилага.</w:t>
            </w:r>
          </w:p>
        </w:tc>
        <w:tc>
          <w:tcPr>
            <w:tcW w:w="1082" w:type="pct"/>
          </w:tcPr>
          <w:p>
            <w:pPr>
              <w:pStyle w:val="MBT"/>
              <w:rPr>
                <w:noProof/>
              </w:rPr>
            </w:pPr>
            <w:r>
              <w:rPr>
                <w:noProof/>
              </w:rPr>
              <w:t>Не се прилага.</w:t>
            </w:r>
          </w:p>
        </w:tc>
      </w:tr>
      <w:tr>
        <w:tc>
          <w:tcPr>
            <w:tcW w:w="1318" w:type="pct"/>
          </w:tcPr>
          <w:p>
            <w:pPr>
              <w:pStyle w:val="MBT"/>
              <w:rPr>
                <w:noProof/>
              </w:rPr>
            </w:pPr>
            <w:r>
              <w:rPr>
                <w:noProof/>
              </w:rPr>
              <w:t>Литва</w:t>
            </w:r>
          </w:p>
        </w:tc>
        <w:tc>
          <w:tcPr>
            <w:tcW w:w="696" w:type="pct"/>
          </w:tcPr>
          <w:p>
            <w:pPr>
              <w:pStyle w:val="MBT"/>
              <w:rPr>
                <w:noProof/>
              </w:rPr>
            </w:pPr>
            <w:r>
              <w:rPr>
                <w:noProof/>
              </w:rPr>
              <w:t>0</w:t>
            </w:r>
          </w:p>
        </w:tc>
        <w:tc>
          <w:tcPr>
            <w:tcW w:w="1082" w:type="pct"/>
          </w:tcPr>
          <w:p>
            <w:pPr>
              <w:pStyle w:val="MBT"/>
              <w:rPr>
                <w:noProof/>
              </w:rPr>
            </w:pPr>
            <w:r>
              <w:rPr>
                <w:noProof/>
              </w:rPr>
              <w:t>0</w:t>
            </w:r>
          </w:p>
        </w:tc>
        <w:tc>
          <w:tcPr>
            <w:tcW w:w="822" w:type="pct"/>
          </w:tcPr>
          <w:p>
            <w:pPr>
              <w:pStyle w:val="MBT"/>
              <w:rPr>
                <w:noProof/>
              </w:rPr>
            </w:pPr>
            <w:r>
              <w:rPr>
                <w:noProof/>
              </w:rPr>
              <w:t>2</w:t>
            </w:r>
          </w:p>
        </w:tc>
        <w:tc>
          <w:tcPr>
            <w:tcW w:w="1082" w:type="pct"/>
          </w:tcPr>
          <w:p>
            <w:pPr>
              <w:pStyle w:val="MBT"/>
              <w:rPr>
                <w:noProof/>
              </w:rPr>
            </w:pPr>
            <w:r>
              <w:rPr>
                <w:noProof/>
              </w:rPr>
              <w:t>1</w:t>
            </w:r>
          </w:p>
        </w:tc>
      </w:tr>
      <w:tr>
        <w:tc>
          <w:tcPr>
            <w:tcW w:w="1318" w:type="pct"/>
          </w:tcPr>
          <w:p>
            <w:pPr>
              <w:pStyle w:val="MBT"/>
              <w:rPr>
                <w:noProof/>
              </w:rPr>
            </w:pPr>
            <w:r>
              <w:rPr>
                <w:noProof/>
              </w:rPr>
              <w:t>Нидерландия</w:t>
            </w:r>
          </w:p>
        </w:tc>
        <w:tc>
          <w:tcPr>
            <w:tcW w:w="696" w:type="pct"/>
          </w:tcPr>
          <w:p>
            <w:pPr>
              <w:pStyle w:val="MBT"/>
              <w:rPr>
                <w:noProof/>
              </w:rPr>
            </w:pPr>
            <w:r>
              <w:rPr>
                <w:noProof/>
              </w:rPr>
              <w:t>275</w:t>
            </w:r>
          </w:p>
        </w:tc>
        <w:tc>
          <w:tcPr>
            <w:tcW w:w="1082" w:type="pct"/>
          </w:tcPr>
          <w:p>
            <w:pPr>
              <w:pStyle w:val="MBT"/>
              <w:rPr>
                <w:noProof/>
              </w:rPr>
            </w:pPr>
            <w:r>
              <w:rPr>
                <w:noProof/>
              </w:rPr>
              <w:t>0</w:t>
            </w:r>
          </w:p>
        </w:tc>
        <w:tc>
          <w:tcPr>
            <w:tcW w:w="822" w:type="pct"/>
          </w:tcPr>
          <w:p>
            <w:pPr>
              <w:pStyle w:val="MBT"/>
              <w:rPr>
                <w:noProof/>
              </w:rPr>
            </w:pPr>
            <w:r>
              <w:rPr>
                <w:noProof/>
              </w:rPr>
              <w:t>661</w:t>
            </w:r>
          </w:p>
        </w:tc>
        <w:tc>
          <w:tcPr>
            <w:tcW w:w="1082" w:type="pct"/>
          </w:tcPr>
          <w:p>
            <w:pPr>
              <w:pStyle w:val="MBT"/>
              <w:rPr>
                <w:noProof/>
              </w:rPr>
            </w:pPr>
            <w:r>
              <w:rPr>
                <w:noProof/>
              </w:rPr>
              <w:t>2</w:t>
            </w:r>
          </w:p>
        </w:tc>
      </w:tr>
      <w:tr>
        <w:tc>
          <w:tcPr>
            <w:tcW w:w="1318" w:type="pct"/>
          </w:tcPr>
          <w:p>
            <w:pPr>
              <w:pStyle w:val="MBT"/>
              <w:rPr>
                <w:noProof/>
              </w:rPr>
            </w:pPr>
            <w:r>
              <w:rPr>
                <w:noProof/>
              </w:rPr>
              <w:t>Обединено кралство</w:t>
            </w:r>
          </w:p>
        </w:tc>
        <w:tc>
          <w:tcPr>
            <w:tcW w:w="696" w:type="pct"/>
          </w:tcPr>
          <w:p>
            <w:pPr>
              <w:pStyle w:val="MBT"/>
              <w:rPr>
                <w:noProof/>
              </w:rPr>
            </w:pPr>
            <w:r>
              <w:rPr>
                <w:noProof/>
              </w:rPr>
              <w:t>0</w:t>
            </w:r>
          </w:p>
        </w:tc>
        <w:tc>
          <w:tcPr>
            <w:tcW w:w="1082" w:type="pct"/>
          </w:tcPr>
          <w:p>
            <w:pPr>
              <w:pStyle w:val="MBT"/>
              <w:rPr>
                <w:noProof/>
              </w:rPr>
            </w:pPr>
            <w:r>
              <w:rPr>
                <w:noProof/>
              </w:rPr>
              <w:t>0</w:t>
            </w:r>
          </w:p>
        </w:tc>
        <w:tc>
          <w:tcPr>
            <w:tcW w:w="822" w:type="pct"/>
          </w:tcPr>
          <w:p>
            <w:pPr>
              <w:pStyle w:val="MBT"/>
              <w:rPr>
                <w:noProof/>
              </w:rPr>
            </w:pPr>
            <w:r>
              <w:rPr>
                <w:noProof/>
              </w:rPr>
              <w:t>1</w:t>
            </w:r>
          </w:p>
        </w:tc>
        <w:tc>
          <w:tcPr>
            <w:tcW w:w="1082" w:type="pct"/>
          </w:tcPr>
          <w:p>
            <w:pPr>
              <w:pStyle w:val="MBT"/>
              <w:rPr>
                <w:noProof/>
              </w:rPr>
            </w:pPr>
            <w:r>
              <w:rPr>
                <w:noProof/>
              </w:rPr>
              <w:t>1</w:t>
            </w:r>
          </w:p>
        </w:tc>
      </w:tr>
    </w:tbl>
    <w:p>
      <w:pPr>
        <w:pStyle w:val="Body"/>
        <w:rPr>
          <w:noProof/>
          <w:lang w:val="en-GB"/>
        </w:rPr>
      </w:pPr>
    </w:p>
    <w:p>
      <w:pPr>
        <w:pStyle w:val="MBT"/>
        <w:rPr>
          <w:noProof/>
        </w:rPr>
      </w:pPr>
      <w:r>
        <w:rPr>
          <w:noProof/>
        </w:rPr>
        <w:t xml:space="preserve">Основната категория нарушения, установена при инспекциите, е била несъответствие на химикала с известието за износ. Установени са и нарушения, свързани с изискванията за ИЛБ и етикетирането. </w:t>
      </w:r>
    </w:p>
    <w:p>
      <w:pPr>
        <w:pStyle w:val="MBT"/>
        <w:rPr>
          <w:noProof/>
        </w:rPr>
      </w:pPr>
    </w:p>
    <w:p>
      <w:pPr>
        <w:pStyle w:val="MBT"/>
        <w:rPr>
          <w:noProof/>
        </w:rPr>
      </w:pPr>
      <w:r>
        <w:rPr>
          <w:noProof/>
        </w:rPr>
        <w:t xml:space="preserve">Координирането на дейностите по правоприлагане се осъществява посредством Форума за обмен на информация, като и Агенцията, и ОНО дават положителна обратна връзка по отношение на дейностите на форума. Някои ОНО приветстваха стартирането на пилотен проект, посветен на прилагането на Регламента PIC. </w:t>
      </w:r>
    </w:p>
    <w:p>
      <w:pPr>
        <w:pStyle w:val="Body"/>
        <w:rPr>
          <w:noProof/>
        </w:rPr>
      </w:pPr>
    </w:p>
    <w:p>
      <w:pPr>
        <w:pStyle w:val="Heading2"/>
        <w:rPr>
          <w:noProof/>
        </w:rPr>
      </w:pPr>
      <w:r>
        <w:rPr>
          <w:noProof/>
        </w:rPr>
        <w:t>Публикуван е първият доклад съгласно член 20</w:t>
      </w:r>
    </w:p>
    <w:p>
      <w:pPr>
        <w:pStyle w:val="Body"/>
        <w:rPr>
          <w:noProof/>
        </w:rPr>
      </w:pPr>
    </w:p>
    <w:p>
      <w:pPr>
        <w:pStyle w:val="MBT"/>
        <w:rPr>
          <w:noProof/>
        </w:rPr>
      </w:pPr>
      <w:r>
        <w:rPr>
          <w:noProof/>
        </w:rPr>
        <w:t>Съгласно член 20 Комисията, подпомагана от Агенцията и държавите членки, трябва да улеснява предоставянето на научна, техническа, икономическа и правна информация на другите държави относно химикалите, попадащи в обхвата на Регламента PIC. Следователно, Агенцията трябва да съставя доклад относно цялата изпратена информация на всеки две години.</w:t>
      </w:r>
    </w:p>
    <w:p>
      <w:pPr>
        <w:pStyle w:val="Body"/>
        <w:jc w:val="both"/>
        <w:rPr>
          <w:noProof/>
        </w:rPr>
      </w:pPr>
    </w:p>
    <w:p>
      <w:pPr>
        <w:pStyle w:val="Body"/>
        <w:jc w:val="both"/>
        <w:rPr>
          <w:noProof/>
        </w:rPr>
      </w:pPr>
      <w:r>
        <w:rPr>
          <w:noProof/>
        </w:rPr>
        <w:t>Агенцията публикува първата компилация от информация, изпратена до трети държави, през м. ноември 2016 г.</w:t>
      </w:r>
      <w:r>
        <w:rPr>
          <w:noProof/>
          <w:vertAlign w:val="superscript"/>
          <w:lang w:val="en-GB"/>
        </w:rPr>
        <w:footnoteReference w:id="13"/>
      </w:r>
      <w:r>
        <w:rPr>
          <w:noProof/>
        </w:rPr>
        <w:t>, в която бяха обхванати първите две години от прилагането на Регламента PIC (2014—2015 г.). Агенцията не е срещнала трудности при събирането на изпратената информация от Комисията и държавите членки. Единственото предизвикателство беше да се определи обхватът на доклада заедно с Комисията и държавите членки, тъй като той беше първи от своя вид. Комисията получи и отговори на две искания за информация през 2014—2015 г. и на четири искания през 2016 г.</w:t>
      </w:r>
    </w:p>
    <w:p>
      <w:pPr>
        <w:pStyle w:val="Body"/>
        <w:rPr>
          <w:noProof/>
        </w:rPr>
      </w:pPr>
    </w:p>
    <w:p>
      <w:pPr>
        <w:pStyle w:val="Heading2"/>
        <w:rPr>
          <w:noProof/>
        </w:rPr>
      </w:pPr>
      <w:r>
        <w:rPr>
          <w:noProof/>
        </w:rPr>
        <w:t xml:space="preserve">Няколко ОНО и Агенцията взеха участие в дейности по техническа помощ </w:t>
      </w:r>
    </w:p>
    <w:p>
      <w:pPr>
        <w:pStyle w:val="Body"/>
        <w:rPr>
          <w:noProof/>
        </w:rPr>
      </w:pPr>
    </w:p>
    <w:p>
      <w:pPr>
        <w:pStyle w:val="MBT"/>
        <w:rPr>
          <w:noProof/>
        </w:rPr>
      </w:pPr>
      <w:r>
        <w:rPr>
          <w:noProof/>
        </w:rPr>
        <w:t>Съгласно член 21, Комисията, ОНО и Агенцията трябва да си сътрудничат за насърчаване на техническата помощ, като подпомагат по-специално развиващите се държави и държавите с икономики в преход за прилагане на Конвенцията и за развиване на инфраструктурата, капацитета и експертния опит, необходими за правилното управление на химикалите през целия им жизнен цикъл.</w:t>
      </w:r>
    </w:p>
    <w:p>
      <w:pPr>
        <w:pStyle w:val="MBT"/>
        <w:rPr>
          <w:noProof/>
        </w:rPr>
      </w:pPr>
    </w:p>
    <w:p>
      <w:pPr>
        <w:pStyle w:val="MBT"/>
        <w:rPr>
          <w:noProof/>
        </w:rPr>
      </w:pPr>
      <w:r>
        <w:rPr>
          <w:noProof/>
        </w:rPr>
        <w:t>Пет държави членки взеха участие в дейности за сътрудничество, а шест — в проекти или международни дейности, свързани с изграждането на капацитет по управлението на химикали. Дейностите на ОНО представляваха предоставяне на технически опит или техническа информация посредством обучаващи семинари, посещения, туининг проекти и други. Агенцията организира или участва в няколко дейности за изграждане на капацитет, като или подпомагаше държави, кандидатстващи за членство в ЕС, или разясняваше конкретните разпоредби на Регламента PIC и разликите с разпоредбите на Конвенцията пред органите на държави извън ЕС.</w:t>
      </w:r>
    </w:p>
    <w:p>
      <w:pPr>
        <w:pStyle w:val="MBT"/>
        <w:rPr>
          <w:noProof/>
        </w:rPr>
      </w:pPr>
    </w:p>
    <w:p>
      <w:pPr>
        <w:pStyle w:val="Heading2"/>
        <w:rPr>
          <w:noProof/>
        </w:rPr>
      </w:pPr>
      <w:r>
        <w:rPr>
          <w:noProof/>
        </w:rPr>
        <w:t xml:space="preserve">Потребителите на ePIC като цяло намират ИТ инструмента лесен за ползване и достатъчно полезен в подкрепа на тяхната работа </w:t>
      </w:r>
    </w:p>
    <w:p>
      <w:pPr>
        <w:pStyle w:val="Body"/>
        <w:jc w:val="both"/>
        <w:rPr>
          <w:noProof/>
        </w:rPr>
      </w:pPr>
    </w:p>
    <w:p>
      <w:pPr>
        <w:pStyle w:val="Body"/>
        <w:jc w:val="both"/>
        <w:rPr>
          <w:noProof/>
        </w:rPr>
      </w:pPr>
      <w:r>
        <w:rPr>
          <w:noProof/>
        </w:rPr>
        <w:t xml:space="preserve">Както се изисква от Регламент (ЕС) № 649/2012, Агенцията разработи и продължава да поддържа софтуерното приложение ePIC, в подкрепа на прилагането на Регламента PIC. ePIC беше пуснат през м. септември 2014 г., скоро след влизането в сила на Регламента, и замени предишната база данни EDEXIM. Комисията, ОНО, правоприлагащите органи, Агенцията, износителите, вносителите и митническите служители — всички имат достъп до ePIC. </w:t>
      </w:r>
    </w:p>
    <w:p>
      <w:pPr>
        <w:pStyle w:val="Body"/>
        <w:jc w:val="both"/>
        <w:rPr>
          <w:noProof/>
        </w:rPr>
      </w:pPr>
    </w:p>
    <w:p>
      <w:pPr>
        <w:pStyle w:val="Body"/>
        <w:jc w:val="both"/>
        <w:rPr>
          <w:noProof/>
        </w:rPr>
      </w:pPr>
      <w:r>
        <w:rPr>
          <w:noProof/>
        </w:rPr>
        <w:t>Като цяло, ОНО намират ePIC за лесен за използване и не са изпитвали особени трудности при работата с него. Обратната връзка от промишлени потребители към Агенцията и ОНО също беше предимно положителна, което важи и за обратната връзка от митниците и правоприлагащите органи.</w:t>
      </w:r>
    </w:p>
    <w:p>
      <w:pPr>
        <w:pStyle w:val="Body"/>
        <w:rPr>
          <w:noProof/>
        </w:rPr>
      </w:pPr>
    </w:p>
    <w:p>
      <w:pPr>
        <w:pStyle w:val="Heading2"/>
        <w:rPr>
          <w:noProof/>
        </w:rPr>
      </w:pPr>
      <w:r>
        <w:rPr>
          <w:noProof/>
        </w:rPr>
        <w:t xml:space="preserve">Съответната информация и данни са обществено достъпни </w:t>
      </w:r>
    </w:p>
    <w:p>
      <w:pPr>
        <w:pStyle w:val="Body"/>
        <w:rPr>
          <w:noProof/>
        </w:rPr>
      </w:pPr>
    </w:p>
    <w:p>
      <w:pPr>
        <w:pStyle w:val="Body"/>
        <w:jc w:val="both"/>
        <w:rPr>
          <w:noProof/>
        </w:rPr>
      </w:pPr>
      <w:r>
        <w:rPr>
          <w:noProof/>
        </w:rPr>
        <w:t>Регламентът PIC съдържа редица искания за предоставяне на информация и данни на обществеността, и те надлежно се изпълняват от Агенцията.</w:t>
      </w:r>
    </w:p>
    <w:p>
      <w:pPr>
        <w:pStyle w:val="Body"/>
        <w:rPr>
          <w:noProof/>
        </w:rPr>
      </w:pPr>
    </w:p>
    <w:p>
      <w:pPr>
        <w:pStyle w:val="MBT"/>
        <w:rPr>
          <w:noProof/>
        </w:rPr>
      </w:pPr>
      <w:r>
        <w:rPr>
          <w:noProof/>
        </w:rPr>
        <w:t>Агенцията разполага с конкретна уеб страница, посветена на Регламента PIC, където са обяснени съдържанието на законодателството и различните процедури. Уеб страницата съдържа и:</w:t>
      </w:r>
    </w:p>
    <w:p>
      <w:pPr>
        <w:pStyle w:val="MBT"/>
        <w:numPr>
          <w:ilvl w:val="0"/>
          <w:numId w:val="32"/>
        </w:numPr>
        <w:rPr>
          <w:noProof/>
        </w:rPr>
      </w:pPr>
      <w:r>
        <w:rPr>
          <w:noProof/>
        </w:rPr>
        <w:t>Препратка към правния текст и неговите изменения</w:t>
      </w:r>
      <w:r>
        <w:rPr>
          <w:rStyle w:val="FootnoteReference"/>
          <w:noProof/>
        </w:rPr>
        <w:footnoteReference w:id="14"/>
      </w:r>
      <w:r>
        <w:rPr>
          <w:noProof/>
        </w:rPr>
        <w:t xml:space="preserve">; </w:t>
      </w:r>
    </w:p>
    <w:p>
      <w:pPr>
        <w:pStyle w:val="MBT"/>
        <w:numPr>
          <w:ilvl w:val="0"/>
          <w:numId w:val="32"/>
        </w:numPr>
        <w:rPr>
          <w:noProof/>
        </w:rPr>
      </w:pPr>
      <w:r>
        <w:rPr>
          <w:noProof/>
        </w:rPr>
        <w:t>Член 10 касае информацията относно действителните количества на химикалите по PIC процедурата, които са изнесени и внесени</w:t>
      </w:r>
      <w:r>
        <w:rPr>
          <w:rStyle w:val="FootnoteReference"/>
          <w:noProof/>
        </w:rPr>
        <w:footnoteReference w:id="15"/>
      </w:r>
      <w:r>
        <w:rPr>
          <w:noProof/>
        </w:rPr>
        <w:t>;</w:t>
      </w:r>
    </w:p>
    <w:p>
      <w:pPr>
        <w:pStyle w:val="MBT"/>
        <w:numPr>
          <w:ilvl w:val="0"/>
          <w:numId w:val="32"/>
        </w:numPr>
        <w:rPr>
          <w:noProof/>
        </w:rPr>
      </w:pPr>
      <w:r>
        <w:rPr>
          <w:noProof/>
        </w:rPr>
        <w:t>В член 20 се дават указания относно обмена на информация</w:t>
      </w:r>
      <w:r>
        <w:rPr>
          <w:rStyle w:val="FootnoteReference"/>
          <w:noProof/>
        </w:rPr>
        <w:footnoteReference w:id="16"/>
      </w:r>
      <w:r>
        <w:rPr>
          <w:noProof/>
        </w:rPr>
        <w:t>.</w:t>
      </w:r>
    </w:p>
    <w:p>
      <w:pPr>
        <w:pStyle w:val="Body"/>
        <w:rPr>
          <w:noProof/>
        </w:rPr>
      </w:pPr>
    </w:p>
    <w:p>
      <w:pPr>
        <w:pStyle w:val="MBT"/>
        <w:rPr>
          <w:noProof/>
        </w:rPr>
      </w:pPr>
      <w:r>
        <w:rPr>
          <w:noProof/>
        </w:rPr>
        <w:t xml:space="preserve">Съгласно изискванията на Регламента PIC, Агенцията е създала и база данни, която съдържа: </w:t>
      </w:r>
    </w:p>
    <w:p>
      <w:pPr>
        <w:pStyle w:val="MBT"/>
        <w:numPr>
          <w:ilvl w:val="0"/>
          <w:numId w:val="33"/>
        </w:numPr>
        <w:rPr>
          <w:noProof/>
        </w:rPr>
      </w:pPr>
      <w:r>
        <w:rPr>
          <w:noProof/>
        </w:rPr>
        <w:t>Списък на химикалите, обект на PIC процедурата</w:t>
      </w:r>
      <w:r>
        <w:rPr>
          <w:rStyle w:val="FootnoteReference"/>
          <w:noProof/>
        </w:rPr>
        <w:footnoteReference w:id="17"/>
      </w:r>
      <w:r>
        <w:rPr>
          <w:noProof/>
        </w:rPr>
        <w:t>;</w:t>
      </w:r>
    </w:p>
    <w:p>
      <w:pPr>
        <w:pStyle w:val="MBT"/>
        <w:numPr>
          <w:ilvl w:val="0"/>
          <w:numId w:val="33"/>
        </w:numPr>
        <w:rPr>
          <w:noProof/>
        </w:rPr>
      </w:pPr>
      <w:r>
        <w:rPr>
          <w:noProof/>
        </w:rPr>
        <w:t>Информация и статистика на високо равнище относно уведомленията за износ</w:t>
      </w:r>
      <w:r>
        <w:rPr>
          <w:rStyle w:val="FootnoteReference"/>
          <w:noProof/>
        </w:rPr>
        <w:footnoteReference w:id="18"/>
      </w:r>
      <w:r>
        <w:rPr>
          <w:noProof/>
        </w:rPr>
        <w:t xml:space="preserve">; </w:t>
      </w:r>
    </w:p>
    <w:p>
      <w:pPr>
        <w:pStyle w:val="MBT"/>
        <w:numPr>
          <w:ilvl w:val="0"/>
          <w:numId w:val="33"/>
        </w:numPr>
        <w:rPr>
          <w:noProof/>
        </w:rPr>
      </w:pPr>
      <w:r>
        <w:rPr>
          <w:noProof/>
        </w:rPr>
        <w:t>Информация и статистика на високо равнище относно уведомленията за внос</w:t>
      </w:r>
      <w:r>
        <w:rPr>
          <w:rStyle w:val="FootnoteReference"/>
          <w:noProof/>
        </w:rPr>
        <w:footnoteReference w:id="19"/>
      </w:r>
      <w:r>
        <w:rPr>
          <w:noProof/>
        </w:rPr>
        <w:t xml:space="preserve">; </w:t>
      </w:r>
    </w:p>
    <w:p>
      <w:pPr>
        <w:pStyle w:val="MBT"/>
        <w:numPr>
          <w:ilvl w:val="0"/>
          <w:numId w:val="33"/>
        </w:numPr>
        <w:rPr>
          <w:noProof/>
        </w:rPr>
      </w:pPr>
      <w:r>
        <w:rPr>
          <w:noProof/>
        </w:rPr>
        <w:t>Неповерителни данни относно изричното съгласие, получавано от държави извън ЕС</w:t>
      </w:r>
      <w:r>
        <w:rPr>
          <w:rStyle w:val="FootnoteReference"/>
          <w:noProof/>
        </w:rPr>
        <w:footnoteReference w:id="20"/>
      </w:r>
      <w:r>
        <w:rPr>
          <w:noProof/>
        </w:rPr>
        <w:t xml:space="preserve">; </w:t>
      </w:r>
    </w:p>
    <w:p>
      <w:pPr>
        <w:pStyle w:val="MBT"/>
        <w:numPr>
          <w:ilvl w:val="0"/>
          <w:numId w:val="33"/>
        </w:numPr>
        <w:rPr>
          <w:noProof/>
        </w:rPr>
      </w:pPr>
      <w:r>
        <w:rPr>
          <w:noProof/>
        </w:rPr>
        <w:t>Данни за връзка с ОНО в ЕС и извън Съюза</w:t>
      </w:r>
      <w:r>
        <w:rPr>
          <w:rStyle w:val="FootnoteReference"/>
          <w:noProof/>
          <w:lang w:val="fr-BE"/>
        </w:rPr>
        <w:footnoteReference w:id="21"/>
      </w:r>
      <w:r>
        <w:rPr>
          <w:noProof/>
        </w:rPr>
        <w:t xml:space="preserve">. </w:t>
      </w:r>
    </w:p>
    <w:p>
      <w:pPr>
        <w:pStyle w:val="MBT"/>
        <w:rPr>
          <w:noProof/>
        </w:rPr>
      </w:pPr>
    </w:p>
    <w:p>
      <w:pPr>
        <w:pStyle w:val="MBT"/>
        <w:rPr>
          <w:noProof/>
        </w:rPr>
      </w:pPr>
      <w:r>
        <w:rPr>
          <w:noProof/>
        </w:rPr>
        <w:t xml:space="preserve">В допълнение към това, информацията, свързана с веществата, които са обект на Регламента PIC, също се предоставя чрез уеб страниците на Агенцията в раздел „Информация относно химикалите“, които осигуряват информационна карта за всяко вещество, както и по-подробен профил за някои вещества. </w:t>
      </w:r>
    </w:p>
    <w:p>
      <w:pPr>
        <w:pStyle w:val="MBT"/>
        <w:rPr>
          <w:noProof/>
        </w:rPr>
      </w:pPr>
    </w:p>
    <w:p>
      <w:pPr>
        <w:pStyle w:val="Heading1"/>
        <w:rPr>
          <w:noProof/>
        </w:rPr>
      </w:pPr>
      <w:r>
        <w:rPr>
          <w:noProof/>
        </w:rPr>
        <w:t>Заключения</w:t>
      </w:r>
    </w:p>
    <w:p>
      <w:pPr>
        <w:pStyle w:val="MBT"/>
        <w:rPr>
          <w:noProof/>
        </w:rPr>
      </w:pPr>
      <w:r>
        <w:rPr>
          <w:noProof/>
        </w:rPr>
        <w:t>Регламент (ЕС) № 649/2012 прилага Ротердамската конвенция в ЕС и има същите цели, т.е. да насърчава споделяне на отговорността и сътрудничеството в рамките на международното движение на опасни химикали, и да опазва здравето на човека и околната среда от потенциални вреди като улеснява обмена на информация относно опасните химикали и търговията с тях. Регламент (ЕС) № 649/2012 надхвърля изискванията на Конвенцията, за да предложи по-високо равнище на защита, по-специално в развиващите се държави и държавите с икономики в преход.</w:t>
      </w:r>
    </w:p>
    <w:p>
      <w:pPr>
        <w:pStyle w:val="MBT"/>
        <w:rPr>
          <w:noProof/>
        </w:rPr>
      </w:pPr>
    </w:p>
    <w:p>
      <w:pPr>
        <w:pStyle w:val="MBT"/>
        <w:rPr>
          <w:noProof/>
        </w:rPr>
      </w:pPr>
      <w:r>
        <w:rPr>
          <w:noProof/>
        </w:rPr>
        <w:t xml:space="preserve">Настоящият доклад показва, че процедурите, установени с Регламент (ЕС) № 649/2012, са функционирали добре и са допринесли за постигането на целите му. Доброто сътрудничество между всички заинтересовани страни е формирало основа за успешно изпълнение. Процедурата за уведомление при износ е функционирала добре и е осигурила на държавите вносители важна информация относно много химикали и техния износ. С почти 8 000 уведомления за износ през 2016 г. </w:t>
      </w:r>
      <w:bookmarkStart w:id="13" w:name="_Hlk515297225"/>
      <w:r>
        <w:rPr>
          <w:noProof/>
        </w:rPr>
        <w:t>и при продължаваща възходяща тенденция,</w:t>
      </w:r>
      <w:bookmarkEnd w:id="13"/>
      <w:r>
        <w:rPr>
          <w:noProof/>
        </w:rPr>
        <w:t xml:space="preserve"> мащабът на обмена на информация и неговият потенциал за по-нататъшно увеличение се виждат ясно. </w:t>
      </w:r>
      <w:bookmarkStart w:id="14" w:name="_Hlk515297244"/>
      <w:r>
        <w:rPr>
          <w:noProof/>
        </w:rPr>
        <w:t>Съответното работно натоварване</w:t>
      </w:r>
      <w:bookmarkEnd w:id="14"/>
      <w:r>
        <w:rPr>
          <w:noProof/>
        </w:rPr>
        <w:t xml:space="preserve"> може да се поеме само чрез влагане на разумни човешки ресурси, като се има предвид нуждата от поддържане на капацитета за обработка и поддръжка, паралелно с гарантиране на добрата работа на софтуерното приложение ePIC, което е разработено и се поддържа от Агенцията.</w:t>
      </w:r>
    </w:p>
    <w:p>
      <w:pPr>
        <w:pStyle w:val="MBT"/>
        <w:rPr>
          <w:noProof/>
        </w:rPr>
      </w:pPr>
    </w:p>
    <w:p>
      <w:pPr>
        <w:pStyle w:val="MBT"/>
        <w:rPr>
          <w:noProof/>
        </w:rPr>
      </w:pPr>
      <w:r>
        <w:rPr>
          <w:noProof/>
        </w:rPr>
        <w:t xml:space="preserve">Процедурата за изрично съгласие, която надхвърля границите на Конвенцията, като стандартна процедура за износа на определени химикали, е довела до много на брой искания за изрично съгласие, по-конкретно 3 362, изпратени до държавите вносители по време на отчетния период. Опитът показва, че тези искания представляват предизвикателство за много от държавите вносители, най-вече защото процедурата рядко се използва съгласно Конвенцията и много страни може дори да не знаят за нейното съществуване. Това може да е довело до много на брой операции за износ, за които не е дадено разрешение за осъществяване поради искания за съгласие, на които не е даден отговор. Възможността за подаване на заявление за отказ при определени условия е гарантирала, че броят на операциите по износ, които биват блокирани по тази причина, е бил сведен до минимум. </w:t>
      </w:r>
    </w:p>
    <w:p>
      <w:pPr>
        <w:pStyle w:val="MBT"/>
        <w:rPr>
          <w:noProof/>
        </w:rPr>
      </w:pPr>
    </w:p>
    <w:p>
      <w:pPr>
        <w:pStyle w:val="MBT"/>
        <w:rPr>
          <w:noProof/>
        </w:rPr>
      </w:pPr>
      <w:r>
        <w:rPr>
          <w:noProof/>
        </w:rPr>
        <w:t xml:space="preserve">Износителите на химикали, които попадат в обхвата на Регламента, обичайно са били наясно със своите задължения и са можели да ги изпълнят. В ситуациите, където са възникнали проблеми, ОНО и Агенцията са предоставили необходимото съдействие и това вероятно е оказало влияние за малкото на брой нарушения. Основната категория нарушения, установена при проверките, е била несъответствие на химикала с известието за износ. Установени са и нарушения, свързани с изискванията за ИЛБ и етикетирането. </w:t>
      </w:r>
    </w:p>
    <w:p>
      <w:pPr>
        <w:pStyle w:val="MBT"/>
        <w:rPr>
          <w:noProof/>
        </w:rPr>
      </w:pPr>
    </w:p>
    <w:p>
      <w:pPr>
        <w:pStyle w:val="MBT"/>
        <w:rPr>
          <w:noProof/>
        </w:rPr>
      </w:pPr>
      <w:r>
        <w:rPr>
          <w:noProof/>
        </w:rPr>
        <w:t>Като цяло държавите членки са изпълнявали своите задължения, въпреки че високото работно натоварване в края на всяка година, предизвикано от големия брой уведомления за износ, е представлявало предизвикателство за някои държави членки и понякога е водело до проблеми със спазването на сроковете. Приносът на Агенцията за изпълнението напълно отговаряше на изискванията на Регламента, а стабилната й работа послужи за основа за ефективно функциониране на съответните процедури. Комисията изпълни своите задължения съгласно Регламента. По време на отчетния период бяха приети два делегирани регламента на Комисията, за изменение на приложение I, както и две решения за изпълнение на Комисията, за приемане на решения относно вноса в Съюза. В допълнение към това Комисията координираше приноса на Съюза към международната работа и представляваше Съюза пред Конвенцията.</w:t>
      </w:r>
    </w:p>
    <w:p>
      <w:pPr>
        <w:pStyle w:val="MBT"/>
        <w:rPr>
          <w:noProof/>
        </w:rPr>
      </w:pPr>
    </w:p>
    <w:sectPr>
      <w:headerReference w:type="even" r:id="rId24"/>
      <w:headerReference w:type="default" r:id="rId25"/>
      <w:footerReference w:type="even" r:id="rId26"/>
      <w:footerReference w:type="default" r:id="rId27"/>
      <w:headerReference w:type="first" r:id="rId28"/>
      <w:footerReference w:type="first" r:id="rId29"/>
      <w:pgSz w:w="11907" w:h="16839" w:code="9"/>
      <w:pgMar w:top="2136" w:right="1418" w:bottom="737" w:left="1418" w:header="240" w:footer="24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53104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t>2</w:t>
        </w:r>
        <w: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25156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w:t>
        </w:r>
        <w: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spacing w:after="120"/>
      </w:pPr>
      <w:r>
        <w:rPr>
          <w:rStyle w:val="FootnoteReference"/>
        </w:rPr>
        <w:footnoteRef/>
      </w:r>
      <w:r>
        <w:t xml:space="preserve"> Регламент (ЕС) № 649/2012 на Европейския парламент и на Съвета от 4 юли 2012 г. относно износа и вноса на опасни химикали (ОВ L 201, 27 юли 2012 г., стр. 60–106). </w:t>
      </w:r>
    </w:p>
  </w:footnote>
  <w:footnote w:id="2">
    <w:p>
      <w:pPr>
        <w:pStyle w:val="FootnoteText"/>
        <w:spacing w:after="120"/>
      </w:pPr>
      <w:r>
        <w:rPr>
          <w:rStyle w:val="FootnoteReference"/>
        </w:rPr>
        <w:footnoteRef/>
      </w:r>
      <w:r>
        <w:t xml:space="preserve"> 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 (ОВ L 353, 31.12.2008 г., стр. 1—1355) </w:t>
      </w:r>
    </w:p>
  </w:footnote>
  <w:footnote w:id="3">
    <w:p>
      <w:pPr>
        <w:pStyle w:val="FootnoteText"/>
        <w:spacing w:after="120"/>
      </w:pPr>
      <w:r>
        <w:rPr>
          <w:rStyle w:val="FootnoteReference"/>
        </w:rPr>
        <w:footnoteRef/>
      </w:r>
      <w:r>
        <w:t xml:space="preserve"> Регламент 649/2012 се прилага от 1 март 2014 г. </w:t>
      </w:r>
    </w:p>
  </w:footnote>
  <w:footnote w:id="4">
    <w:p>
      <w:pPr>
        <w:pStyle w:val="FootnoteText"/>
        <w:spacing w:after="120"/>
      </w:pPr>
      <w:r>
        <w:rPr>
          <w:rStyle w:val="FootnoteReference"/>
        </w:rPr>
        <w:footnoteRef/>
      </w:r>
      <w:r>
        <w:t xml:space="preserve"> Решение за изпълнение (ЕС) 2016/770 на Комисията от 14 април 2016 г. за установяване на общ формат за подаването на информация относно функционирането на процедурите съгласно Регламент (ЕС) № 649/2012 на Европейския парламент и на Съвета относно износа и вноса на опасни химикали (С/2016/2068, ОВ L 127, 18.5.2016 г., стр. 32—51). </w:t>
      </w:r>
    </w:p>
  </w:footnote>
  <w:footnote w:id="5">
    <w:p>
      <w:pPr>
        <w:pStyle w:val="FootnoteText"/>
        <w:spacing w:after="120"/>
      </w:pPr>
      <w:r>
        <w:rPr>
          <w:rStyle w:val="FootnoteReference"/>
        </w:rPr>
        <w:footnoteRef/>
      </w:r>
      <w:r>
        <w:t xml:space="preserve"> Решение за изпълнение (ЕС) 2016/1115 на Комисията от 7 юли 2016 г. за установяване на формат за подаването от страна на Европейската агенция по химикалите на информация относно функционирането на процедурите съгласно Регламент (ЕС) № 649/2012 на Европейския парламент и на Съвета относно износа и вноса на опасни химикали (ОВ L 186, 9.7.2016 г., стр. 13–23). </w:t>
      </w:r>
    </w:p>
  </w:footnote>
  <w:footnote w:id="6">
    <w:p>
      <w:pPr>
        <w:pStyle w:val="FootnoteText"/>
        <w:spacing w:after="120"/>
      </w:pPr>
      <w:r>
        <w:rPr>
          <w:rStyle w:val="FootnoteReference"/>
        </w:rPr>
        <w:footnoteRef/>
      </w:r>
      <w:r>
        <w:t xml:space="preserve"> 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1—854. </w:t>
      </w:r>
    </w:p>
  </w:footnote>
  <w:footnote w:id="7">
    <w:p>
      <w:pPr>
        <w:pStyle w:val="FootnoteText"/>
        <w:spacing w:after="120"/>
      </w:pPr>
      <w:r>
        <w:rPr>
          <w:rStyle w:val="FootnoteReference"/>
        </w:rPr>
        <w:footnoteRef/>
      </w:r>
      <w:r>
        <w:t xml:space="preserve"> Регламент (ЕС) № 528/2012 на Европейския парламент и на Съвета от 22 май 2012 г. относно предоставянето на пазара и употребата на биоциди, OB L 167, 27.6.2012 г., стр. 1—123. </w:t>
      </w:r>
    </w:p>
  </w:footnote>
  <w:footnote w:id="8">
    <w:p>
      <w:pPr>
        <w:pStyle w:val="FootnoteText"/>
        <w:spacing w:after="120"/>
      </w:pPr>
      <w:r>
        <w:rPr>
          <w:rStyle w:val="FootnoteReference"/>
        </w:rPr>
        <w:footnoteRef/>
      </w:r>
      <w:r>
        <w:t xml:space="preserve"> </w:t>
      </w:r>
      <w:r>
        <w:tab/>
        <w:t xml:space="preserve">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ОВ L 309, 24.11.2009 г., стр. 1—50. </w:t>
      </w:r>
    </w:p>
  </w:footnote>
  <w:footnote w:id="9">
    <w:p>
      <w:pPr>
        <w:pStyle w:val="FootnoteText"/>
        <w:spacing w:after="120"/>
      </w:pPr>
      <w:r>
        <w:rPr>
          <w:rStyle w:val="FootnoteReference"/>
        </w:rPr>
        <w:footnoteRef/>
      </w:r>
      <w:r>
        <w:t xml:space="preserve"> ECHA, годишно отчитане на вноса и износа по PIC процедурата: </w:t>
      </w:r>
      <w:hyperlink r:id="rId1" w:history="1">
        <w:r>
          <w:rPr>
            <w:rStyle w:val="Hyperlink"/>
          </w:rPr>
          <w:t>https://echa.europa.eu/regulations/prior-informed-consent/annual-reporting-on-pic-exports-and-imports</w:t>
        </w:r>
      </w:hyperlink>
      <w:r>
        <w:t xml:space="preserve"> </w:t>
      </w:r>
    </w:p>
  </w:footnote>
  <w:footnote w:id="10">
    <w:p>
      <w:pPr>
        <w:pStyle w:val="FootnoteText"/>
      </w:pPr>
      <w:r>
        <w:rPr>
          <w:rStyle w:val="FootnoteReference"/>
        </w:rPr>
        <w:footnoteRef/>
      </w:r>
      <w:r>
        <w:t xml:space="preserve"> Един ОНО не е представил каквато и да било информация относно износа, шест ОНО не са представили информация относно митническия контрол върху износа. Пет ОНО не са представили каквато и да било информация относно вноса; осем ОНО не са представили информация относно митническия контрол върху вноса. Следва да се подхожда предпазливо при сравняване на данните между различните държави членки, тъй като е възможно да има несъответствия между методите им за регистриране на параметрите за дейностите по правоприлагане. </w:t>
      </w:r>
    </w:p>
  </w:footnote>
  <w:footnote w:id="11">
    <w:p>
      <w:pPr>
        <w:pStyle w:val="FootnoteText"/>
        <w:spacing w:after="120"/>
      </w:pPr>
      <w:r>
        <w:rPr>
          <w:rStyle w:val="FootnoteReference"/>
        </w:rPr>
        <w:footnoteRef/>
      </w:r>
      <w:r>
        <w:t xml:space="preserve"> Таблицата включва само онези държави членки, при които са открити нарушения. </w:t>
      </w:r>
    </w:p>
  </w:footnote>
  <w:footnote w:id="12">
    <w:p>
      <w:pPr>
        <w:pStyle w:val="FootnoteText"/>
        <w:spacing w:after="120"/>
      </w:pPr>
      <w:r>
        <w:rPr>
          <w:rStyle w:val="FootnoteReference"/>
        </w:rPr>
        <w:footnoteRef/>
      </w:r>
      <w:r>
        <w:t xml:space="preserve"> Германия е посочила едно нарушение при една контролна проверка, но е уточнила, че не се поддържат записи за митническите проверки </w:t>
      </w:r>
    </w:p>
  </w:footnote>
  <w:footnote w:id="13">
    <w:p>
      <w:pPr>
        <w:pStyle w:val="FootnoteText"/>
        <w:spacing w:after="120"/>
      </w:pPr>
      <w:r>
        <w:rPr>
          <w:rStyle w:val="FootnoteReference"/>
        </w:rPr>
        <w:footnoteRef/>
      </w:r>
      <w:r>
        <w:t xml:space="preserve"> ECHA, Общ преглед на обмена на информация по член 20 от Регламента PIC — компилация на информацията, събрана от Европейската комисия, подпомагана от държавите членки и Европейска агенция по химикали (ЕСНА), 2016 г., достъпен на адрес: </w:t>
      </w:r>
      <w:hyperlink r:id="rId2" w:history="1">
        <w:r>
          <w:rPr>
            <w:rStyle w:val="Hyperlink"/>
          </w:rPr>
          <w:t>https://echa.europa.eu/regulations/prior-informed-consent-regulation/reporting-on-information-exchange</w:t>
        </w:r>
      </w:hyperlink>
      <w:r>
        <w:t xml:space="preserve"> </w:t>
      </w:r>
    </w:p>
  </w:footnote>
  <w:footnote w:id="14">
    <w:p>
      <w:pPr>
        <w:pStyle w:val="FootnoteText"/>
        <w:spacing w:after="120"/>
      </w:pPr>
      <w:r>
        <w:rPr>
          <w:rStyle w:val="FootnoteReference"/>
        </w:rPr>
        <w:footnoteRef/>
      </w:r>
      <w:r>
        <w:t xml:space="preserve"> Законодателство относно PIC: </w:t>
      </w:r>
      <w:hyperlink r:id="rId3" w:history="1">
        <w:r>
          <w:rPr>
            <w:rStyle w:val="Hyperlink"/>
          </w:rPr>
          <w:t>https://echa.europa.eu/regulations/prior-informed-consent/legislation</w:t>
        </w:r>
      </w:hyperlink>
      <w:r>
        <w:t xml:space="preserve"> </w:t>
      </w:r>
    </w:p>
  </w:footnote>
  <w:footnote w:id="15">
    <w:p>
      <w:pPr>
        <w:pStyle w:val="FootnoteText"/>
        <w:spacing w:after="120"/>
      </w:pPr>
      <w:r>
        <w:rPr>
          <w:rStyle w:val="FootnoteReference"/>
        </w:rPr>
        <w:footnoteRef/>
      </w:r>
      <w:r>
        <w:t xml:space="preserve"> Годишно отчитане на вноса и износа по PIC процедурата: </w:t>
      </w:r>
      <w:hyperlink r:id="rId4" w:history="1">
        <w:r>
          <w:rPr>
            <w:rStyle w:val="Hyperlink"/>
          </w:rPr>
          <w:t>https://echa.europa.eu/regulations/prior-informed-consent/annual-reporting-on-pic-exports-and-imports</w:t>
        </w:r>
      </w:hyperlink>
      <w:r>
        <w:t xml:space="preserve"> </w:t>
      </w:r>
    </w:p>
  </w:footnote>
  <w:footnote w:id="16">
    <w:p>
      <w:pPr>
        <w:pStyle w:val="FootnoteText"/>
        <w:spacing w:after="120"/>
        <w:jc w:val="left"/>
      </w:pPr>
      <w:r>
        <w:rPr>
          <w:rStyle w:val="FootnoteReference"/>
        </w:rPr>
        <w:footnoteRef/>
      </w:r>
      <w:r>
        <w:t xml:space="preserve"> Отчитане на обмена на информация: </w:t>
      </w:r>
      <w:hyperlink r:id="rId5" w:history="1">
        <w:r>
          <w:rPr>
            <w:rStyle w:val="Hyperlink"/>
          </w:rPr>
          <w:t>https://echa.europa.eu/regulations/prior-informed-consent-regulation/reporting-on-information-exchange</w:t>
        </w:r>
      </w:hyperlink>
      <w:r>
        <w:t xml:space="preserve"> </w:t>
      </w:r>
    </w:p>
  </w:footnote>
  <w:footnote w:id="17">
    <w:p>
      <w:pPr>
        <w:pStyle w:val="FootnoteText"/>
        <w:spacing w:after="120"/>
      </w:pPr>
      <w:r>
        <w:rPr>
          <w:rStyle w:val="FootnoteReference"/>
        </w:rPr>
        <w:footnoteRef/>
      </w:r>
      <w:r>
        <w:t xml:space="preserve"> Химикали, обект на PIC процедурата: </w:t>
      </w:r>
      <w:hyperlink r:id="rId6" w:history="1">
        <w:r>
          <w:rPr>
            <w:rStyle w:val="Hyperlink"/>
          </w:rPr>
          <w:t>https://echa.europa.eu/information-on-chemicals/pic/chemicals</w:t>
        </w:r>
      </w:hyperlink>
      <w:r>
        <w:t xml:space="preserve"> </w:t>
      </w:r>
    </w:p>
  </w:footnote>
  <w:footnote w:id="18">
    <w:p>
      <w:pPr>
        <w:pStyle w:val="FootnoteText"/>
        <w:spacing w:after="120"/>
      </w:pPr>
      <w:r>
        <w:rPr>
          <w:rStyle w:val="FootnoteReference"/>
        </w:rPr>
        <w:footnoteRef/>
      </w:r>
      <w:r>
        <w:t xml:space="preserve"> Уведомления за износ: </w:t>
      </w:r>
      <w:hyperlink r:id="rId7" w:history="1">
        <w:r>
          <w:rPr>
            <w:rStyle w:val="Hyperlink"/>
          </w:rPr>
          <w:t>https://echa.europa.eu/information-on-chemicals/pic/export-notifications</w:t>
        </w:r>
      </w:hyperlink>
      <w:r>
        <w:t xml:space="preserve"> </w:t>
      </w:r>
    </w:p>
  </w:footnote>
  <w:footnote w:id="19">
    <w:p>
      <w:pPr>
        <w:pStyle w:val="FootnoteText"/>
        <w:spacing w:after="120"/>
      </w:pPr>
      <w:r>
        <w:rPr>
          <w:rStyle w:val="FootnoteReference"/>
        </w:rPr>
        <w:footnoteRef/>
      </w:r>
      <w:r>
        <w:t xml:space="preserve"> Уведомления за внос: </w:t>
      </w:r>
      <w:hyperlink r:id="rId8" w:history="1">
        <w:r>
          <w:t>https://echa.europa.eu/information-on-chemicals/pic/import-notifications</w:t>
        </w:r>
      </w:hyperlink>
      <w:r>
        <w:t xml:space="preserve">  </w:t>
      </w:r>
    </w:p>
  </w:footnote>
  <w:footnote w:id="20">
    <w:p>
      <w:pPr>
        <w:pStyle w:val="FootnoteText"/>
        <w:spacing w:after="120"/>
      </w:pPr>
      <w:r>
        <w:rPr>
          <w:rStyle w:val="FootnoteReference"/>
        </w:rPr>
        <w:footnoteRef/>
      </w:r>
      <w:r>
        <w:t xml:space="preserve"> Изрично съгласие: </w:t>
      </w:r>
      <w:hyperlink r:id="rId9" w:history="1">
        <w:r>
          <w:t>https://echa.europa.eu/information-on-chemicals/pic/explicit-consents</w:t>
        </w:r>
      </w:hyperlink>
      <w:r>
        <w:t xml:space="preserve"> </w:t>
      </w:r>
    </w:p>
  </w:footnote>
  <w:footnote w:id="21">
    <w:p>
      <w:pPr>
        <w:pStyle w:val="FootnoteText"/>
        <w:spacing w:after="120"/>
      </w:pPr>
      <w:r>
        <w:rPr>
          <w:rStyle w:val="FootnoteReference"/>
        </w:rPr>
        <w:footnoteRef/>
      </w:r>
      <w:r>
        <w:t xml:space="preserve"> ОНО: </w:t>
      </w:r>
      <w:hyperlink r:id="rId10" w:history="1">
        <w:r>
          <w:rPr>
            <w:rStyle w:val="Hyperlink"/>
          </w:rPr>
          <w:t>https://echa.europa.eu/information-on-chemicals/pic/designated-national-authority</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7513"/>
      </w:tabs>
      <w:spacing w:after="0"/>
      <w:ind w:left="4153" w:hanging="4153"/>
      <w:jc w:val="center"/>
    </w:pPr>
    <w:r>
      <w:rPr>
        <w:rFonts w:ascii="Verdana" w:hAnsi="Verdana"/>
        <w:color w:val="808080" w:themeColor="background1" w:themeShade="80"/>
        <w:sz w:val="20"/>
      </w:rPr>
      <w:t xml:space="preserve">Резюме на обобщаващия доклад за действието на Регламента PIC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left" w:pos="7513"/>
      </w:tabs>
      <w:spacing w:after="0"/>
      <w:jc w:val="center"/>
      <w:rPr>
        <w:noProof/>
      </w:rPr>
    </w:pPr>
    <w:r>
      <w:rPr>
        <w:noProof/>
        <w:lang w:val="en-US"/>
      </w:rPr>
      <mc:AlternateContent>
        <mc:Choice Requires="wps">
          <w:drawing>
            <wp:anchor distT="0" distB="0" distL="114300" distR="114300" simplePos="0" relativeHeight="251658240" behindDoc="0" locked="0" layoutInCell="1" allowOverlap="1">
              <wp:simplePos x="0" y="0"/>
              <wp:positionH relativeFrom="margin">
                <wp:posOffset>5830570</wp:posOffset>
              </wp:positionH>
              <wp:positionV relativeFrom="page">
                <wp:posOffset>138430</wp:posOffset>
              </wp:positionV>
              <wp:extent cx="622300" cy="1229360"/>
              <wp:effectExtent l="1270" t="0" r="0" b="381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22936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Verdana" w:hAnsi="Verdana"/>
                              <w:color w:val="FFFFFF" w:themeColor="background1"/>
                              <w:sz w:val="16"/>
                            </w:rPr>
                          </w:pPr>
                          <w:r>
                            <w:rPr>
                              <w:rFonts w:ascii="Verdana" w:hAnsi="Verdana"/>
                              <w:color w:val="FFFFFF" w:themeColor="background1"/>
                              <w:sz w:val="16"/>
                            </w:rPr>
                            <w:t>[Каталожен номер]</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459.1pt;margin-top:10.9pt;width:49pt;height:9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" filled="f" fillcolor="black" stroked="f">
              <v:textbox style="layout-flow:vertical" inset="0,0,0,0">
                <w:txbxContent>
                  <w:p>
                    <w:pPr>
                      <w:rPr>
                        <w:rFonts w:ascii="Verdana" w:hAnsi="Verdana"/>
                        <w:color w:val="FFFFFF" w:themeColor="background1"/>
                        <w:sz w:val="16"/>
                      </w:rPr>
                    </w:pPr>
                    <w:r>
                      <w:rPr>
                        <w:rFonts w:ascii="Verdana" w:hAnsi="Verdana"/>
                        <w:color w:val="FFFFFF" w:themeColor="background1"/>
                        <w:sz w:val="16"/>
                      </w:rPr>
                      <w:t>[Каталожен номер]</w:t>
                    </w: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1A7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2">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003C2"/>
    <w:multiLevelType w:val="hybridMultilevel"/>
    <w:tmpl w:val="8EF604EE"/>
    <w:lvl w:ilvl="0" w:tplc="B9B620D2">
      <w:start w:val="1"/>
      <w:numFmt w:val="decimal"/>
      <w:lvlText w:val="%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573EC6"/>
    <w:multiLevelType w:val="hybridMultilevel"/>
    <w:tmpl w:val="9814C59E"/>
    <w:lvl w:ilvl="0" w:tplc="D5B053BE">
      <w:start w:val="1"/>
      <w:numFmt w:val="bullet"/>
      <w:lvlText w:val=""/>
      <w:lvlJc w:val="left"/>
      <w:pPr>
        <w:ind w:left="1080" w:hanging="360"/>
      </w:pPr>
      <w:rPr>
        <w:rFonts w:ascii="Symbol" w:hAnsi="Symbol" w:hint="default"/>
        <w:color w:val="0023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7829D4"/>
    <w:multiLevelType w:val="hybridMultilevel"/>
    <w:tmpl w:val="E0D62A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FF3D39"/>
    <w:multiLevelType w:val="hybridMultilevel"/>
    <w:tmpl w:val="3F5C0CC6"/>
    <w:lvl w:ilvl="0" w:tplc="0A36323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144BD4"/>
    <w:multiLevelType w:val="hybridMultilevel"/>
    <w:tmpl w:val="1D38769C"/>
    <w:lvl w:ilvl="0" w:tplc="D5B053BE">
      <w:start w:val="1"/>
      <w:numFmt w:val="bullet"/>
      <w:lvlText w:val=""/>
      <w:lvlJc w:val="left"/>
      <w:pPr>
        <w:ind w:left="720" w:hanging="360"/>
      </w:pPr>
      <w:rPr>
        <w:rFonts w:ascii="Symbol" w:hAnsi="Symbol" w:hint="default"/>
        <w:color w:val="002395"/>
      </w:rPr>
    </w:lvl>
    <w:lvl w:ilvl="1" w:tplc="E5CA32C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3D802212"/>
    <w:multiLevelType w:val="hybridMultilevel"/>
    <w:tmpl w:val="90F0B8C8"/>
    <w:lvl w:ilvl="0" w:tplc="3CE0ABEA">
      <w:start w:val="1"/>
      <w:numFmt w:val="bullet"/>
      <w:lvlText w:val=""/>
      <w:lvlJc w:val="left"/>
      <w:pPr>
        <w:ind w:left="720" w:hanging="360"/>
      </w:pPr>
      <w:rPr>
        <w:rFonts w:ascii="Symbol" w:hAnsi="Symbol" w:hint="default"/>
        <w:color w:val="auto"/>
        <w:sz w:val="28"/>
        <w:u w:color="1F497D" w:themeColor="tex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2">
    <w:nsid w:val="4FE66402"/>
    <w:multiLevelType w:val="hybridMultilevel"/>
    <w:tmpl w:val="FC001F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74663E3"/>
    <w:multiLevelType w:val="hybridMultilevel"/>
    <w:tmpl w:val="6BDC7006"/>
    <w:lvl w:ilvl="0" w:tplc="0813000F">
      <w:start w:val="1"/>
      <w:numFmt w:val="decimal"/>
      <w:lvlText w:val="%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5">
    <w:nsid w:val="5C741BEE"/>
    <w:multiLevelType w:val="hybridMultilevel"/>
    <w:tmpl w:val="59EC30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40A63F0"/>
    <w:multiLevelType w:val="hybridMultilevel"/>
    <w:tmpl w:val="FFB0B7A8"/>
    <w:lvl w:ilvl="0" w:tplc="1E88AA48">
      <w:start w:val="1"/>
      <w:numFmt w:val="decimal"/>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32">
    <w:nsid w:val="75E81AD8"/>
    <w:multiLevelType w:val="hybridMultilevel"/>
    <w:tmpl w:val="95E4CFDC"/>
    <w:lvl w:ilvl="0" w:tplc="3CE0ABEA">
      <w:start w:val="1"/>
      <w:numFmt w:val="bullet"/>
      <w:lvlText w:val=""/>
      <w:lvlJc w:val="left"/>
      <w:pPr>
        <w:ind w:left="720" w:hanging="360"/>
      </w:pPr>
      <w:rPr>
        <w:rFonts w:ascii="Symbol" w:hAnsi="Symbol" w:hint="default"/>
        <w:color w:val="auto"/>
        <w:sz w:val="28"/>
        <w:u w:color="1F497D" w:themeColor="text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7D8A6EBF"/>
    <w:multiLevelType w:val="multilevel"/>
    <w:tmpl w:val="15BE5A18"/>
    <w:lvl w:ilvl="0">
      <w:start w:val="1"/>
      <w:numFmt w:val="bullet"/>
      <w:lvlText w:val=""/>
      <w:lvlJc w:val="left"/>
      <w:pPr>
        <w:ind w:left="717" w:hanging="360"/>
      </w:pPr>
      <w:rPr>
        <w:rFonts w:ascii="Symbol" w:hAnsi="Symbol" w:hint="default"/>
        <w:color w:val="38D4D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17"/>
  </w:num>
  <w:num w:numId="5">
    <w:abstractNumId w:val="10"/>
  </w:num>
  <w:num w:numId="6">
    <w:abstractNumId w:val="16"/>
  </w:num>
  <w:num w:numId="7">
    <w:abstractNumId w:val="28"/>
  </w:num>
  <w:num w:numId="8">
    <w:abstractNumId w:val="29"/>
  </w:num>
  <w:num w:numId="9">
    <w:abstractNumId w:val="13"/>
  </w:num>
  <w:num w:numId="10">
    <w:abstractNumId w:val="27"/>
  </w:num>
  <w:num w:numId="11">
    <w:abstractNumId w:val="26"/>
  </w:num>
  <w:num w:numId="12">
    <w:abstractNumId w:val="19"/>
  </w:num>
  <w:num w:numId="13">
    <w:abstractNumId w:val="23"/>
  </w:num>
  <w:num w:numId="14">
    <w:abstractNumId w:val="9"/>
  </w:num>
  <w:num w:numId="15">
    <w:abstractNumId w:val="14"/>
  </w:num>
  <w:num w:numId="16">
    <w:abstractNumId w:val="5"/>
  </w:num>
  <w:num w:numId="17">
    <w:abstractNumId w:val="11"/>
  </w:num>
  <w:num w:numId="18">
    <w:abstractNumId w:val="30"/>
  </w:num>
  <w:num w:numId="19">
    <w:abstractNumId w:val="20"/>
  </w:num>
  <w:num w:numId="20">
    <w:abstractNumId w:val="3"/>
  </w:num>
  <w:num w:numId="21">
    <w:abstractNumId w:val="33"/>
  </w:num>
  <w:num w:numId="22">
    <w:abstractNumId w:val="0"/>
  </w:num>
  <w:num w:numId="23">
    <w:abstractNumId w:val="12"/>
  </w:num>
  <w:num w:numId="24">
    <w:abstractNumId w:val="4"/>
  </w:num>
  <w:num w:numId="25">
    <w:abstractNumId w:val="21"/>
  </w:num>
  <w:num w:numId="26">
    <w:abstractNumId w:val="24"/>
  </w:num>
  <w:num w:numId="27">
    <w:abstractNumId w:val="31"/>
  </w:num>
  <w:num w:numId="28">
    <w:abstractNumId w:val="6"/>
  </w:num>
  <w:num w:numId="29">
    <w:abstractNumId w:val="15"/>
  </w:num>
  <w:num w:numId="30">
    <w:abstractNumId w:val="1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5"/>
  </w:num>
  <w:num w:numId="34">
    <w:abstractNumId w:val="8"/>
  </w:num>
  <w:num w:numId="35">
    <w:abstractNumId w:val="32"/>
  </w:num>
  <w:num w:numId="3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193" style="mso-position-vertical-relative:margin" fillcolor="#002395" stroke="f">
      <v:fill color="#002395"/>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0854BD9-74A8-4C42-9798-411F2C2DADDC"/>
    <w:docVar w:name="LW_COVERPAGE_TYPE" w:val="1"/>
    <w:docVar w:name="LW_CROSSREFERENCE" w:val="{SWD(2018) 438 final}"/>
    <w:docVar w:name="LW_DocType" w:val="REP"/>
    <w:docVar w:name="LW_EMISSION" w:val="17.10.2018"/>
    <w:docVar w:name="LW_EMISSION_ISODATE" w:val="2018-10-17"/>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56?\u1077?\u1079?\u1102?\u1084?\u1077? \u1085?\u1072? \u1054?\u1073?\u1086?\u1073?\u1097?\u1072?\u1074?\u1072?\u1097?\u1080?\u1103? \u1076?\u1086?\u1082?\u1083?\u1072?\u1076? \u1079?\u1072? \u1080?\u1079?\u1087?\u1098?\u1083?\u1085?\u1077?\u1085?\u1080?\u1077?\u1090?\u1086? \u1085?\u1072? \u1056?\u1077?\u1075?\u1083?\u1072?\u1084?\u1077?\u1085?\u1090? (\u1045?\u1057?) \u8470? 649/2012 \u1086?\u1090?\u1085?\u1086?\u1089?\u1085?\u1086? \u1080?\u1079?\u1085?\u1086?\u1089?\u1072? \u1080? \u1074?\u1085?\u1086?\u1089?\u1072? \u1085?\u1072? \u1086?\u1087?\u1072?\u1089?\u1085?\u1080? \u1093?\u1080?\u1084?\u1080?\u1082?\u1072?\u1083?\u1080?&lt;/FMT&gt;"/>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nl-BE"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position-vertical-relative:margin" fillcolor="#002395" stroke="f">
      <v:fill color="#00239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nl-BE"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toc 1" w:uiPriority="39"/>
    <w:lsdException w:name="toc 2" w:uiPriority="39"/>
    <w:lsdException w:name="toc 3" w:uiPriority="39" w:qFormat="1"/>
    <w:lsdException w:name="footnote text" w:uiPriority="99" w:qFormat="1"/>
    <w:lsdException w:name="annotation text"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rFonts w:ascii="Verdana" w:hAnsi="Verdana"/>
      <w:b/>
      <w:smallCaps/>
      <w:sz w:val="28"/>
    </w:rPr>
  </w:style>
  <w:style w:type="paragraph" w:styleId="Heading2">
    <w:name w:val="heading 2"/>
    <w:basedOn w:val="Normal"/>
    <w:next w:val="Text2"/>
    <w:qFormat/>
    <w:pPr>
      <w:keepNext/>
      <w:numPr>
        <w:ilvl w:val="1"/>
        <w:numId w:val="3"/>
      </w:numPr>
      <w:spacing w:before="240" w:after="60"/>
      <w:outlineLvl w:val="1"/>
    </w:pPr>
    <w:rPr>
      <w:rFonts w:ascii="Verdana" w:hAnsi="Verdana"/>
      <w:b/>
      <w:sz w:val="22"/>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
    <w:basedOn w:val="Normal"/>
    <w:next w:val="Normal"/>
    <w:qFormat/>
    <w:pPr>
      <w:spacing w:before="120" w:after="120"/>
    </w:pPr>
    <w:rPr>
      <w:rFonts w:ascii="Verdana" w:hAnsi="Verdana"/>
      <w:b/>
      <w:sz w:val="16"/>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qFormat/>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M Footnotes"/>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rPr>
  </w:style>
  <w:style w:type="character" w:customStyle="1" w:styleId="DocumentTitleChar">
    <w:name w:val="Document Title Char"/>
    <w:link w:val="DocumentTitle"/>
    <w:rPr>
      <w:rFonts w:ascii="Verdana" w:hAnsi="Verdana"/>
      <w:b/>
      <w:sz w:val="52"/>
      <w:lang w:val="bg-BG" w:eastAsia="en-US"/>
    </w:rPr>
  </w:style>
  <w:style w:type="paragraph" w:customStyle="1" w:styleId="FooterDate">
    <w:name w:val="Footer Date"/>
    <w:basedOn w:val="Footer"/>
    <w:link w:val="FooterDateChar"/>
    <w:pPr>
      <w:tabs>
        <w:tab w:val="right" w:pos="9240"/>
      </w:tabs>
    </w:pPr>
    <w:rPr>
      <w:rFonts w:ascii="Verdana" w:hAnsi="Verdana"/>
    </w:rPr>
  </w:style>
  <w:style w:type="character" w:customStyle="1" w:styleId="FooterChar">
    <w:name w:val="Footer Char"/>
    <w:link w:val="Footer"/>
    <w:uiPriority w:val="99"/>
    <w:rPr>
      <w:rFonts w:ascii="Arial" w:hAnsi="Arial"/>
      <w:sz w:val="16"/>
      <w:lang w:val="bg-BG"/>
    </w:rPr>
  </w:style>
  <w:style w:type="character" w:customStyle="1" w:styleId="ApprovalfooterChar">
    <w:name w:val="Approval_footer Char"/>
    <w:basedOn w:val="FooterChar"/>
    <w:rPr>
      <w:rFonts w:ascii="Arial" w:hAnsi="Arial"/>
      <w:sz w:val="16"/>
      <w:lang w:val="bg-BG"/>
    </w:rPr>
  </w:style>
  <w:style w:type="paragraph" w:customStyle="1" w:styleId="PageNumber1">
    <w:name w:val="Page Number1"/>
    <w:basedOn w:val="Footer"/>
    <w:pPr>
      <w:tabs>
        <w:tab w:val="right" w:pos="9240"/>
      </w:tabs>
      <w:ind w:right="-622"/>
    </w:pPr>
    <w:rPr>
      <w:rFonts w:ascii="Verdana" w:hAnsi="Verdana"/>
    </w:rPr>
  </w:style>
  <w:style w:type="character" w:customStyle="1" w:styleId="FooterDateChar">
    <w:name w:val="Footer Date Char"/>
    <w:link w:val="FooterDate"/>
    <w:rPr>
      <w:rFonts w:ascii="Verdana" w:hAnsi="Verdana"/>
      <w:sz w:val="16"/>
      <w:lang w:val="bg-BG"/>
    </w:rPr>
  </w:style>
  <w:style w:type="character" w:customStyle="1" w:styleId="HeaderChar">
    <w:name w:val="Header Char"/>
    <w:link w:val="Header"/>
    <w:uiPriority w:val="99"/>
    <w:rPr>
      <w:sz w:val="24"/>
      <w:lang w:val="bg-BG"/>
    </w:rPr>
  </w:style>
  <w:style w:type="character" w:customStyle="1" w:styleId="PagenumberChar">
    <w:name w:val="Page number Char"/>
    <w:rPr>
      <w:rFonts w:ascii="Verdana" w:hAnsi="Verdana"/>
      <w:sz w:val="16"/>
      <w:lang w:val="bg-BG"/>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bg-BG" w:eastAsia="en-US"/>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bg-BG"/>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sz w:val="24"/>
      <w:lang w:val="bg-BG"/>
    </w:rPr>
  </w:style>
  <w:style w:type="character" w:customStyle="1" w:styleId="Bulletpoint1Char">
    <w:name w:val="Bullet point1 Char"/>
    <w:basedOn w:val="NormalIndentChar"/>
    <w:link w:val="Bulletpoint1"/>
    <w:rPr>
      <w:rFonts w:ascii="Verdana" w:hAnsi="Verdana"/>
      <w:sz w:val="18"/>
      <w:lang w:val="bg-BG" w:eastAsia="en-US"/>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bg-BG"/>
    </w:rPr>
  </w:style>
  <w:style w:type="paragraph" w:customStyle="1" w:styleId="Body">
    <w:name w:val="Body"/>
    <w:basedOn w:val="Normal"/>
    <w:link w:val="BodyChar"/>
    <w:qFormat/>
    <w:pPr>
      <w:spacing w:after="40"/>
      <w:jc w:val="left"/>
    </w:pPr>
    <w:rPr>
      <w:rFonts w:ascii="Verdana" w:hAnsi="Verdana"/>
      <w:sz w:val="20"/>
    </w:rPr>
  </w:style>
  <w:style w:type="character" w:customStyle="1" w:styleId="BulletPoint2Char">
    <w:name w:val="Bullet Point 2 Char"/>
    <w:link w:val="BulletPoint2"/>
    <w:rPr>
      <w:rFonts w:ascii="Verdana" w:hAnsi="Verdana"/>
      <w:sz w:val="18"/>
      <w:lang w:val="bg-BG"/>
    </w:rPr>
  </w:style>
  <w:style w:type="paragraph" w:customStyle="1" w:styleId="Heading20">
    <w:name w:val="Heading2"/>
    <w:basedOn w:val="Title2"/>
    <w:link w:val="Heading2Char"/>
    <w:qFormat/>
    <w:pPr>
      <w:numPr>
        <w:numId w:val="0"/>
      </w:numPr>
    </w:pPr>
    <w:rPr>
      <w:rFonts w:ascii="Verdana" w:hAnsi="Verdana"/>
      <w:b/>
      <w:i/>
    </w:rPr>
  </w:style>
  <w:style w:type="character" w:customStyle="1" w:styleId="BodyChar">
    <w:name w:val="Body Char"/>
    <w:link w:val="Body"/>
    <w:rPr>
      <w:rFonts w:ascii="Verdana" w:hAnsi="Verdana"/>
      <w:lang w:val="bg-BG" w:eastAsia="en-US"/>
    </w:rPr>
  </w:style>
  <w:style w:type="table" w:styleId="TableGrid">
    <w:name w:val="Table Grid"/>
    <w:aliases w:val="Document Table"/>
    <w:basedOn w:val="TableNormal"/>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bg-BG" w:eastAsia="en-US"/>
    </w:rPr>
  </w:style>
  <w:style w:type="table" w:customStyle="1" w:styleId="Style1">
    <w:name w:val="Style1"/>
    <w:basedOn w:val="TableNormal"/>
    <w:tblPr>
      <w:tblInd w:w="0" w:type="dxa"/>
      <w:tblCellMar>
        <w:top w:w="0" w:type="dxa"/>
        <w:left w:w="108" w:type="dxa"/>
        <w:bottom w:w="0" w:type="dxa"/>
        <w:right w:w="108" w:type="dxa"/>
      </w:tblCellMar>
    </w:tblPr>
  </w:style>
  <w:style w:type="table" w:styleId="TableElegant">
    <w:name w:val="Table Elegant"/>
    <w:basedOn w:val="TableNormal"/>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hAnsi="Verdana"/>
      <w:i/>
      <w:noProof/>
      <w:sz w:val="13"/>
      <w:lang w:val="bg-BG" w:eastAsia="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szCs w:val="28"/>
    </w:rPr>
  </w:style>
  <w:style w:type="paragraph" w:customStyle="1" w:styleId="Title2">
    <w:name w:val="Title 2"/>
    <w:basedOn w:val="Normal"/>
    <w:pPr>
      <w:numPr>
        <w:numId w:val="25"/>
      </w:numPr>
    </w:pPr>
  </w:style>
  <w:style w:type="paragraph" w:customStyle="1" w:styleId="Subtitle0">
    <w:name w:val="Subtitle_"/>
    <w:basedOn w:val="TOC2"/>
    <w:link w:val="SubtitleChar"/>
    <w:qFormat/>
    <w:pPr>
      <w:ind w:left="0" w:firstLine="0"/>
    </w:pPr>
    <w:rPr>
      <w:b/>
      <w:i/>
      <w:sz w:val="20"/>
    </w:rPr>
  </w:style>
  <w:style w:type="character" w:customStyle="1" w:styleId="SubtitleChar">
    <w:name w:val="Subtitle_ Char"/>
    <w:basedOn w:val="Heading2Char"/>
    <w:link w:val="Subtitle0"/>
    <w:rPr>
      <w:rFonts w:ascii="Verdana" w:hAnsi="Verdana"/>
      <w:b/>
      <w:i/>
      <w:sz w:val="24"/>
      <w:lang w:val="bg-BG" w:eastAsia="en-US"/>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basedOn w:val="DefaultParagraphFont"/>
    <w:link w:val="HeadingBody"/>
    <w:rPr>
      <w:rFonts w:ascii="Verdana" w:hAnsi="Verdana"/>
      <w:b/>
      <w:szCs w:val="18"/>
      <w:lang w:val="bg-BG" w:eastAsia="en-US"/>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basedOn w:val="DefaultParagraphFont"/>
    <w:link w:val="Titlepublication"/>
    <w:rPr>
      <w:rFonts w:ascii="Verdana" w:hAnsi="Verdana"/>
      <w:b/>
      <w:color w:val="FF0000"/>
      <w:sz w:val="52"/>
      <w:szCs w:val="52"/>
      <w:lang w:val="bg-BG" w:eastAsia="en-US"/>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basedOn w:val="DefaultParagraphFont"/>
    <w:link w:val="Subtitlepublication"/>
    <w:rPr>
      <w:rFonts w:ascii="Verdana" w:hAnsi="Verdana"/>
      <w:b/>
      <w:i/>
      <w:color w:val="FF0000"/>
      <w:sz w:val="32"/>
      <w:lang w:val="bg-BG" w:eastAsia="en-US"/>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basedOn w:val="DefaultParagraphFont"/>
    <w:link w:val="Editorname"/>
    <w:rPr>
      <w:rFonts w:ascii="Verdana" w:hAnsi="Verdana"/>
      <w:color w:val="FF0000"/>
      <w:sz w:val="24"/>
      <w:lang w:val="bg-BG" w:eastAsia="en-US"/>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basedOn w:val="DefaultParagraphFont"/>
    <w:link w:val="Backcoversummary"/>
    <w:rPr>
      <w:rFonts w:ascii="Verdana" w:hAnsi="Verdana"/>
      <w:color w:val="FF0000"/>
      <w:sz w:val="24"/>
      <w:lang w:val="bg-BG" w:eastAsia="en-US"/>
    </w:rPr>
  </w:style>
  <w:style w:type="character" w:customStyle="1" w:styleId="BackcovercategoryChar">
    <w:name w:val="Backcover_category Char"/>
    <w:basedOn w:val="DefaultParagraphFont"/>
    <w:link w:val="Backcovercategory"/>
    <w:rPr>
      <w:rFonts w:ascii="Verdana" w:hAnsi="Verdana"/>
      <w:i/>
      <w:color w:val="FF0000"/>
      <w:sz w:val="18"/>
      <w:lang w:val="bg-BG" w:eastAsia="en-US"/>
    </w:rPr>
  </w:style>
  <w:style w:type="paragraph" w:customStyle="1" w:styleId="MBT">
    <w:name w:val="M BT"/>
    <w:basedOn w:val="Normal"/>
    <w:link w:val="MBTChar"/>
    <w:qFormat/>
    <w:pPr>
      <w:widowControl w:val="0"/>
      <w:spacing w:after="0"/>
    </w:pPr>
    <w:rPr>
      <w:rFonts w:ascii="Verdana" w:hAnsi="Verdana"/>
      <w:bCs/>
      <w:sz w:val="20"/>
      <w:szCs w:val="22"/>
      <w:lang w:eastAsia="fr-FR"/>
    </w:rPr>
  </w:style>
  <w:style w:type="character" w:customStyle="1" w:styleId="MBTChar">
    <w:name w:val="M BT Char"/>
    <w:link w:val="MBT"/>
    <w:rPr>
      <w:rFonts w:ascii="Verdana" w:hAnsi="Verdana"/>
      <w:bCs/>
      <w:szCs w:val="22"/>
      <w:lang w:val="bg-BG" w:eastAsia="fr-FR"/>
    </w:rPr>
  </w:style>
  <w:style w:type="character" w:styleId="CommentReference">
    <w:name w:val="annotation reference"/>
    <w:basedOn w:val="DefaultParagraphFont"/>
    <w:unhideWhenUsed/>
    <w:rPr>
      <w:sz w:val="16"/>
      <w:szCs w:val="16"/>
    </w:rPr>
  </w:style>
  <w:style w:type="character" w:customStyle="1" w:styleId="CommentTextChar">
    <w:name w:val="Comment Text Char"/>
    <w:basedOn w:val="DefaultParagraphFont"/>
    <w:link w:val="CommentText"/>
    <w:rPr>
      <w:lang w:val="bg-BG" w:eastAsia="en-US"/>
    </w:rPr>
  </w:style>
  <w:style w:type="character" w:customStyle="1" w:styleId="FootnoteTextChar">
    <w:name w:val="Footnote Text Char"/>
    <w:aliases w:val="M Footnotes Char"/>
    <w:link w:val="FootnoteText"/>
    <w:uiPriority w:val="99"/>
    <w:rPr>
      <w:lang w:val="bg-B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bg-B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Heading1Char">
    <w:name w:val="Heading 1 Char"/>
    <w:basedOn w:val="DefaultParagraphFont"/>
    <w:link w:val="Heading1"/>
    <w:uiPriority w:val="9"/>
    <w:rPr>
      <w:rFonts w:ascii="Verdana" w:hAnsi="Verdana"/>
      <w:b/>
      <w:smallCaps/>
      <w:sz w:val="28"/>
      <w:lang w:val="bg-BG" w:eastAsia="en-US"/>
    </w:rPr>
  </w:style>
  <w:style w:type="character" w:customStyle="1" w:styleId="UnresolvedMention1">
    <w:name w:val="Unresolved Mention1"/>
    <w:basedOn w:val="DefaultParagraphFont"/>
    <w:uiPriority w:val="99"/>
    <w:semiHidden/>
    <w:unhideWhenUse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nl-BE"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toc 1" w:uiPriority="39"/>
    <w:lsdException w:name="toc 2" w:uiPriority="39"/>
    <w:lsdException w:name="toc 3" w:uiPriority="39" w:qFormat="1"/>
    <w:lsdException w:name="footnote text" w:uiPriority="99" w:qFormat="1"/>
    <w:lsdException w:name="annotation text"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rFonts w:ascii="Verdana" w:hAnsi="Verdana"/>
      <w:b/>
      <w:smallCaps/>
      <w:sz w:val="28"/>
    </w:rPr>
  </w:style>
  <w:style w:type="paragraph" w:styleId="Heading2">
    <w:name w:val="heading 2"/>
    <w:basedOn w:val="Normal"/>
    <w:next w:val="Text2"/>
    <w:qFormat/>
    <w:pPr>
      <w:keepNext/>
      <w:numPr>
        <w:ilvl w:val="1"/>
        <w:numId w:val="3"/>
      </w:numPr>
      <w:spacing w:before="240" w:after="60"/>
      <w:outlineLvl w:val="1"/>
    </w:pPr>
    <w:rPr>
      <w:rFonts w:ascii="Verdana" w:hAnsi="Verdana"/>
      <w:b/>
      <w:sz w:val="22"/>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aliases w:val="M Caption"/>
    <w:basedOn w:val="Normal"/>
    <w:next w:val="Normal"/>
    <w:qFormat/>
    <w:pPr>
      <w:spacing w:before="120" w:after="120"/>
    </w:pPr>
    <w:rPr>
      <w:rFonts w:ascii="Verdana" w:hAnsi="Verdana"/>
      <w:b/>
      <w:sz w:val="16"/>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qFormat/>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M Footnotes"/>
    <w:basedOn w:val="Normal"/>
    <w:link w:val="FootnoteTextChar"/>
    <w:uiPriority w:val="99"/>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Pr>
      <w:color w:val="0000FF"/>
      <w:u w:val="single"/>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 BVI fnr"/>
    <w:rPr>
      <w:vertAlign w:val="superscript"/>
    </w:rPr>
  </w:style>
  <w:style w:type="table" w:styleId="ColorfulGrid-Accent3">
    <w:name w:val="Colorful Grid Accent 3"/>
    <w:basedOn w:val="TableNormal"/>
    <w:uiPriority w:val="69"/>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semiHidden/>
    <w:rPr>
      <w:rFonts w:ascii="Tahoma" w:hAnsi="Tahoma" w:cs="Tahoma"/>
      <w:sz w:val="16"/>
      <w:szCs w:val="16"/>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rPr>
  </w:style>
  <w:style w:type="character" w:customStyle="1" w:styleId="DocumentTitleChar">
    <w:name w:val="Document Title Char"/>
    <w:link w:val="DocumentTitle"/>
    <w:rPr>
      <w:rFonts w:ascii="Verdana" w:hAnsi="Verdana"/>
      <w:b/>
      <w:sz w:val="52"/>
      <w:lang w:val="bg-BG" w:eastAsia="en-US"/>
    </w:rPr>
  </w:style>
  <w:style w:type="paragraph" w:customStyle="1" w:styleId="FooterDate">
    <w:name w:val="Footer Date"/>
    <w:basedOn w:val="Footer"/>
    <w:link w:val="FooterDateChar"/>
    <w:pPr>
      <w:tabs>
        <w:tab w:val="right" w:pos="9240"/>
      </w:tabs>
    </w:pPr>
    <w:rPr>
      <w:rFonts w:ascii="Verdana" w:hAnsi="Verdana"/>
    </w:rPr>
  </w:style>
  <w:style w:type="character" w:customStyle="1" w:styleId="FooterChar">
    <w:name w:val="Footer Char"/>
    <w:link w:val="Footer"/>
    <w:uiPriority w:val="99"/>
    <w:rPr>
      <w:rFonts w:ascii="Arial" w:hAnsi="Arial"/>
      <w:sz w:val="16"/>
      <w:lang w:val="bg-BG"/>
    </w:rPr>
  </w:style>
  <w:style w:type="character" w:customStyle="1" w:styleId="ApprovalfooterChar">
    <w:name w:val="Approval_footer Char"/>
    <w:basedOn w:val="FooterChar"/>
    <w:rPr>
      <w:rFonts w:ascii="Arial" w:hAnsi="Arial"/>
      <w:sz w:val="16"/>
      <w:lang w:val="bg-BG"/>
    </w:rPr>
  </w:style>
  <w:style w:type="paragraph" w:customStyle="1" w:styleId="PageNumber1">
    <w:name w:val="Page Number1"/>
    <w:basedOn w:val="Footer"/>
    <w:pPr>
      <w:tabs>
        <w:tab w:val="right" w:pos="9240"/>
      </w:tabs>
      <w:ind w:right="-622"/>
    </w:pPr>
    <w:rPr>
      <w:rFonts w:ascii="Verdana" w:hAnsi="Verdana"/>
    </w:rPr>
  </w:style>
  <w:style w:type="character" w:customStyle="1" w:styleId="FooterDateChar">
    <w:name w:val="Footer Date Char"/>
    <w:link w:val="FooterDate"/>
    <w:rPr>
      <w:rFonts w:ascii="Verdana" w:hAnsi="Verdana"/>
      <w:sz w:val="16"/>
      <w:lang w:val="bg-BG"/>
    </w:rPr>
  </w:style>
  <w:style w:type="character" w:customStyle="1" w:styleId="HeaderChar">
    <w:name w:val="Header Char"/>
    <w:link w:val="Header"/>
    <w:uiPriority w:val="99"/>
    <w:rPr>
      <w:sz w:val="24"/>
      <w:lang w:val="bg-BG"/>
    </w:rPr>
  </w:style>
  <w:style w:type="character" w:customStyle="1" w:styleId="PagenumberChar">
    <w:name w:val="Page number Char"/>
    <w:rPr>
      <w:rFonts w:ascii="Verdana" w:hAnsi="Verdana"/>
      <w:sz w:val="16"/>
      <w:lang w:val="bg-BG"/>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hAnsi="Verdana"/>
      <w:sz w:val="32"/>
      <w:szCs w:val="36"/>
      <w:lang w:val="bg-BG" w:eastAsia="en-US"/>
    </w:rPr>
  </w:style>
  <w:style w:type="paragraph" w:customStyle="1" w:styleId="Bulletpoint1">
    <w:name w:val="Bullet point1"/>
    <w:basedOn w:val="NormalIndent"/>
    <w:link w:val="Bulletpoint1Char"/>
    <w:qFormat/>
    <w:pPr>
      <w:numPr>
        <w:numId w:val="20"/>
      </w:numPr>
      <w:spacing w:after="120"/>
      <w:jc w:val="left"/>
    </w:pPr>
    <w:rPr>
      <w:rFonts w:ascii="Verdana" w:hAnsi="Verdana"/>
      <w:sz w:val="18"/>
    </w:rPr>
  </w:style>
  <w:style w:type="character" w:customStyle="1" w:styleId="HeaderTitleChar">
    <w:name w:val="Header Title Char"/>
    <w:link w:val="HeaderTitle"/>
    <w:rPr>
      <w:rFonts w:ascii="Verdana" w:hAnsi="Verdana"/>
      <w:b/>
      <w:color w:val="808080"/>
      <w:sz w:val="18"/>
      <w:szCs w:val="18"/>
      <w:lang w:val="bg-BG"/>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sz w:val="24"/>
      <w:lang w:val="bg-BG"/>
    </w:rPr>
  </w:style>
  <w:style w:type="character" w:customStyle="1" w:styleId="Bulletpoint1Char">
    <w:name w:val="Bullet point1 Char"/>
    <w:basedOn w:val="NormalIndentChar"/>
    <w:link w:val="Bulletpoint1"/>
    <w:rPr>
      <w:rFonts w:ascii="Verdana" w:hAnsi="Verdana"/>
      <w:sz w:val="18"/>
      <w:lang w:val="bg-BG" w:eastAsia="en-US"/>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hAnsi="Verdana"/>
      <w:b/>
      <w:caps/>
      <w:u w:val="single"/>
      <w:lang w:val="bg-BG"/>
    </w:rPr>
  </w:style>
  <w:style w:type="paragraph" w:customStyle="1" w:styleId="Body">
    <w:name w:val="Body"/>
    <w:basedOn w:val="Normal"/>
    <w:link w:val="BodyChar"/>
    <w:qFormat/>
    <w:pPr>
      <w:spacing w:after="40"/>
      <w:jc w:val="left"/>
    </w:pPr>
    <w:rPr>
      <w:rFonts w:ascii="Verdana" w:hAnsi="Verdana"/>
      <w:sz w:val="20"/>
    </w:rPr>
  </w:style>
  <w:style w:type="character" w:customStyle="1" w:styleId="BulletPoint2Char">
    <w:name w:val="Bullet Point 2 Char"/>
    <w:link w:val="BulletPoint2"/>
    <w:rPr>
      <w:rFonts w:ascii="Verdana" w:hAnsi="Verdana"/>
      <w:sz w:val="18"/>
      <w:lang w:val="bg-BG"/>
    </w:rPr>
  </w:style>
  <w:style w:type="paragraph" w:customStyle="1" w:styleId="Heading20">
    <w:name w:val="Heading2"/>
    <w:basedOn w:val="Title2"/>
    <w:link w:val="Heading2Char"/>
    <w:qFormat/>
    <w:pPr>
      <w:numPr>
        <w:numId w:val="0"/>
      </w:numPr>
    </w:pPr>
    <w:rPr>
      <w:rFonts w:ascii="Verdana" w:hAnsi="Verdana"/>
      <w:b/>
      <w:i/>
    </w:rPr>
  </w:style>
  <w:style w:type="character" w:customStyle="1" w:styleId="BodyChar">
    <w:name w:val="Body Char"/>
    <w:link w:val="Body"/>
    <w:rPr>
      <w:rFonts w:ascii="Verdana" w:hAnsi="Verdana"/>
      <w:lang w:val="bg-BG" w:eastAsia="en-US"/>
    </w:rPr>
  </w:style>
  <w:style w:type="table" w:styleId="TableGrid">
    <w:name w:val="Table Grid"/>
    <w:aliases w:val="Document Table"/>
    <w:basedOn w:val="TableNormal"/>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AEF0"/>
      </w:tcPr>
    </w:tblStylePr>
  </w:style>
  <w:style w:type="character" w:customStyle="1" w:styleId="Heading2Char">
    <w:name w:val="Heading2 Char"/>
    <w:link w:val="Heading20"/>
    <w:rPr>
      <w:rFonts w:ascii="Verdana" w:hAnsi="Verdana"/>
      <w:b/>
      <w:i/>
      <w:sz w:val="24"/>
      <w:lang w:val="bg-BG" w:eastAsia="en-US"/>
    </w:rPr>
  </w:style>
  <w:style w:type="table" w:customStyle="1" w:styleId="Style1">
    <w:name w:val="Style1"/>
    <w:basedOn w:val="TableNormal"/>
    <w:tblPr>
      <w:tblInd w:w="0" w:type="dxa"/>
      <w:tblCellMar>
        <w:top w:w="0" w:type="dxa"/>
        <w:left w:w="108" w:type="dxa"/>
        <w:bottom w:w="0" w:type="dxa"/>
        <w:right w:w="108" w:type="dxa"/>
      </w:tblCellMar>
    </w:tblPr>
  </w:style>
  <w:style w:type="table" w:styleId="TableElegant">
    <w:name w:val="Table Elegant"/>
    <w:basedOn w:val="TableNormal"/>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hAnsi="Verdana"/>
      <w:i/>
      <w:noProof/>
      <w:sz w:val="13"/>
      <w:lang w:val="bg-BG" w:eastAsia="en-US"/>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szCs w:val="28"/>
    </w:rPr>
  </w:style>
  <w:style w:type="paragraph" w:customStyle="1" w:styleId="Title2">
    <w:name w:val="Title 2"/>
    <w:basedOn w:val="Normal"/>
    <w:pPr>
      <w:numPr>
        <w:numId w:val="25"/>
      </w:numPr>
    </w:pPr>
  </w:style>
  <w:style w:type="paragraph" w:customStyle="1" w:styleId="Subtitle0">
    <w:name w:val="Subtitle_"/>
    <w:basedOn w:val="TOC2"/>
    <w:link w:val="SubtitleChar"/>
    <w:qFormat/>
    <w:pPr>
      <w:ind w:left="0" w:firstLine="0"/>
    </w:pPr>
    <w:rPr>
      <w:b/>
      <w:i/>
      <w:sz w:val="20"/>
    </w:rPr>
  </w:style>
  <w:style w:type="character" w:customStyle="1" w:styleId="SubtitleChar">
    <w:name w:val="Subtitle_ Char"/>
    <w:basedOn w:val="Heading2Char"/>
    <w:link w:val="Subtitle0"/>
    <w:rPr>
      <w:rFonts w:ascii="Verdana" w:hAnsi="Verdana"/>
      <w:b/>
      <w:i/>
      <w:sz w:val="24"/>
      <w:lang w:val="bg-BG" w:eastAsia="en-US"/>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basedOn w:val="DefaultParagraphFont"/>
    <w:link w:val="HeadingBody"/>
    <w:rPr>
      <w:rFonts w:ascii="Verdana" w:hAnsi="Verdana"/>
      <w:b/>
      <w:szCs w:val="18"/>
      <w:lang w:val="bg-BG" w:eastAsia="en-US"/>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basedOn w:val="DefaultParagraphFont"/>
    <w:link w:val="Titlepublication"/>
    <w:rPr>
      <w:rFonts w:ascii="Verdana" w:hAnsi="Verdana"/>
      <w:b/>
      <w:color w:val="FF0000"/>
      <w:sz w:val="52"/>
      <w:szCs w:val="52"/>
      <w:lang w:val="bg-BG" w:eastAsia="en-US"/>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basedOn w:val="DefaultParagraphFont"/>
    <w:link w:val="Subtitlepublication"/>
    <w:rPr>
      <w:rFonts w:ascii="Verdana" w:hAnsi="Verdana"/>
      <w:b/>
      <w:i/>
      <w:color w:val="FF0000"/>
      <w:sz w:val="32"/>
      <w:lang w:val="bg-BG" w:eastAsia="en-US"/>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basedOn w:val="DefaultParagraphFont"/>
    <w:link w:val="Editorname"/>
    <w:rPr>
      <w:rFonts w:ascii="Verdana" w:hAnsi="Verdana"/>
      <w:color w:val="FF0000"/>
      <w:sz w:val="24"/>
      <w:lang w:val="bg-BG" w:eastAsia="en-US"/>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basedOn w:val="DefaultParagraphFont"/>
    <w:link w:val="Backcoversummary"/>
    <w:rPr>
      <w:rFonts w:ascii="Verdana" w:hAnsi="Verdana"/>
      <w:color w:val="FF0000"/>
      <w:sz w:val="24"/>
      <w:lang w:val="bg-BG" w:eastAsia="en-US"/>
    </w:rPr>
  </w:style>
  <w:style w:type="character" w:customStyle="1" w:styleId="BackcovercategoryChar">
    <w:name w:val="Backcover_category Char"/>
    <w:basedOn w:val="DefaultParagraphFont"/>
    <w:link w:val="Backcovercategory"/>
    <w:rPr>
      <w:rFonts w:ascii="Verdana" w:hAnsi="Verdana"/>
      <w:i/>
      <w:color w:val="FF0000"/>
      <w:sz w:val="18"/>
      <w:lang w:val="bg-BG" w:eastAsia="en-US"/>
    </w:rPr>
  </w:style>
  <w:style w:type="paragraph" w:customStyle="1" w:styleId="MBT">
    <w:name w:val="M BT"/>
    <w:basedOn w:val="Normal"/>
    <w:link w:val="MBTChar"/>
    <w:qFormat/>
    <w:pPr>
      <w:widowControl w:val="0"/>
      <w:spacing w:after="0"/>
    </w:pPr>
    <w:rPr>
      <w:rFonts w:ascii="Verdana" w:hAnsi="Verdana"/>
      <w:bCs/>
      <w:sz w:val="20"/>
      <w:szCs w:val="22"/>
      <w:lang w:eastAsia="fr-FR"/>
    </w:rPr>
  </w:style>
  <w:style w:type="character" w:customStyle="1" w:styleId="MBTChar">
    <w:name w:val="M BT Char"/>
    <w:link w:val="MBT"/>
    <w:rPr>
      <w:rFonts w:ascii="Verdana" w:hAnsi="Verdana"/>
      <w:bCs/>
      <w:szCs w:val="22"/>
      <w:lang w:val="bg-BG" w:eastAsia="fr-FR"/>
    </w:rPr>
  </w:style>
  <w:style w:type="character" w:styleId="CommentReference">
    <w:name w:val="annotation reference"/>
    <w:basedOn w:val="DefaultParagraphFont"/>
    <w:unhideWhenUsed/>
    <w:rPr>
      <w:sz w:val="16"/>
      <w:szCs w:val="16"/>
    </w:rPr>
  </w:style>
  <w:style w:type="character" w:customStyle="1" w:styleId="CommentTextChar">
    <w:name w:val="Comment Text Char"/>
    <w:basedOn w:val="DefaultParagraphFont"/>
    <w:link w:val="CommentText"/>
    <w:rPr>
      <w:lang w:val="bg-BG" w:eastAsia="en-US"/>
    </w:rPr>
  </w:style>
  <w:style w:type="character" w:customStyle="1" w:styleId="FootnoteTextChar">
    <w:name w:val="Footnote Text Char"/>
    <w:aliases w:val="M Footnotes Char"/>
    <w:link w:val="FootnoteText"/>
    <w:uiPriority w:val="99"/>
    <w:rPr>
      <w:lang w:val="bg-B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bg-B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Heading1Char">
    <w:name w:val="Heading 1 Char"/>
    <w:basedOn w:val="DefaultParagraphFont"/>
    <w:link w:val="Heading1"/>
    <w:uiPriority w:val="9"/>
    <w:rPr>
      <w:rFonts w:ascii="Verdana" w:hAnsi="Verdana"/>
      <w:b/>
      <w:smallCaps/>
      <w:sz w:val="28"/>
      <w:lang w:val="bg-BG" w:eastAsia="en-US"/>
    </w:rPr>
  </w:style>
  <w:style w:type="character" w:customStyle="1" w:styleId="UnresolvedMention1">
    <w:name w:val="Unresolved Mention1"/>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6.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emf"/><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ha.europa.eu/information-on-chemicals/pic/import-notifications" TargetMode="External"/><Relationship Id="rId3" Type="http://schemas.openxmlformats.org/officeDocument/2006/relationships/hyperlink" Target="https://echa.europa.eu/regulations/prior-informed-consent/legislation" TargetMode="External"/><Relationship Id="rId7" Type="http://schemas.openxmlformats.org/officeDocument/2006/relationships/hyperlink" Target="https://echa.europa.eu/information-on-chemicals/pic/export-notifications" TargetMode="External"/><Relationship Id="rId2" Type="http://schemas.openxmlformats.org/officeDocument/2006/relationships/hyperlink" Target="https://echa.europa.eu/regulations/prior-informed-consent-regulation/reporting-on-information-exchange" TargetMode="External"/><Relationship Id="rId1" Type="http://schemas.openxmlformats.org/officeDocument/2006/relationships/hyperlink" Target="https://echa.europa.eu/regulations/prior-informed-consent/annual-reporting-on-pic-exports-and-imports" TargetMode="External"/><Relationship Id="rId6" Type="http://schemas.openxmlformats.org/officeDocument/2006/relationships/hyperlink" Target="https://echa.europa.eu/information-on-chemicals/pic/chemicals" TargetMode="External"/><Relationship Id="rId5" Type="http://schemas.openxmlformats.org/officeDocument/2006/relationships/hyperlink" Target="https://echa.europa.eu/regulations/prior-informed-consent-regulation/reporting-on-information-exchange" TargetMode="External"/><Relationship Id="rId10" Type="http://schemas.openxmlformats.org/officeDocument/2006/relationships/hyperlink" Target="https://echa.europa.eu/information-on-chemicals/pic/designated-national-authority" TargetMode="External"/><Relationship Id="rId4" Type="http://schemas.openxmlformats.org/officeDocument/2006/relationships/hyperlink" Target="https://echa.europa.eu/regulations/prior-informed-consent/annual-reporting-on-pic-exports-and-imports" TargetMode="External"/><Relationship Id="rId9" Type="http://schemas.openxmlformats.org/officeDocument/2006/relationships/hyperlink" Target="https://echa.europa.eu/information-on-chemicals/pic/explicit-cons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c02e182b-7e46-4567-89e5-b76ccbd06361">Procedure/management</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b4c93267-540f-4de6-9f4a-a59fd191d65b</Id>
  <Names>
    <Latin>
      <FirstName>Yannik</FirstName>
      <LastName>HOUGARDY</LastName>
    </Latin>
    <Greek>
      <FirstName/>
      <LastName/>
    </Greek>
    <Cyrillic>
      <FirstName/>
      <LastName/>
    </Cyrillic>
    <DocumentScript>
      <FirstName>Yannik</FirstName>
      <LastName>HOUGARDY</LastName>
      <FullName>Yannik HOUGARDY</FullName>
    </DocumentScript>
  </Names>
  <Initials>YH</Initials>
  <Gender>f</Gender>
  <Email>Yannik.HOUGARDY@ec.europa.eu</Email>
  <Service>ENV.B.2</Service>
  <Function/>
  <WebAddress/>
  <InheritedWebAddress>WebAddress</InheritedWebAddress>
  <OrgaEntity1>
    <Id>97cead3c-fd4c-47cd-8c1d-f49ace8dda92</Id>
    <LogicalLevel>1</LogicalLevel>
    <Name>ENV</Name>
    <HeadLine1>DIRECTION GÉNÉRALE</HeadLine1>
    <HeadLine2>ENVIRONNEMENT</HeadLine2>
    <PrimaryAddressId>f03b5801-04c9-4931-aa17-c6d6c70bc579</PrimaryAddressId>
    <SecondaryAddressId/>
    <WebAddress>WebAddress</WebAddress>
    <InheritedWebAddress>WebAddress</InheritedWebAddress>
    <ShowInHeader>true</ShowInHeader>
  </OrgaEntity1>
  <OrgaEntity2>
    <Id>c9fdbc18-fa45-4aa8-9a9d-eed24721c8e0</Id>
    <LogicalLevel>2</LogicalLevel>
    <Name>ENV.B</Name>
    <HeadLine1>Direction B - Economie circulaire et croissance verte</HeadLine1>
    <HeadLine2/>
    <PrimaryAddressId>f03b5801-04c9-4931-aa17-c6d6c70bc579</PrimaryAddressId>
    <SecondaryAddressId/>
    <WebAddress/>
    <InheritedWebAddress>WebAddress</InheritedWebAddress>
    <ShowInHeader>true</ShowInHeader>
  </OrgaEntity2>
  <OrgaEntity3>
    <Id>2f4e5325-faad-495f-9221-f9f697dff24e</Id>
    <LogicalLevel>3</LogicalLevel>
    <Name>ENV.B.2</Name>
    <HeadLine1>ENV.B.2 - Produits chimiques durables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+32 229 86914</Phone>
    <Office>BU-9 05/150</Office>
  </MainWorkplace>
  <Workplaces>
    <Workplace IsMain="false">
      <AddressId>1264fb81-f6bb-475e-9f9d-a937d3be6ee2</AddressId>
      <Fax/>
      <Phone/>
      <Office/>
    </Workplace>
    <Workplace IsMain="true">
      <AddressId>f03b5801-04c9-4931-aa17-c6d6c70bc579</AddressId>
      <Fax/>
      <Phone>+32 229 86914</Phone>
      <Office>BU-9 05/150</Office>
    </Workplace>
  </Workplaces>
</Author>
</file>

<file path=customXml/item5.xml><?xml version="1.0" encoding="utf-8"?>
<EurolookProperties>
  <Created>
    <Version>4.1</Version>
    <Date>2018-09-12T11:39:08</Date>
    <Language>FR</Language>
  </Created>
  <Edited>
    <Version>10.0.37441.0</Version>
    <Date>2018-09-13T12:25:08</Date>
  </Edited>
  <DocumentModel>
    <Id>6cbda13a-4db2-46c6-876a-ef72275827ef</Id>
    <Name>Report</Name>
  </DocumentModel>
  <DocumentDate/>
  <DocumentVersion/>
  <CompatibilityMode>Eurolook4x</CompatibilityMode>
  <Address/>
</Eurolook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9629B-9B3F-41A9-B4F9-DEB7EDCBC451}">
  <ds:schemaRefs>
    <ds:schemaRef ds:uri="http://www.w3.org/XML/1998/namespace"/>
    <ds:schemaRef ds:uri="http://schemas.openxmlformats.org/package/2006/metadata/core-properties"/>
    <ds:schemaRef ds:uri="c02e182b-7e46-4567-89e5-b76ccbd06361"/>
    <ds:schemaRef ds:uri="http://purl.org/dc/terms/"/>
    <ds:schemaRef ds:uri="http://schemas.microsoft.com/office/2006/metadata/properties"/>
    <ds:schemaRef ds:uri="http://purl.org/dc/elements/1.1/"/>
    <ds:schemaRef ds:uri="http://schemas.microsoft.com/office/2006/documentManagement/types"/>
    <ds:schemaRef ds:uri="http://schemas.microsoft.com/sharepoint/v3"/>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535CDC4-13F9-4318-8328-1A8BB0A81085}">
  <ds:schemaRefs>
    <ds:schemaRef ds:uri="http://schemas.microsoft.com/sharepoint/v3/contenttype/forms"/>
  </ds:schemaRefs>
</ds:datastoreItem>
</file>

<file path=customXml/itemProps3.xml><?xml version="1.0" encoding="utf-8"?>
<ds:datastoreItem xmlns:ds="http://schemas.openxmlformats.org/officeDocument/2006/customXml" ds:itemID="{6A331246-D9EA-42DE-AF91-EA0E6038F9A4}">
  <ds:schemaRefs/>
</ds:datastoreItem>
</file>

<file path=customXml/itemProps4.xml><?xml version="1.0" encoding="utf-8"?>
<ds:datastoreItem xmlns:ds="http://schemas.openxmlformats.org/officeDocument/2006/customXml" ds:itemID="{8239EAED-3CD4-43AA-8C76-F90091180D86}">
  <ds:schemaRefs/>
</ds:datastoreItem>
</file>

<file path=customXml/itemProps5.xml><?xml version="1.0" encoding="utf-8"?>
<ds:datastoreItem xmlns:ds="http://schemas.openxmlformats.org/officeDocument/2006/customXml" ds:itemID="{14EA4CE8-341D-4831-B071-F04A6A4457B5}">
  <ds:schemaRefs/>
</ds:datastoreItem>
</file>

<file path=customXml/itemProps6.xml><?xml version="1.0" encoding="utf-8"?>
<ds:datastoreItem xmlns:ds="http://schemas.openxmlformats.org/officeDocument/2006/customXml" ds:itemID="{1EAA10B2-8F97-4246-916A-0F08FDFB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0CDD28A-9DA4-40A5-8BA9-AF413496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6445</Words>
  <Characters>36737</Characters>
  <Application>Microsoft Office Word</Application>
  <DocSecurity>0</DocSecurity>
  <PresentationFormat>Microsoft Word 11.0</PresentationFormat>
  <Lines>1185</Lines>
  <Paragraphs>423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42759</CharactersWithSpaces>
  <SharedDoc>false</SharedDoc>
  <HyperlinkBase/>
  <HLinks>
    <vt:vector size="12" baseType="variant">
      <vt:variant>
        <vt:i4>3604494</vt:i4>
      </vt:variant>
      <vt:variant>
        <vt:i4>2387</vt:i4>
      </vt:variant>
      <vt:variant>
        <vt:i4>1025</vt:i4>
      </vt:variant>
      <vt:variant>
        <vt:i4>1</vt:i4>
      </vt:variant>
      <vt:variant>
        <vt:lpwstr>LOGO-CE for RTD EN Positive</vt:lpwstr>
      </vt:variant>
      <vt:variant>
        <vt:lpwstr/>
      </vt:variant>
      <vt:variant>
        <vt:i4>57</vt:i4>
      </vt:variant>
      <vt:variant>
        <vt:i4>-1</vt:i4>
      </vt:variant>
      <vt:variant>
        <vt:i4>2113</vt:i4>
      </vt:variant>
      <vt:variant>
        <vt:i4>1</vt:i4>
      </vt:variant>
      <vt:variant>
        <vt:lpwstr>Footer Box RTD 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2012-07-25T11:39:00Z</cp:lastPrinted>
  <dcterms:created xsi:type="dcterms:W3CDTF">2018-09-21T15:52:00Z</dcterms:created>
  <dcterms:modified xsi:type="dcterms:W3CDTF">2018-10-08T12:32:00Z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LW 6.0.1, Build 20180503</vt:lpwstr>
  </property>
  <property fmtid="{D5CDD505-2E9C-101B-9397-08002B2CF9AE}" pid="6" name="Formatting">
    <vt:lpwstr>4.1</vt:lpwstr>
  </property>
  <property fmtid="{D5CDD505-2E9C-101B-9397-08002B2CF9AE}" pid="7" name="Last edited using">
    <vt:lpwstr>LW 6.0.1, Build 20180503</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ContentTypeId">
    <vt:lpwstr>0x0101007DEA25F43B16034A890773D71A710A1D</vt:lpwstr>
  </property>
  <property fmtid="{D5CDD505-2E9C-101B-9397-08002B2CF9AE}" pid="14" name="Level of sensitivity">
    <vt:lpwstr>Standard treatment</vt:lpwstr>
  </property>
  <property fmtid="{D5CDD505-2E9C-101B-9397-08002B2CF9AE}" pid="15" name="Part">
    <vt:lpwstr>1</vt:lpwstr>
  </property>
  <property fmtid="{D5CDD505-2E9C-101B-9397-08002B2CF9AE}" pid="16" name="Total parts">
    <vt:lpwstr>1</vt:lpwstr>
  </property>
  <property fmtid="{D5CDD505-2E9C-101B-9397-08002B2CF9AE}" pid="17" name="DocStatus">
    <vt:lpwstr>Green</vt:lpwstr>
  </property>
</Properties>
</file>