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2BB32C0-6F1B-43B7-BC7B-632F1290AE5B" style="width:450.5pt;height:348pt">
            <v:imagedata r:id="rId9" o:title=""/>
          </v:shape>
        </w:pict>
      </w:r>
    </w:p>
    <w:bookmarkEnd w:id="0"/>
    <w:p>
      <w:pPr>
        <w:rPr>
          <w:rFonts w:ascii="Times New Roman" w:hAnsi="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120" w:line="276" w:lineRule="auto"/>
        <w:jc w:val="both"/>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 xml:space="preserve">1. </w:t>
      </w:r>
      <w:r>
        <w:rPr>
          <w:noProof/>
        </w:rPr>
        <w:tab/>
      </w:r>
      <w:r>
        <w:rPr>
          <w:rFonts w:ascii="Times New Roman" w:hAnsi="Times New Roman"/>
          <w:b/>
          <w:noProof/>
          <w:sz w:val="24"/>
        </w:rPr>
        <w:t xml:space="preserve">Въведение </w:t>
      </w:r>
    </w:p>
    <w:p>
      <w:pPr>
        <w:pStyle w:val="Default"/>
        <w:jc w:val="both"/>
        <w:rPr>
          <w:noProof/>
        </w:rPr>
      </w:pPr>
    </w:p>
    <w:p>
      <w:pPr>
        <w:spacing w:line="276" w:lineRule="auto"/>
        <w:jc w:val="both"/>
        <w:rPr>
          <w:rFonts w:ascii="Times New Roman" w:hAnsi="Times New Roman" w:cs="Times New Roman"/>
          <w:noProof/>
          <w:sz w:val="24"/>
          <w:szCs w:val="24"/>
        </w:rPr>
      </w:pPr>
      <w:r>
        <w:rPr>
          <w:rFonts w:ascii="Times New Roman" w:hAnsi="Times New Roman"/>
          <w:noProof/>
          <w:sz w:val="24"/>
        </w:rPr>
        <w:t>Живеем в свят на ограничени ресурси. Глобалните предизвикателства, като изменението на климата, деградацията на земите и екосистемите, наред с увеличаващото се население, ни принуждават да търсим нови начини на производство и потребление, които са съобразени с екологичните граници на нашата планета. В същото време необходимостта от постигане на устойчивост представлява силен стимул да модернизираме нашите промишлености и да укрепим позицията на Европа в силно конкурентната световна икономика, което ще гарантира просперитета на гражданите ѝ. За да се справим с тези предизвикателства, ние трябва да въведем подобрения и иновации по отношение на начина на производство и потребление на храни, продукти и материали в рамките на здрави екосистеми, чрез устойчива биоикономика.</w:t>
      </w:r>
    </w:p>
    <w:p>
      <w:pPr>
        <w:spacing w:line="276" w:lineRule="auto"/>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jc w:val="center"/>
        <w:rPr>
          <w:rFonts w:ascii="Times New Roman" w:hAnsi="Times New Roman" w:cs="Times New Roman"/>
          <w:noProof/>
          <w:sz w:val="24"/>
          <w:szCs w:val="24"/>
          <w:u w:val="single"/>
        </w:rPr>
      </w:pPr>
      <w:r>
        <w:rPr>
          <w:rFonts w:ascii="Times New Roman" w:hAnsi="Times New Roman"/>
          <w:noProof/>
          <w:sz w:val="24"/>
          <w:u w:val="single"/>
        </w:rPr>
        <w:t>Устойчива и кръгова: Биоикономика по европейския начин</w:t>
      </w:r>
    </w:p>
    <w:p>
      <w:pPr>
        <w:pStyle w:val="Default"/>
        <w:pBdr>
          <w:top w:val="single" w:sz="4" w:space="1" w:color="auto"/>
          <w:left w:val="single" w:sz="4" w:space="4" w:color="auto"/>
          <w:bottom w:val="single" w:sz="4" w:space="1" w:color="auto"/>
          <w:right w:val="single" w:sz="4" w:space="4" w:color="auto"/>
        </w:pBdr>
        <w:spacing w:line="276" w:lineRule="auto"/>
        <w:jc w:val="center"/>
        <w:rPr>
          <w:noProof/>
        </w:rPr>
      </w:pPr>
    </w:p>
    <w:p>
      <w:pPr>
        <w:pStyle w:val="Default"/>
        <w:pBdr>
          <w:top w:val="single" w:sz="4" w:space="1" w:color="auto"/>
          <w:left w:val="single" w:sz="4" w:space="4" w:color="auto"/>
          <w:bottom w:val="single" w:sz="4" w:space="1" w:color="auto"/>
          <w:right w:val="single" w:sz="4" w:space="4" w:color="auto"/>
        </w:pBdr>
        <w:spacing w:line="276" w:lineRule="auto"/>
        <w:jc w:val="both"/>
        <w:rPr>
          <w:noProof/>
        </w:rPr>
      </w:pPr>
      <w:r>
        <w:rPr>
          <w:noProof/>
        </w:rPr>
        <w:t>Биоикономиката обхваща всички сектори и системи, които разчитат на биологични ресурси (биомаса от животни, растения, микроорганизми, включително и органичен отпадък), техните функции и принципи. Тя включва и свързва взаимно: земните и морските екосистеми и услугите, които те предоставят; всички сектори на първично производство, които използват и произвеждат биологични ресурси (селско стопанство, горско стопанство, рибарство и аквакултури); и всички икономически и промишлени сектори, които използват биологични ресурси и процеси за производството на храни, фуражи, продукти на биологична основа, енергия и услуги</w:t>
      </w:r>
      <w:r>
        <w:rPr>
          <w:noProof/>
          <w:vertAlign w:val="superscript"/>
        </w:rPr>
        <w:footnoteReference w:id="2"/>
      </w:r>
      <w:r>
        <w:rPr>
          <w:noProof/>
        </w:rPr>
        <w:t>. За да бъде успешна европейската биоикономика, тя трябва да се основава на устойчивост и кръговост. Това ще стимулира обновяването на нашите промишлености, модернизирането на нашите първични производствени системи, опазването на околната среда и ще подобри биологичното разнообразие.</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noProof/>
        </w:rPr>
      </w:pPr>
      <w:r>
        <w:rPr>
          <w:rFonts w:ascii="Times New Roman" w:hAnsi="Times New Roman" w:cs="Times New Roman"/>
          <w:noProof/>
          <w:sz w:val="24"/>
          <w:szCs w:val="24"/>
        </w:rPr>
        <w:t>Целта на настоящата актуализация на стратегията за биоикономика от 2012 г.</w:t>
      </w:r>
      <w:r>
        <w:rPr>
          <w:rFonts w:ascii="Times New Roman" w:hAnsi="Times New Roman" w:cs="Times New Roman"/>
          <w:noProof/>
          <w:sz w:val="24"/>
          <w:szCs w:val="24"/>
          <w:vertAlign w:val="superscript"/>
        </w:rPr>
        <w:footnoteReference w:id="3"/>
      </w:r>
      <w:r>
        <w:rPr>
          <w:rFonts w:ascii="Times New Roman" w:hAnsi="Times New Roman" w:cs="Times New Roman"/>
          <w:noProof/>
          <w:sz w:val="24"/>
          <w:szCs w:val="24"/>
        </w:rPr>
        <w:t xml:space="preserve"> е справянето с тези предизвикателства чрез набор от 14 конкретни действия, които ще стартират най-късно през 2019 г.</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w:t>
      </w:r>
      <w:r>
        <w:rPr>
          <w:rFonts w:ascii="Times New Roman" w:hAnsi="Times New Roman"/>
          <w:noProof/>
          <w:sz w:val="24"/>
        </w:rPr>
        <w:t xml:space="preserve"> Тези действия отразяват заключенията от прегледа на стратегията през 2017 г.</w:t>
      </w:r>
      <w:r>
        <w:rPr>
          <w:rFonts w:ascii="Times New Roman" w:hAnsi="Times New Roman"/>
          <w:noProof/>
          <w:sz w:val="24"/>
          <w:vertAlign w:val="superscript"/>
        </w:rPr>
        <w:footnoteReference w:id="5"/>
      </w:r>
      <w:r>
        <w:rPr>
          <w:rFonts w:ascii="Times New Roman" w:hAnsi="Times New Roman"/>
          <w:noProof/>
          <w:sz w:val="24"/>
        </w:rPr>
        <w:t xml:space="preserve">. </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b/>
          <w:noProof/>
          <w:sz w:val="24"/>
          <w:szCs w:val="24"/>
        </w:rPr>
      </w:pPr>
      <w:r>
        <w:rPr>
          <w:rFonts w:ascii="Times New Roman" w:hAnsi="Times New Roman"/>
          <w:b/>
          <w:noProof/>
          <w:sz w:val="24"/>
        </w:rPr>
        <w:t xml:space="preserve">2. По какъв начин биоикономиката допринася за приоритетите на ЕС </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noProof/>
          <w:sz w:val="24"/>
        </w:rPr>
        <w:t>Тази актуализация на стратегията за биоикономика от 2012 г. ще оптимизира приноса на биоикономиката към основните приоритети на европейската политика</w:t>
      </w:r>
      <w:r>
        <w:rPr>
          <w:rFonts w:ascii="Times New Roman" w:hAnsi="Times New Roman"/>
          <w:noProof/>
          <w:sz w:val="24"/>
          <w:vertAlign w:val="superscript"/>
        </w:rPr>
        <w:footnoteReference w:id="6"/>
      </w:r>
      <w:r>
        <w:rPr>
          <w:rFonts w:ascii="Times New Roman" w:hAnsi="Times New Roman"/>
          <w:noProof/>
          <w:sz w:val="24"/>
        </w:rPr>
        <w:t>.</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b/>
          <w:noProof/>
          <w:sz w:val="24"/>
        </w:rPr>
        <w:t>Устойчивостта</w:t>
      </w:r>
      <w:r>
        <w:rPr>
          <w:noProof/>
        </w:rPr>
        <w:t xml:space="preserve"> </w:t>
      </w:r>
      <w:r>
        <w:rPr>
          <w:rFonts w:ascii="Times New Roman" w:hAnsi="Times New Roman"/>
          <w:noProof/>
          <w:sz w:val="24"/>
        </w:rPr>
        <w:t>е не само правно задължение, тя представлява възможност за всички части на Европа и е в основата на повечето приоритети на ЕС.</w:t>
      </w:r>
      <w:r>
        <w:rPr>
          <w:rFonts w:ascii="Times New Roman" w:hAnsi="Times New Roman"/>
          <w:noProof/>
          <w:sz w:val="24"/>
          <w:vertAlign w:val="superscript"/>
        </w:rPr>
        <w:footnoteReference w:id="7"/>
      </w:r>
      <w:r>
        <w:rPr>
          <w:rFonts w:ascii="Times New Roman" w:hAnsi="Times New Roman"/>
          <w:noProof/>
          <w:sz w:val="24"/>
        </w:rPr>
        <w:t xml:space="preserve"> ЕС вече е световен лидер в областта на устойчивото използване на природни ресурси в контекста на ефикасна биоикономика, което е от съществено значение за постигането на повечето цели за устойчиво развитие.</w:t>
      </w:r>
      <w:r>
        <w:rPr>
          <w:rFonts w:ascii="Times New Roman" w:hAnsi="Times New Roman"/>
          <w:noProof/>
          <w:sz w:val="24"/>
          <w:vertAlign w:val="superscript"/>
        </w:rPr>
        <w:footnoteReference w:id="8"/>
      </w:r>
      <w:r>
        <w:rPr>
          <w:rFonts w:ascii="Times New Roman" w:hAnsi="Times New Roman"/>
          <w:noProof/>
          <w:sz w:val="24"/>
        </w:rPr>
        <w:t xml:space="preserve"> </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noProof/>
          <w:sz w:val="24"/>
        </w:rPr>
        <w:t>С оборот в размер на 2,3 трилиона евро и съставлявайки 8,2 % от работната сила на ЕС</w:t>
      </w:r>
      <w:r>
        <w:rPr>
          <w:rFonts w:ascii="Times New Roman" w:hAnsi="Times New Roman"/>
          <w:noProof/>
          <w:sz w:val="24"/>
          <w:vertAlign w:val="superscript"/>
        </w:rPr>
        <w:footnoteReference w:id="9"/>
      </w:r>
      <w:r>
        <w:rPr>
          <w:rFonts w:ascii="Times New Roman" w:hAnsi="Times New Roman"/>
          <w:noProof/>
          <w:sz w:val="24"/>
        </w:rPr>
        <w:t xml:space="preserve">, биоикономиката представлява основен елемент за функционирането и успеха на икономиката на ЕС. Въвеждането на устойчива европейска биоикономика ще доведе до </w:t>
      </w:r>
      <w:r>
        <w:rPr>
          <w:rFonts w:ascii="Times New Roman" w:hAnsi="Times New Roman"/>
          <w:b/>
          <w:noProof/>
          <w:sz w:val="24"/>
        </w:rPr>
        <w:t xml:space="preserve">създаване на работни места, </w:t>
      </w:r>
      <w:r>
        <w:rPr>
          <w:rFonts w:ascii="Times New Roman" w:hAnsi="Times New Roman"/>
          <w:noProof/>
          <w:sz w:val="24"/>
        </w:rPr>
        <w:t xml:space="preserve">по-специално в крайбрежните и селските райони чрез нарастващото участие на първичните производители в техните местни биоикономики. Според оценки на отрасъла, до 2030 г. в биопромишлеността могат да бъдат създадени </w:t>
      </w:r>
      <w:r>
        <w:rPr>
          <w:rFonts w:ascii="Times New Roman" w:hAnsi="Times New Roman"/>
          <w:b/>
          <w:noProof/>
          <w:sz w:val="24"/>
        </w:rPr>
        <w:t>един милион нови работни места</w:t>
      </w:r>
      <w:r>
        <w:rPr>
          <w:rFonts w:ascii="Times New Roman" w:hAnsi="Times New Roman"/>
          <w:noProof/>
          <w:sz w:val="24"/>
          <w:vertAlign w:val="superscript"/>
        </w:rPr>
        <w:footnoteReference w:id="10"/>
      </w:r>
      <w:r>
        <w:rPr>
          <w:rFonts w:ascii="Times New Roman" w:hAnsi="Times New Roman"/>
          <w:noProof/>
          <w:sz w:val="24"/>
        </w:rPr>
        <w:t xml:space="preserve">. Водеща роля за реализирането на този потенциал ще играе силната и бързо растяща екосистема от новосъздадени предприятия. </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b/>
          <w:noProof/>
          <w:sz w:val="24"/>
          <w:szCs w:val="24"/>
        </w:rPr>
      </w:pPr>
      <w:r>
        <w:rPr>
          <w:rFonts w:ascii="Times New Roman" w:hAnsi="Times New Roman"/>
          <w:noProof/>
          <w:sz w:val="24"/>
        </w:rPr>
        <w:t>Необходима е устойчива европейска биоикономика за изграждане на бъдеще, което е неутрално по отношение на въглеродните емисии, в съответствие с</w:t>
      </w:r>
      <w:r>
        <w:rPr>
          <w:rFonts w:ascii="Times New Roman" w:hAnsi="Times New Roman"/>
          <w:b/>
          <w:noProof/>
          <w:sz w:val="24"/>
        </w:rPr>
        <w:t xml:space="preserve"> целите в областта на климата на Парижкото споразумение</w:t>
      </w:r>
      <w:r>
        <w:rPr>
          <w:rFonts w:ascii="Times New Roman" w:hAnsi="Times New Roman"/>
          <w:noProof/>
          <w:sz w:val="24"/>
        </w:rPr>
        <w:t>. Например, в строителния сектор композитният дървен материал предлага големи ползи за околната среда, както и отлични икономически възможности. Проучванията показват, че средното въздействие от строителството с 1 тон дървесина, вместо с 1 тон бетон, може да доведе до намаляване средно с 2,1 тона на емисиите на въглероден диоксид през целия жизнен цикъл на продукта (включително употребата и обезвреждането)</w:t>
      </w:r>
      <w:r>
        <w:rPr>
          <w:rFonts w:ascii="Times New Roman" w:eastAsiaTheme="minorHAnsi" w:hAnsi="Times New Roman"/>
          <w:noProof/>
          <w:sz w:val="24"/>
          <w:vertAlign w:val="superscript"/>
        </w:rPr>
        <w:footnoteReference w:id="11"/>
      </w:r>
      <w:r>
        <w:rPr>
          <w:rFonts w:ascii="Times New Roman" w:hAnsi="Times New Roman"/>
          <w:noProof/>
          <w:sz w:val="24"/>
        </w:rPr>
        <w:t>. Устойчивата биоикономика е от съществено значение и за намаляване на емисиите в европейския енергиен сектор. Очаква се биоенергията, която в момента е най-големият възобновяем енергиен източник в ЕС, да остане основен компонент на енергийния микс през 2030 г. и да допринесе за изпълнението на целите на ЕС в областта на възобновяемата енергия, които са 20 % през 2020 г. и най-малко 32 % през 2030 г.</w:t>
      </w:r>
      <w:r>
        <w:rPr>
          <w:rFonts w:ascii="Times New Roman" w:hAnsi="Times New Roman"/>
          <w:noProof/>
          <w:sz w:val="24"/>
          <w:vertAlign w:val="superscript"/>
        </w:rPr>
        <w:footnoteReference w:id="12"/>
      </w:r>
      <w:r>
        <w:rPr>
          <w:rFonts w:ascii="Times New Roman" w:hAnsi="Times New Roman"/>
          <w:noProof/>
          <w:sz w:val="24"/>
        </w:rPr>
        <w:t>. Устойчивото първично производство на суша и по море е в основата на цялостната устойчивост на биоикономиката и ще предостави „отрицателни емисии“ или въглеродни поглътители, в съответствие с ангажиментите, поети в Парижкото споразумение.</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b/>
          <w:noProof/>
          <w:sz w:val="24"/>
          <w:szCs w:val="24"/>
        </w:rPr>
      </w:pPr>
      <w:r>
        <w:rPr>
          <w:rFonts w:ascii="Times New Roman" w:hAnsi="Times New Roman"/>
          <w:noProof/>
          <w:sz w:val="24"/>
        </w:rPr>
        <w:t xml:space="preserve">Устойчивата европейска биоикономика спомага за </w:t>
      </w:r>
      <w:r>
        <w:rPr>
          <w:rFonts w:ascii="Times New Roman" w:hAnsi="Times New Roman"/>
          <w:b/>
          <w:noProof/>
          <w:sz w:val="24"/>
        </w:rPr>
        <w:t>модернизацията и укрепването на промишлената база на ЕС</w:t>
      </w:r>
      <w:r>
        <w:rPr>
          <w:rFonts w:ascii="Times New Roman" w:hAnsi="Times New Roman"/>
          <w:noProof/>
          <w:sz w:val="24"/>
        </w:rPr>
        <w:t xml:space="preserve"> чрез създаването на нови вериги на стойността, както и по-екологосъобразни и икономически по-изгодни промишлени процеси. Чрез извличане на полза от безпрецедентния напредък в областта на науките за живота и биотехнологиите, както и от иновациите, които обединяват физическия, дигиталния и биологичния свят, европейската промишлена база може да поддържа и да подобрява своето световно лидерство. Научните изследвания и иновациите, както и внедряването на новаторски решения за производството на нови устойчиви продукти на биологична основа (като например биохимикали, биогорива и т.н.) също така ще подобрят нашата способност да заменим изкопаемите суровини в много важни части на европейската промишленост (например строителството, опаковките, текстилните изделия, химикалите, фармацевтичните съставки, козметичните продукти, потребителските стоки) в съответствие с целите на обновената стратегия за индустриална политика</w:t>
      </w:r>
      <w:r>
        <w:rPr>
          <w:rStyle w:val="FootnoteReference"/>
          <w:rFonts w:ascii="Times New Roman" w:hAnsi="Times New Roman"/>
          <w:noProof/>
          <w:sz w:val="24"/>
        </w:rPr>
        <w:footnoteReference w:id="13"/>
      </w:r>
      <w:r>
        <w:rPr>
          <w:noProof/>
        </w:rPr>
        <w:t>.</w:t>
      </w:r>
      <w:r>
        <w:rPr>
          <w:rFonts w:ascii="Times New Roman" w:hAnsi="Times New Roman"/>
          <w:noProof/>
          <w:sz w:val="24"/>
        </w:rPr>
        <w:t xml:space="preserve"> Според прогнозите на отрасъла се очаква през следващото десетилетие търсенето на промишлени биотехнологии да нарасне почти двукратно.</w:t>
      </w:r>
      <w:r>
        <w:rPr>
          <w:rFonts w:ascii="Times New Roman" w:eastAsiaTheme="minorHAnsi" w:hAnsi="Times New Roman"/>
          <w:noProof/>
          <w:sz w:val="24"/>
          <w:vertAlign w:val="superscript"/>
        </w:rPr>
        <w:footnoteReference w:id="14"/>
      </w:r>
      <w:r>
        <w:rPr>
          <w:rFonts w:ascii="Times New Roman" w:hAnsi="Times New Roman"/>
          <w:noProof/>
          <w:sz w:val="24"/>
        </w:rPr>
        <w:t xml:space="preserve"> </w:t>
      </w:r>
    </w:p>
    <w:p>
      <w:pPr>
        <w:spacing w:line="276" w:lineRule="auto"/>
        <w:jc w:val="both"/>
        <w:rPr>
          <w:rFonts w:ascii="Times New Roman" w:hAnsi="Times New Roman" w:cs="Times New Roman"/>
          <w:b/>
          <w:noProof/>
          <w:sz w:val="24"/>
          <w:szCs w:val="24"/>
        </w:rPr>
      </w:pPr>
    </w:p>
    <w:p>
      <w:pPr>
        <w:spacing w:line="276" w:lineRule="auto"/>
        <w:jc w:val="both"/>
        <w:rPr>
          <w:rFonts w:ascii="Times New Roman" w:hAnsi="Times New Roman" w:cs="Times New Roman"/>
          <w:b/>
          <w:noProof/>
          <w:sz w:val="24"/>
          <w:szCs w:val="24"/>
        </w:rPr>
      </w:pPr>
      <w:r>
        <w:rPr>
          <w:rFonts w:ascii="Times New Roman" w:hAnsi="Times New Roman"/>
          <w:noProof/>
          <w:sz w:val="24"/>
        </w:rPr>
        <w:t xml:space="preserve">Устойчивата биоикономика е възобновяемият сегмент на </w:t>
      </w:r>
      <w:r>
        <w:rPr>
          <w:rFonts w:ascii="Times New Roman" w:hAnsi="Times New Roman"/>
          <w:b/>
          <w:noProof/>
          <w:sz w:val="24"/>
        </w:rPr>
        <w:t xml:space="preserve">кръговата икономика. </w:t>
      </w:r>
      <w:r>
        <w:rPr>
          <w:rFonts w:ascii="Times New Roman" w:hAnsi="Times New Roman"/>
          <w:noProof/>
          <w:sz w:val="24"/>
        </w:rPr>
        <w:t xml:space="preserve">Тя може да превърне биологичните отпадъци, остатъците и изхвърлянията в ценни ресурси и да създаде иновации и стимули, с които да подпомогне търговците на дребно и потребителите да </w:t>
      </w:r>
      <w:r>
        <w:rPr>
          <w:rFonts w:ascii="Times New Roman" w:hAnsi="Times New Roman"/>
          <w:b/>
          <w:noProof/>
          <w:sz w:val="24"/>
        </w:rPr>
        <w:t>намалят хранителните отпадъци с 50 %</w:t>
      </w:r>
      <w:r>
        <w:rPr>
          <w:rFonts w:ascii="Times New Roman" w:hAnsi="Times New Roman"/>
          <w:noProof/>
          <w:sz w:val="24"/>
        </w:rPr>
        <w:t xml:space="preserve"> до 2030 г. Например в сектора на животновъдството иновациите все повече позволяват определени хранителни отпадъци безопасно да бъдат превръщани във фуражи за животни, при спазване на приложимите правила и законовите изисквания.</w:t>
      </w:r>
      <w:r>
        <w:rPr>
          <w:rFonts w:ascii="Times New Roman" w:hAnsi="Times New Roman"/>
          <w:noProof/>
          <w:sz w:val="24"/>
          <w:vertAlign w:val="superscript"/>
        </w:rPr>
        <w:footnoteReference w:id="15"/>
      </w:r>
      <w:r>
        <w:rPr>
          <w:rFonts w:ascii="Times New Roman" w:hAnsi="Times New Roman"/>
          <w:noProof/>
          <w:sz w:val="24"/>
        </w:rPr>
        <w:t xml:space="preserve"> Оценките сочат, че благодарение на иновациите земята, която в момента се използва за хранене на животни, може да се освободи и да изхранва още три милиарда хора.</w:t>
      </w:r>
      <w:r>
        <w:rPr>
          <w:rFonts w:ascii="Times New Roman" w:hAnsi="Times New Roman"/>
          <w:noProof/>
          <w:sz w:val="24"/>
          <w:vertAlign w:val="superscript"/>
        </w:rPr>
        <w:footnoteReference w:id="16"/>
      </w:r>
      <w:r>
        <w:rPr>
          <w:rFonts w:ascii="Times New Roman" w:hAnsi="Times New Roman"/>
          <w:noProof/>
          <w:sz w:val="24"/>
        </w:rPr>
        <w:t xml:space="preserve"> </w:t>
      </w:r>
      <w:r>
        <w:rPr>
          <w:rFonts w:ascii="Times New Roman" w:hAnsi="Times New Roman"/>
          <w:b/>
          <w:noProof/>
          <w:sz w:val="24"/>
        </w:rPr>
        <w:t>Градовете трябва да станат основни центрове на кръговата биоикономика.</w:t>
      </w:r>
      <w:r>
        <w:rPr>
          <w:rFonts w:ascii="Times New Roman" w:hAnsi="Times New Roman"/>
          <w:noProof/>
          <w:sz w:val="24"/>
        </w:rPr>
        <w:t xml:space="preserve"> Плановете за кръгово градско развитие могат да се превърнат в много важни ползи за икономиката и околната среда. Например, според оценката на град Амстердам по-доброто рециклиране на потоците от органични остатъци с висока стойност може да генерира 150 милиона евро в добавена стойност на година, да създаде 1200 нови работни места в дългосрочен план и да спести 600 000 тона въглероден диоксид годишно.</w:t>
      </w:r>
      <w:r>
        <w:rPr>
          <w:rFonts w:ascii="Times New Roman" w:hAnsi="Times New Roman"/>
          <w:noProof/>
          <w:sz w:val="24"/>
          <w:vertAlign w:val="superscript"/>
        </w:rPr>
        <w:footnoteReference w:id="17"/>
      </w:r>
      <w:r>
        <w:rPr>
          <w:rFonts w:ascii="Times New Roman" w:hAnsi="Times New Roman"/>
          <w:noProof/>
          <w:sz w:val="24"/>
        </w:rPr>
        <w:t xml:space="preserve"> За петдесетте най-големи европейски градове, които представляват 11 % от населението на ЕС, комбинираното въздействие може да бъде поне 50 пъти по-голямо.</w:t>
      </w:r>
    </w:p>
    <w:p>
      <w:pPr>
        <w:spacing w:line="276" w:lineRule="auto"/>
        <w:jc w:val="both"/>
        <w:rPr>
          <w:rFonts w:ascii="Times New Roman" w:hAnsi="Times New Roman" w:cs="Times New Roman"/>
          <w:b/>
          <w:noProof/>
          <w:sz w:val="24"/>
          <w:szCs w:val="24"/>
        </w:rPr>
      </w:pPr>
    </w:p>
    <w:p>
      <w:pPr>
        <w:spacing w:line="276" w:lineRule="auto"/>
        <w:jc w:val="both"/>
        <w:rPr>
          <w:rFonts w:ascii="Times New Roman" w:hAnsi="Times New Roman" w:cs="Times New Roman"/>
          <w:b/>
          <w:noProof/>
          <w:sz w:val="24"/>
          <w:szCs w:val="24"/>
        </w:rPr>
      </w:pPr>
      <w:r>
        <w:rPr>
          <w:rFonts w:ascii="Times New Roman" w:hAnsi="Times New Roman"/>
          <w:noProof/>
          <w:sz w:val="24"/>
        </w:rPr>
        <w:t xml:space="preserve">Поддържането на </w:t>
      </w:r>
      <w:r>
        <w:rPr>
          <w:rFonts w:ascii="Times New Roman" w:hAnsi="Times New Roman"/>
          <w:b/>
          <w:noProof/>
          <w:sz w:val="24"/>
        </w:rPr>
        <w:t>здрави екосистеми</w:t>
      </w:r>
      <w:r>
        <w:rPr>
          <w:rFonts w:ascii="Times New Roman" w:hAnsi="Times New Roman"/>
          <w:noProof/>
          <w:sz w:val="24"/>
        </w:rPr>
        <w:t xml:space="preserve"> е европейски приоритет. Биоикономиката може да допринесе за възстановяването на екосистемите, например като спомогне за постигането на целта за морета и океани без пластмаса. Европейската агенция за околна среда вече съветва там, където рискът от дисперсия в екосистемата е висок, като например при смазочните течности, подлежащите на износване материали, както и продуктите за еднократна употреба, да се използват биоразградими материали на биологична основа, които са алтернативни на пластмасата.</w:t>
      </w:r>
      <w:r>
        <w:rPr>
          <w:rFonts w:ascii="Times New Roman" w:eastAsiaTheme="minorHAnsi" w:hAnsi="Times New Roman"/>
          <w:noProof/>
          <w:color w:val="000000" w:themeColor="text1"/>
          <w:sz w:val="24"/>
          <w:vertAlign w:val="superscript"/>
        </w:rPr>
        <w:footnoteReference w:id="18"/>
      </w:r>
      <w:r>
        <w:rPr>
          <w:rFonts w:ascii="Times New Roman" w:eastAsiaTheme="minorHAnsi" w:hAnsi="Times New Roman"/>
          <w:noProof/>
          <w:color w:val="000000" w:themeColor="text1"/>
          <w:sz w:val="24"/>
        </w:rPr>
        <w:t xml:space="preserve"> Освен това устойчивата биоикономика ще допринесе за постигане на целта за устойчиво развитие, свързана с постигане до 2030 г. на </w:t>
      </w:r>
      <w:r>
        <w:rPr>
          <w:rFonts w:ascii="Times New Roman" w:eastAsiaTheme="minorHAnsi" w:hAnsi="Times New Roman"/>
          <w:b/>
          <w:noProof/>
          <w:color w:val="000000" w:themeColor="text1"/>
          <w:sz w:val="24"/>
        </w:rPr>
        <w:t>неутралност по отношение на деградацията на земите</w:t>
      </w:r>
      <w:r>
        <w:rPr>
          <w:rFonts w:ascii="Times New Roman" w:eastAsiaTheme="minorHAnsi" w:hAnsi="Times New Roman"/>
          <w:noProof/>
          <w:color w:val="000000" w:themeColor="text1"/>
          <w:sz w:val="24"/>
        </w:rPr>
        <w:t xml:space="preserve"> и за осъществяване до 2020 г. на амбицията за възстановяване на минимум 15 % от деградиралите екосистеми.</w:t>
      </w:r>
      <w:r>
        <w:rPr>
          <w:rFonts w:ascii="Times New Roman" w:eastAsiaTheme="minorHAnsi" w:hAnsi="Times New Roman"/>
          <w:noProof/>
          <w:color w:val="000000" w:themeColor="text1"/>
          <w:sz w:val="24"/>
          <w:vertAlign w:val="superscript"/>
        </w:rPr>
        <w:footnoteReference w:id="19"/>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noProof/>
          <w:sz w:val="24"/>
        </w:rPr>
        <w:t>Реализирането на потенциала няма да се случи от само себе си. Необходими са инвестиции, иновации, разработване на стратегии и прилагане на системни промени, които засягат различни сектори (селското стопанство, горското стопанство, рибарството, аквакултурите, храните, биопромишлеността). Това означава да подобрим способността си да превръщаме възможностите от всички видове иновации в нови продукти и услуги на пазара, като създаваме нови работни места на местно ниво. И също така — да го направим по европейския начин: икономически изгодно, като дадем преимущество на устойчивостта и кръговостта.</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noProof/>
          <w:sz w:val="24"/>
        </w:rPr>
        <w:t>В това отношение от ключово значение е оптимизирането на въздействието от научните изследвания и иновациите на ЕС</w:t>
      </w:r>
      <w:r>
        <w:rPr>
          <w:rFonts w:ascii="Times New Roman" w:hAnsi="Times New Roman"/>
          <w:noProof/>
          <w:sz w:val="24"/>
          <w:vertAlign w:val="superscript"/>
        </w:rPr>
        <w:footnoteReference w:id="20"/>
      </w:r>
      <w:r>
        <w:rPr>
          <w:rFonts w:ascii="Times New Roman" w:hAnsi="Times New Roman"/>
          <w:noProof/>
          <w:sz w:val="24"/>
        </w:rPr>
        <w:t>. Регулирането и финансирането трябва да бъдат в полза на иновациите, като целта е Европа да стане лидер в областта на иновациите, създаващи пазари. Това бе подчертано в неотдавнашната Обновена Европейска програма за научни изследвания и иновации.</w:t>
      </w:r>
      <w:r>
        <w:rPr>
          <w:rFonts w:ascii="Times New Roman" w:hAnsi="Times New Roman"/>
          <w:noProof/>
          <w:sz w:val="24"/>
          <w:vertAlign w:val="superscript"/>
        </w:rPr>
        <w:footnoteReference w:id="21"/>
      </w:r>
      <w:r>
        <w:rPr>
          <w:rFonts w:ascii="Times New Roman" w:hAnsi="Times New Roman"/>
          <w:noProof/>
          <w:sz w:val="24"/>
        </w:rPr>
        <w:t xml:space="preserve"> Допълвайки се взаимно, „Хоризонт 2020“ и Европейският фонд за регионално развитие ще продължат да предоставят важни резултати от областта на научните изследвания и иновациите, чрез които да се преодоляват междусекторните предизвикателства и да се оползотворяват възможностите в биоикономиката. С предложенията на Комисията за следващата многогодишна финансова рамка за периода 2021—2027 г. се цели да се даде значителен тласък на систематичните научни изследвания и иновациите в областите и секторите, които влизат в обхвата на биоикономиката, по-специално с 10 милиарда евро, които са предвидени</w:t>
      </w:r>
      <w:r>
        <w:rPr>
          <w:rFonts w:ascii="Times New Roman" w:hAnsi="Times New Roman"/>
          <w:noProof/>
          <w:sz w:val="24"/>
          <w:vertAlign w:val="superscript"/>
        </w:rPr>
        <w:footnoteReference w:id="22"/>
      </w:r>
      <w:r>
        <w:rPr>
          <w:rFonts w:ascii="Times New Roman" w:hAnsi="Times New Roman"/>
          <w:noProof/>
          <w:sz w:val="24"/>
        </w:rPr>
        <w:t xml:space="preserve"> за клъстера „Храни и природни ресурси” на програма „Хоризонт Европа“.</w:t>
      </w:r>
      <w:r>
        <w:rPr>
          <w:rFonts w:ascii="Times New Roman" w:hAnsi="Times New Roman"/>
          <w:noProof/>
          <w:sz w:val="24"/>
          <w:vertAlign w:val="superscript"/>
        </w:rPr>
        <w:footnoteReference w:id="23"/>
      </w:r>
      <w:r>
        <w:rPr>
          <w:rFonts w:ascii="Times New Roman" w:hAnsi="Times New Roman"/>
          <w:noProof/>
          <w:sz w:val="24"/>
        </w:rPr>
        <w:t xml:space="preserve"> Това признание е отразено и в много стратегии за интелигентна специализация, в които са определени приоритети, свързани с биоикономиката, както и в сдружаването на региони в свързани с биоикономиката платформи за интелигентна специализация и партньорства с цел улесняване на участието на регионите на ЕС</w:t>
      </w:r>
      <w:r>
        <w:rPr>
          <w:rStyle w:val="FootnoteReference"/>
          <w:rFonts w:ascii="Times New Roman" w:hAnsi="Times New Roman"/>
          <w:noProof/>
          <w:sz w:val="24"/>
        </w:rPr>
        <w:footnoteReference w:id="24"/>
      </w:r>
      <w:r>
        <w:rPr>
          <w:rFonts w:ascii="Times New Roman" w:hAnsi="Times New Roman"/>
          <w:noProof/>
          <w:sz w:val="24"/>
        </w:rPr>
        <w:t xml:space="preserve">. Научните изследвания и иновациите в биоикономиката са важна област за сътрудничество и на международно равнище. </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noProof/>
          <w:sz w:val="24"/>
        </w:rPr>
        <w:t>Необходимо е обаче да се направи следващата крачка след научните изследвания и иновации и към внедряването на иновации да се възприеме стратегически и системен подход, за да може да се реализират изцяло ползите, които биоикономиката принася за икономиката, социалната сфера и околната среда. Такъв подход трябва да обедини всички участници от различните територии и по веригите за създаване на стойност, за да бъдат набелязани нуждите и действията, които трябва да бъдат предприети. За да се осигури и ускори внедряването на моделите на кръговата икономика, ще е необходимо да се обърне специално внимание на системните междусекторни предизвикателства, включително синергиите и компромисите. При този подход ще трябва да се използват в пълна степен наличните инструменти и политики, като оползотворяват синергиите с други съюзни и национални фондове и инструменти, по-специално общата селскостопанска политика, общата политика в областта на рибарството, както и политиката на сближаване и финансовите инструменти по програмата InvestEU.</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b/>
          <w:noProof/>
          <w:sz w:val="24"/>
          <w:szCs w:val="24"/>
        </w:rPr>
      </w:pPr>
      <w:r>
        <w:rPr>
          <w:rFonts w:ascii="Times New Roman" w:hAnsi="Times New Roman"/>
          <w:b/>
          <w:noProof/>
          <w:sz w:val="24"/>
        </w:rPr>
        <w:t>3. Освобождаване на потенциала на биоикономиката</w:t>
      </w:r>
    </w:p>
    <w:p>
      <w:pPr>
        <w:pStyle w:val="Default"/>
        <w:spacing w:line="276" w:lineRule="auto"/>
        <w:jc w:val="both"/>
        <w:rPr>
          <w:noProof/>
        </w:rPr>
      </w:pPr>
    </w:p>
    <w:p>
      <w:pPr>
        <w:autoSpaceDE w:val="0"/>
        <w:autoSpaceDN w:val="0"/>
        <w:adjustRightInd w:val="0"/>
        <w:spacing w:line="276" w:lineRule="auto"/>
        <w:jc w:val="both"/>
        <w:rPr>
          <w:rFonts w:ascii="Times New Roman" w:hAnsi="Times New Roman" w:cs="Times New Roman"/>
          <w:noProof/>
          <w:color w:val="000000"/>
          <w:sz w:val="24"/>
          <w:szCs w:val="24"/>
        </w:rPr>
      </w:pPr>
      <w:r>
        <w:rPr>
          <w:rFonts w:ascii="Times New Roman" w:hAnsi="Times New Roman"/>
          <w:noProof/>
          <w:color w:val="000000"/>
          <w:sz w:val="24"/>
        </w:rPr>
        <w:t>Целта на стратегията за биоикономика от 2012 г., свързана с проправяне на „пътя към новаторско и конкурентоспособно общество, което потребява пестеливо ресурсите и обединява продоволствената сигурност с устойчивото използване на възобновяеми ресурси за промишлени цели, като същевременно осигурява опазването на околната среда“, все още е актуална. При прегледа на тази стратегия</w:t>
      </w:r>
      <w:r>
        <w:rPr>
          <w:rFonts w:ascii="Times New Roman" w:hAnsi="Times New Roman"/>
          <w:noProof/>
          <w:color w:val="000000"/>
          <w:sz w:val="24"/>
          <w:vertAlign w:val="superscript"/>
        </w:rPr>
        <w:footnoteReference w:id="25"/>
      </w:r>
      <w:r>
        <w:rPr>
          <w:rFonts w:ascii="Times New Roman" w:hAnsi="Times New Roman"/>
          <w:noProof/>
          <w:color w:val="000000"/>
          <w:sz w:val="24"/>
        </w:rPr>
        <w:t xml:space="preserve"> беше отдадено признание на успеха, по-специално на мобилизирането на научните изследвания и иновациите, стимулирането на частните инвестиции, разработването на нови вериги за създаване на стойност, насърчаването на възприемането на стратегиите за националната биоикономика и привличането на заинтересовани страни. Заключението от прегледа беше, че петте цели на стратегията за биоикономика от 2012 г. остават валидни. </w:t>
      </w:r>
    </w:p>
    <w:p>
      <w:pPr>
        <w:autoSpaceDE w:val="0"/>
        <w:autoSpaceDN w:val="0"/>
        <w:adjustRightInd w:val="0"/>
        <w:spacing w:line="276" w:lineRule="auto"/>
        <w:jc w:val="both"/>
        <w:rPr>
          <w:rFonts w:ascii="Times New Roman" w:hAnsi="Times New Roman" w:cs="Times New Roman"/>
          <w:noProof/>
          <w:color w:val="000000"/>
          <w:sz w:val="24"/>
          <w:szCs w:val="24"/>
        </w:rPr>
      </w:pPr>
    </w:p>
    <w:p>
      <w:pPr>
        <w:autoSpaceDE w:val="0"/>
        <w:autoSpaceDN w:val="0"/>
        <w:adjustRightInd w:val="0"/>
        <w:spacing w:line="276" w:lineRule="auto"/>
        <w:jc w:val="both"/>
        <w:rPr>
          <w:rFonts w:ascii="Times New Roman" w:hAnsi="Times New Roman" w:cs="Times New Roman"/>
          <w:i/>
          <w:noProof/>
          <w:color w:val="000000"/>
          <w:sz w:val="24"/>
          <w:szCs w:val="24"/>
        </w:rPr>
      </w:pPr>
      <w:r>
        <w:rPr>
          <w:rFonts w:ascii="Times New Roman" w:hAnsi="Times New Roman"/>
          <w:noProof/>
          <w:color w:val="000000"/>
          <w:sz w:val="24"/>
        </w:rPr>
        <w:t>Беше признат приносът на стратегията за биоикономика както към кръговата икономика, така и към енергийния съюз, но същевременно беше подчертано, че обхватът на целите ѝ трябва да бъде адаптиран в съответствие с общите европейски приоритети. Следователно действията трябва да получат нова насоченост, за да се повиши максимално техният ефект върху тези приоритети — по-специално както е определено в обновената стратегия за индустриална политика</w:t>
      </w:r>
      <w:r>
        <w:rPr>
          <w:rFonts w:ascii="Times New Roman" w:hAnsi="Times New Roman"/>
          <w:noProof/>
          <w:color w:val="000000"/>
          <w:sz w:val="24"/>
          <w:vertAlign w:val="superscript"/>
        </w:rPr>
        <w:footnoteReference w:id="26"/>
      </w:r>
      <w:r>
        <w:rPr>
          <w:rFonts w:ascii="Times New Roman" w:hAnsi="Times New Roman"/>
          <w:noProof/>
          <w:color w:val="000000"/>
          <w:sz w:val="24"/>
        </w:rPr>
        <w:t>, плана за действие за кръговата икономика</w:t>
      </w:r>
      <w:r>
        <w:rPr>
          <w:rFonts w:ascii="Times New Roman" w:hAnsi="Times New Roman"/>
          <w:noProof/>
          <w:color w:val="000000"/>
          <w:sz w:val="24"/>
          <w:vertAlign w:val="superscript"/>
        </w:rPr>
        <w:footnoteReference w:id="27"/>
      </w:r>
      <w:r>
        <w:rPr>
          <w:rFonts w:ascii="Times New Roman" w:hAnsi="Times New Roman"/>
          <w:noProof/>
          <w:color w:val="000000"/>
          <w:sz w:val="24"/>
        </w:rPr>
        <w:t xml:space="preserve"> и пакета „Чиста енергия за всички европейци“</w:t>
      </w:r>
      <w:r>
        <w:rPr>
          <w:rFonts w:ascii="Times New Roman" w:hAnsi="Times New Roman"/>
          <w:noProof/>
          <w:color w:val="000000"/>
          <w:sz w:val="24"/>
          <w:vertAlign w:val="superscript"/>
        </w:rPr>
        <w:footnoteReference w:id="28"/>
      </w:r>
      <w:r>
        <w:rPr>
          <w:rFonts w:ascii="Times New Roman" w:hAnsi="Times New Roman"/>
          <w:noProof/>
          <w:color w:val="000000"/>
          <w:sz w:val="24"/>
        </w:rPr>
        <w:t xml:space="preserve">. </w:t>
      </w:r>
    </w:p>
    <w:p>
      <w:pPr>
        <w:autoSpaceDE w:val="0"/>
        <w:autoSpaceDN w:val="0"/>
        <w:adjustRightInd w:val="0"/>
        <w:spacing w:before="120" w:line="276"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Първата цел, </w:t>
      </w:r>
      <w:r>
        <w:rPr>
          <w:rFonts w:ascii="Times New Roman" w:hAnsi="Times New Roman"/>
          <w:b/>
          <w:i/>
          <w:noProof/>
          <w:color w:val="000000"/>
          <w:sz w:val="24"/>
        </w:rPr>
        <w:t>гарантиране на продоволствена и хранителна сигурност</w:t>
      </w:r>
      <w:r>
        <w:rPr>
          <w:rFonts w:ascii="Times New Roman" w:hAnsi="Times New Roman"/>
          <w:noProof/>
          <w:color w:val="000000"/>
          <w:sz w:val="24"/>
        </w:rPr>
        <w:t>, остава критична.</w:t>
      </w:r>
      <w:r>
        <w:rPr>
          <w:rFonts w:ascii="Times New Roman" w:hAnsi="Times New Roman"/>
          <w:i/>
          <w:noProof/>
          <w:color w:val="000000"/>
          <w:sz w:val="24"/>
        </w:rPr>
        <w:t xml:space="preserve"> </w:t>
      </w:r>
      <w:r>
        <w:rPr>
          <w:rFonts w:ascii="Times New Roman" w:hAnsi="Times New Roman"/>
          <w:noProof/>
          <w:color w:val="000000"/>
          <w:sz w:val="24"/>
        </w:rPr>
        <w:t>Хранителните и селскостопанските системи съставляват около три четвърти от общата заетост в биоикономиката и около две трети от нейния оборот. Тяхната устойчивост обаче е поставена на изпитание от нарастващата численост на световното население, променящите се практики на потребление и хранене, неустойчивото използване на биомасата и отпадъците от нея, както и заплахите, свързани с изменението на климата.</w:t>
      </w:r>
      <w:r>
        <w:rPr>
          <w:rFonts w:ascii="Times New Roman" w:hAnsi="Times New Roman"/>
          <w:noProof/>
          <w:color w:val="000000"/>
          <w:sz w:val="24"/>
          <w:vertAlign w:val="superscript"/>
        </w:rPr>
        <w:footnoteReference w:id="29"/>
      </w:r>
      <w:r>
        <w:rPr>
          <w:rFonts w:ascii="Times New Roman" w:hAnsi="Times New Roman"/>
          <w:noProof/>
          <w:color w:val="000000"/>
          <w:sz w:val="24"/>
        </w:rPr>
        <w:t xml:space="preserve"> Преминаването към хранителни и селскостопански системи, които са устойчиви, здрави, отчитащи потребностите на храненето, отличаващи се с ефективно използване на ресурсите, гъвкави, кръгови и приобщаващи, трябва да бъде ускорено. Това включва превръщането на органичните отпадъци, остатъците и изхвърлените храни в ценни и безопасни продукти на биологична основа, например чрез въвеждане в експлоатация на малки биорафинерии, подпомагане на земеделските стопани, горските стопани и рибарите да диверсифицират източниците си на приходи и да се справят по-добре с пазарните рискове, като същевременно постигат целите на кръговата икономика.</w:t>
      </w:r>
    </w:p>
    <w:p>
      <w:pPr>
        <w:spacing w:before="120" w:line="276" w:lineRule="auto"/>
        <w:jc w:val="both"/>
        <w:rPr>
          <w:rFonts w:ascii="Times New Roman" w:hAnsi="Times New Roman" w:cs="Times New Roman"/>
          <w:noProof/>
          <w:sz w:val="24"/>
          <w:szCs w:val="24"/>
        </w:rPr>
      </w:pPr>
      <w:r>
        <w:rPr>
          <w:rFonts w:ascii="Times New Roman" w:hAnsi="Times New Roman"/>
          <w:noProof/>
          <w:sz w:val="24"/>
        </w:rPr>
        <w:t xml:space="preserve">Втората цел, </w:t>
      </w:r>
      <w:r>
        <w:rPr>
          <w:rFonts w:ascii="Times New Roman" w:hAnsi="Times New Roman"/>
          <w:b/>
          <w:i/>
          <w:noProof/>
          <w:sz w:val="24"/>
        </w:rPr>
        <w:t>устойчиво управление на природните ресурси</w:t>
      </w:r>
      <w:r>
        <w:rPr>
          <w:rFonts w:ascii="Times New Roman" w:hAnsi="Times New Roman"/>
          <w:noProof/>
          <w:sz w:val="24"/>
        </w:rPr>
        <w:t>, е по-важна от всякога в настоящия контекст на бързо изчерпване на редица ресурси и загуба на биологично разнообразие.</w:t>
      </w:r>
      <w:r>
        <w:rPr>
          <w:rFonts w:ascii="Times New Roman" w:hAnsi="Times New Roman"/>
          <w:noProof/>
          <w:sz w:val="24"/>
          <w:vertAlign w:val="superscript"/>
        </w:rPr>
        <w:footnoteReference w:id="30"/>
      </w:r>
      <w:r>
        <w:rPr>
          <w:rFonts w:ascii="Times New Roman" w:hAnsi="Times New Roman"/>
          <w:noProof/>
          <w:sz w:val="24"/>
        </w:rPr>
        <w:t xml:space="preserve"> Необходими са своевременни действия, за да бъде предотвратена деградацията на екосистемите, да бъдат възстановени и подобрени техните функции, които могат да повишат продоволствената сигурност и сигурността на водните ресурси, и да допринесат съществено за приспособяването и смекчаването на изменението на климата чрез „отрицателни емисии“ и въглеродни поглътители.</w:t>
      </w:r>
      <w:r>
        <w:rPr>
          <w:rFonts w:ascii="Times New Roman" w:hAnsi="Times New Roman"/>
          <w:noProof/>
          <w:sz w:val="24"/>
          <w:vertAlign w:val="superscript"/>
        </w:rPr>
        <w:footnoteReference w:id="31"/>
      </w:r>
      <w:r>
        <w:rPr>
          <w:rFonts w:ascii="Times New Roman" w:hAnsi="Times New Roman"/>
          <w:noProof/>
          <w:sz w:val="24"/>
        </w:rPr>
        <w:t xml:space="preserve"> По-специално, съхраняването и производителността на здравите екосистеми в моретата, океаните, горите и почвите зависят от биологичното разнообразие. Необходимо е също така да подобрим способността си да извършваме мониторинг и да прогнозираме състоянието и развитието на природните ни ресурси. </w:t>
      </w:r>
    </w:p>
    <w:p>
      <w:pPr>
        <w:spacing w:before="120" w:line="276" w:lineRule="auto"/>
        <w:jc w:val="both"/>
        <w:rPr>
          <w:rFonts w:ascii="Times New Roman" w:hAnsi="Times New Roman" w:cs="Times New Roman"/>
          <w:b/>
          <w:noProof/>
          <w:sz w:val="24"/>
          <w:szCs w:val="24"/>
        </w:rPr>
      </w:pPr>
      <w:r>
        <w:rPr>
          <w:rFonts w:ascii="Times New Roman" w:hAnsi="Times New Roman"/>
          <w:noProof/>
          <w:sz w:val="24"/>
        </w:rPr>
        <w:t xml:space="preserve">Третата цел, </w:t>
      </w:r>
      <w:r>
        <w:rPr>
          <w:rFonts w:ascii="Times New Roman" w:hAnsi="Times New Roman"/>
          <w:b/>
          <w:i/>
          <w:noProof/>
          <w:sz w:val="24"/>
        </w:rPr>
        <w:t>намаляване на зависимостта от невъзобновяеми, неустойчиви ресурси, независимо дали са от домашни, или от задгранични източници</w:t>
      </w:r>
      <w:r>
        <w:rPr>
          <w:rFonts w:ascii="Times New Roman" w:hAnsi="Times New Roman"/>
          <w:noProof/>
          <w:sz w:val="24"/>
        </w:rPr>
        <w:t>, е от основно значение за постигане на целите на ЕС в областта на енергетиката и климата, тъй като се очаква биоенергията, която в момента е най-големият възобновяем енергиен източник на ЕС, да продължи да бъде основен компонент на енергийния микс през 2030 г.</w:t>
      </w:r>
      <w:r>
        <w:rPr>
          <w:rFonts w:ascii="Times New Roman" w:hAnsi="Times New Roman"/>
          <w:noProof/>
          <w:sz w:val="24"/>
          <w:vertAlign w:val="superscript"/>
        </w:rPr>
        <w:footnoteReference w:id="32"/>
      </w:r>
      <w:r>
        <w:rPr>
          <w:rFonts w:ascii="Times New Roman" w:hAnsi="Times New Roman"/>
          <w:noProof/>
          <w:sz w:val="24"/>
        </w:rPr>
        <w:t>. По-силният сектор за продукти на биологична основа може да ускори замяната на невъзобновяемите ресурси в съответствие с поетите от ЕС ангажименти по Парижкото споразумение.  Освен това, промишлената симбиоза и иновационните промишлени биотехнологични процеси</w:t>
      </w:r>
      <w:r>
        <w:rPr>
          <w:rFonts w:ascii="Times New Roman" w:hAnsi="Times New Roman"/>
          <w:noProof/>
          <w:sz w:val="24"/>
          <w:vertAlign w:val="superscript"/>
        </w:rPr>
        <w:footnoteReference w:id="33"/>
      </w:r>
      <w:r>
        <w:rPr>
          <w:rFonts w:ascii="Times New Roman" w:hAnsi="Times New Roman"/>
          <w:noProof/>
          <w:sz w:val="24"/>
        </w:rPr>
        <w:t xml:space="preserve"> допринасят за екологизирането на промишленостите и развитието на кръгови биоикономики и продукти, например чрез въвеждане на нововъведения в начина, по който градовете добавят стойност към своя значителен дял от биологичния отпадък. </w:t>
      </w:r>
    </w:p>
    <w:p>
      <w:pPr>
        <w:spacing w:before="120" w:line="276" w:lineRule="auto"/>
        <w:jc w:val="both"/>
        <w:rPr>
          <w:rFonts w:ascii="Times New Roman" w:hAnsi="Times New Roman" w:cs="Times New Roman"/>
          <w:noProof/>
          <w:sz w:val="24"/>
          <w:szCs w:val="24"/>
        </w:rPr>
      </w:pPr>
      <w:r>
        <w:rPr>
          <w:rFonts w:ascii="Times New Roman" w:hAnsi="Times New Roman"/>
          <w:noProof/>
          <w:sz w:val="24"/>
        </w:rPr>
        <w:t xml:space="preserve">Четвъртата цел, </w:t>
      </w:r>
      <w:r>
        <w:rPr>
          <w:rFonts w:ascii="Times New Roman" w:hAnsi="Times New Roman"/>
          <w:b/>
          <w:i/>
          <w:noProof/>
          <w:sz w:val="24"/>
        </w:rPr>
        <w:t>ограничаване на изменението на климата и приспособяване към него</w:t>
      </w:r>
      <w:r>
        <w:rPr>
          <w:rFonts w:ascii="Times New Roman" w:hAnsi="Times New Roman"/>
          <w:noProof/>
          <w:sz w:val="24"/>
        </w:rPr>
        <w:t>, се е утвърдила като глобално предизвикателство за това поколение. В контекста на стратегията за дългосрочно намаляване на емисиите на парникови газове устойчивата и кръгова биоикономика е от основно значение, за да може Европа да е неутрална по отношение на тези емисии. Освен това устойчивата биоикономика има голям потенциал за намаляване на емисиите на парникови газове, като насърчава практиките за първично производство на суша и по море, които се отличават с по-ефективно използване на ресурсите, по-голяма активност и устойчивост, както и като подобрява способността на екосистемите да регулират климата, например чрез внедряване на иновации в областта на земеделието с ниски въглеродни емисии.</w:t>
      </w:r>
    </w:p>
    <w:p>
      <w:pPr>
        <w:spacing w:before="120" w:line="276" w:lineRule="auto"/>
        <w:jc w:val="both"/>
        <w:rPr>
          <w:rFonts w:ascii="Times New Roman" w:hAnsi="Times New Roman" w:cs="Times New Roman"/>
          <w:noProof/>
          <w:sz w:val="24"/>
          <w:szCs w:val="24"/>
        </w:rPr>
      </w:pPr>
      <w:r>
        <w:rPr>
          <w:rFonts w:ascii="Times New Roman" w:hAnsi="Times New Roman"/>
          <w:noProof/>
          <w:sz w:val="24"/>
        </w:rPr>
        <w:t xml:space="preserve">Петата цел, </w:t>
      </w:r>
      <w:r>
        <w:rPr>
          <w:rFonts w:ascii="Times New Roman" w:hAnsi="Times New Roman"/>
          <w:b/>
          <w:i/>
          <w:noProof/>
          <w:sz w:val="24"/>
        </w:rPr>
        <w:t>укрепване на европейската конкурентоспособност и създаване на работни места</w:t>
      </w:r>
      <w:r>
        <w:rPr>
          <w:rFonts w:ascii="Times New Roman" w:hAnsi="Times New Roman"/>
          <w:noProof/>
          <w:sz w:val="24"/>
        </w:rPr>
        <w:t>, е основна цел на политиката относно биоикономиката.</w:t>
      </w:r>
      <w:r>
        <w:rPr>
          <w:rFonts w:ascii="Times New Roman" w:hAnsi="Times New Roman"/>
          <w:b/>
          <w:i/>
          <w:noProof/>
          <w:sz w:val="24"/>
        </w:rPr>
        <w:t xml:space="preserve"> </w:t>
      </w:r>
      <w:r>
        <w:rPr>
          <w:rFonts w:ascii="Times New Roman" w:hAnsi="Times New Roman"/>
          <w:noProof/>
          <w:sz w:val="24"/>
        </w:rPr>
        <w:t>Предоставянето на рамки за разработване и внедряване на иновации и насърчаване на развитието на пазари за продукти на биологична основа, например чрез възлагане на обществени поръчки</w:t>
      </w:r>
      <w:r>
        <w:rPr>
          <w:rFonts w:ascii="Times New Roman" w:hAnsi="Times New Roman"/>
          <w:noProof/>
          <w:sz w:val="24"/>
          <w:vertAlign w:val="superscript"/>
        </w:rPr>
        <w:footnoteReference w:id="34"/>
      </w:r>
      <w:r>
        <w:rPr>
          <w:rFonts w:ascii="Times New Roman" w:hAnsi="Times New Roman"/>
          <w:noProof/>
          <w:sz w:val="24"/>
        </w:rPr>
        <w:t>, създаване на стандарти, политики за енергия от възобновяеми източници и определяне на цени на въглеродните емисии, ще подкрепят глобалната конкурентоспособност и трансформирането на европейските промишлености</w:t>
      </w:r>
      <w:r>
        <w:rPr>
          <w:rFonts w:ascii="Times New Roman" w:hAnsi="Times New Roman"/>
          <w:noProof/>
          <w:sz w:val="24"/>
          <w:vertAlign w:val="superscript"/>
        </w:rPr>
        <w:t>5</w:t>
      </w:r>
      <w:r>
        <w:rPr>
          <w:rFonts w:ascii="Times New Roman" w:hAnsi="Times New Roman"/>
          <w:noProof/>
          <w:sz w:val="24"/>
        </w:rPr>
        <w:t>. Биоикономикатата предлага важни възможности за нови работни места, регионално икономическо развитие и подобрено териториално сближаване и в отдалечени или периферни райони. Тя има потенциал да предостави важен източник на диверсификация на доходите за земеделските стопани, горските стопани и рибарите, както и да даде тласък на местните икономики на селските райони чрез увеличаване на инвестициите в умения, познания, иновации и нови стопански модели, съгласно препоръките в Декларацията от Корк 2.0 от 2016 г.</w:t>
      </w:r>
      <w:r>
        <w:rPr>
          <w:rFonts w:ascii="Times New Roman" w:hAnsi="Times New Roman"/>
          <w:noProof/>
          <w:sz w:val="24"/>
          <w:vertAlign w:val="superscript"/>
        </w:rPr>
        <w:footnoteReference w:id="35"/>
      </w:r>
      <w:r>
        <w:rPr>
          <w:rFonts w:ascii="Times New Roman" w:hAnsi="Times New Roman"/>
          <w:noProof/>
          <w:sz w:val="24"/>
        </w:rPr>
        <w:t>.</w:t>
      </w:r>
    </w:p>
    <w:p>
      <w:pPr>
        <w:spacing w:line="276" w:lineRule="auto"/>
        <w:jc w:val="both"/>
        <w:rPr>
          <w:rFonts w:ascii="Times New Roman" w:eastAsiaTheme="minorHAnsi" w:hAnsi="Times New Roman" w:cs="Times New Roman"/>
          <w:noProof/>
          <w:sz w:val="24"/>
          <w:szCs w:val="24"/>
        </w:rPr>
      </w:pPr>
      <w:r>
        <w:rPr>
          <w:rFonts w:ascii="Times New Roman" w:hAnsi="Times New Roman"/>
          <w:noProof/>
        </w:rPr>
        <w:t xml:space="preserve"> </w:t>
      </w:r>
    </w:p>
    <w:p>
      <w:pPr>
        <w:spacing w:before="120" w:line="276" w:lineRule="auto"/>
        <w:jc w:val="center"/>
        <w:rPr>
          <w:rFonts w:ascii="Times New Roman" w:hAnsi="Times New Roman" w:cs="Times New Roman"/>
          <w:b/>
          <w:noProof/>
          <w:sz w:val="24"/>
          <w:szCs w:val="24"/>
        </w:rPr>
      </w:pPr>
      <w:r>
        <w:rPr>
          <w:rFonts w:ascii="Times New Roman" w:hAnsi="Times New Roman"/>
          <w:b/>
          <w:noProof/>
          <w:sz w:val="24"/>
        </w:rPr>
        <w:t xml:space="preserve">4. </w:t>
      </w:r>
      <w:r>
        <w:rPr>
          <w:noProof/>
        </w:rPr>
        <w:tab/>
      </w:r>
      <w:r>
        <w:rPr>
          <w:rFonts w:ascii="Times New Roman" w:hAnsi="Times New Roman"/>
          <w:b/>
          <w:noProof/>
          <w:sz w:val="24"/>
        </w:rPr>
        <w:t>Действия, които водят към устойчива, кръгова биоикономика</w:t>
      </w:r>
    </w:p>
    <w:p>
      <w:pPr>
        <w:spacing w:before="120" w:line="276" w:lineRule="auto"/>
        <w:jc w:val="both"/>
        <w:rPr>
          <w:rFonts w:ascii="Times New Roman" w:hAnsi="Times New Roman" w:cs="Times New Roman"/>
          <w:noProof/>
          <w:sz w:val="24"/>
          <w:szCs w:val="24"/>
        </w:rPr>
      </w:pPr>
      <w:r>
        <w:rPr>
          <w:rFonts w:ascii="Times New Roman" w:hAnsi="Times New Roman"/>
          <w:noProof/>
          <w:sz w:val="24"/>
        </w:rPr>
        <w:t>За да подпомогне петте цели в контекста на еволюиралите приоритети на политиката, тази актуализирана стратегия предлага три основни сфери на действие:</w:t>
      </w:r>
    </w:p>
    <w:p>
      <w:pPr>
        <w:pStyle w:val="ListParagraph"/>
        <w:numPr>
          <w:ilvl w:val="0"/>
          <w:numId w:val="43"/>
        </w:numPr>
        <w:spacing w:before="120" w:line="360" w:lineRule="auto"/>
        <w:ind w:left="714" w:hanging="357"/>
        <w:jc w:val="both"/>
        <w:rPr>
          <w:rFonts w:ascii="Times New Roman" w:hAnsi="Times New Roman" w:cs="Times New Roman"/>
          <w:noProof/>
          <w:sz w:val="24"/>
          <w:szCs w:val="24"/>
        </w:rPr>
      </w:pPr>
      <w:r>
        <w:rPr>
          <w:rFonts w:ascii="Times New Roman" w:hAnsi="Times New Roman"/>
          <w:noProof/>
          <w:sz w:val="24"/>
        </w:rPr>
        <w:t>укрепване и разрастване на секторите за продукти на биологична основа, разгръщане на инвестициите и пазарите;</w:t>
      </w:r>
    </w:p>
    <w:p>
      <w:pPr>
        <w:pStyle w:val="ListParagraph"/>
        <w:numPr>
          <w:ilvl w:val="0"/>
          <w:numId w:val="43"/>
        </w:numPr>
        <w:spacing w:line="360" w:lineRule="auto"/>
        <w:ind w:left="714" w:hanging="357"/>
        <w:jc w:val="both"/>
        <w:rPr>
          <w:rFonts w:ascii="Times New Roman" w:hAnsi="Times New Roman" w:cs="Times New Roman"/>
          <w:noProof/>
          <w:sz w:val="24"/>
          <w:szCs w:val="24"/>
        </w:rPr>
      </w:pPr>
      <w:r>
        <w:rPr>
          <w:rFonts w:ascii="Times New Roman" w:hAnsi="Times New Roman"/>
          <w:noProof/>
          <w:sz w:val="24"/>
        </w:rPr>
        <w:t xml:space="preserve">бързо внедряване на местните биоикономики в цяла Европа; </w:t>
      </w:r>
    </w:p>
    <w:p>
      <w:pPr>
        <w:pStyle w:val="ListParagraph"/>
        <w:numPr>
          <w:ilvl w:val="0"/>
          <w:numId w:val="43"/>
        </w:numPr>
        <w:spacing w:line="360" w:lineRule="auto"/>
        <w:jc w:val="both"/>
        <w:rPr>
          <w:rFonts w:ascii="Times New Roman" w:eastAsiaTheme="minorHAnsi" w:hAnsi="Times New Roman" w:cs="Times New Roman"/>
          <w:noProof/>
          <w:sz w:val="24"/>
          <w:szCs w:val="24"/>
        </w:rPr>
      </w:pPr>
      <w:r>
        <w:rPr>
          <w:rFonts w:ascii="Times New Roman" w:hAnsi="Times New Roman"/>
          <w:noProof/>
          <w:sz w:val="24"/>
        </w:rPr>
        <w:t xml:space="preserve">разбиране на екологичните граници на биоикономиката. </w:t>
      </w:r>
    </w:p>
    <w:p>
      <w:pPr>
        <w:spacing w:line="276" w:lineRule="auto"/>
        <w:jc w:val="both"/>
        <w:rPr>
          <w:rFonts w:ascii="Times New Roman" w:hAnsi="Times New Roman" w:cs="Times New Roman"/>
          <w:noProof/>
          <w:sz w:val="24"/>
          <w:szCs w:val="24"/>
        </w:rPr>
      </w:pPr>
      <w:r>
        <w:rPr>
          <w:rFonts w:ascii="Times New Roman" w:hAnsi="Times New Roman"/>
          <w:noProof/>
          <w:sz w:val="24"/>
        </w:rPr>
        <w:t>Предложените действия се възползват от и превишават предишните успешни инвестиции в научни изследвания и иновации. Планът за действие прилага системен подход за развиване и разрастване на биоикономиката и гарантиране на цялостната ѝ устойчивост и кръговост. Той обхваща множество сектори и политики, които са свързани с биоикономиката, свързва ги взаимно, улеснява съгласуваността и синергиите, разглежда компромисите като конкурентното използване на биомаса и предоставя план, който ще помогне на Съюза да развие потенциала на биоикономиката и да го използва за ефективно постигане на много от целите на своите политики.  Действията ще се изпълняват в рамките на Международния форум по биоикономика</w:t>
      </w:r>
      <w:r>
        <w:rPr>
          <w:rStyle w:val="FootnoteReference"/>
          <w:rFonts w:ascii="Times New Roman" w:hAnsi="Times New Roman"/>
          <w:noProof/>
          <w:sz w:val="24"/>
        </w:rPr>
        <w:footnoteReference w:id="36"/>
      </w:r>
      <w:r>
        <w:rPr>
          <w:rFonts w:ascii="Times New Roman" w:hAnsi="Times New Roman"/>
          <w:noProof/>
          <w:sz w:val="24"/>
        </w:rPr>
        <w:t xml:space="preserve"> и Световната среща на върха по въпросите на биоикономиката</w:t>
      </w:r>
      <w:r>
        <w:rPr>
          <w:rStyle w:val="FootnoteReference"/>
          <w:rFonts w:ascii="Times New Roman" w:hAnsi="Times New Roman"/>
          <w:noProof/>
          <w:sz w:val="24"/>
        </w:rPr>
        <w:footnoteReference w:id="37"/>
      </w:r>
      <w:r>
        <w:rPr>
          <w:rFonts w:ascii="Times New Roman" w:hAnsi="Times New Roman"/>
          <w:noProof/>
          <w:sz w:val="24"/>
        </w:rPr>
        <w:t xml:space="preserve">, за да се поощрят синергиите със сходни действия на партньорите. </w:t>
      </w:r>
    </w:p>
    <w:p>
      <w:pPr>
        <w:spacing w:line="276" w:lineRule="auto"/>
        <w:jc w:val="both"/>
        <w:rPr>
          <w:rFonts w:ascii="Times New Roman" w:hAnsi="Times New Roman" w:cs="Times New Roman"/>
          <w:noProof/>
          <w:sz w:val="24"/>
          <w:szCs w:val="24"/>
        </w:rPr>
      </w:pPr>
    </w:p>
    <w:p>
      <w:pPr>
        <w:pStyle w:val="ListParagraph"/>
        <w:spacing w:line="276" w:lineRule="auto"/>
        <w:jc w:val="both"/>
        <w:rPr>
          <w:rFonts w:ascii="Times New Roman" w:hAnsi="Times New Roman" w:cs="Times New Roman"/>
          <w:noProof/>
          <w:sz w:val="24"/>
          <w:szCs w:val="24"/>
        </w:rPr>
      </w:pPr>
      <w:bookmarkStart w:id="2" w:name="_Toc511996251"/>
      <w:bookmarkStart w:id="3" w:name="_Toc512000938"/>
      <w:bookmarkStart w:id="4" w:name="_Toc511992769"/>
      <w:bookmarkStart w:id="5" w:name="_Toc511992853"/>
      <w:bookmarkStart w:id="6" w:name="_Toc511992937"/>
      <w:bookmarkStart w:id="7" w:name="_Toc511994521"/>
      <w:bookmarkStart w:id="8" w:name="_Toc511994693"/>
      <w:bookmarkStart w:id="9" w:name="_Toc511996252"/>
      <w:bookmarkStart w:id="10" w:name="_Toc512000939"/>
      <w:bookmarkStart w:id="11" w:name="_Toc509583676"/>
      <w:bookmarkStart w:id="12" w:name="_Toc510012104"/>
      <w:bookmarkStart w:id="13" w:name="_Toc511118062"/>
      <w:bookmarkStart w:id="14" w:name="_Toc511990610"/>
      <w:bookmarkStart w:id="15" w:name="_Toc511992762"/>
      <w:bookmarkStart w:id="16" w:name="_Toc511994604"/>
      <w:bookmarkStart w:id="17" w:name="_Ref512353508"/>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pPr>
        <w:shd w:val="clear" w:color="auto" w:fill="ADDBDA"/>
        <w:spacing w:line="276" w:lineRule="auto"/>
        <w:jc w:val="both"/>
        <w:rPr>
          <w:rFonts w:ascii="Times New Roman" w:hAnsi="Times New Roman" w:cs="Times New Roman"/>
          <w:noProof/>
          <w:sz w:val="24"/>
          <w:szCs w:val="24"/>
        </w:rPr>
      </w:pPr>
      <w:r>
        <w:rPr>
          <w:rFonts w:ascii="Times New Roman" w:hAnsi="Times New Roman"/>
          <w:b/>
          <w:noProof/>
          <w:sz w:val="24"/>
        </w:rPr>
        <w:t>4.1 Укрепване и разрастване на секторите за продукти на биологична основа, разгръщане на инвестициите и пазарите</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noProof/>
          <w:sz w:val="24"/>
        </w:rPr>
        <w:t xml:space="preserve">За да ускори разработването и внедряването на устойчиви и кръгови биотехнологични решения, от които зависят модернизацията, укрепването и конкурентоспособността на нашата промишлена база, ЕС ще засили </w:t>
      </w:r>
      <w:r>
        <w:rPr>
          <w:rFonts w:ascii="Times New Roman" w:hAnsi="Times New Roman"/>
          <w:b/>
          <w:noProof/>
          <w:sz w:val="24"/>
        </w:rPr>
        <w:t>мобилизирането на заинтересованите страни от публичния и частния сектор, по отношение на научните изследвания, демонстрирането и внедряването на биотехнологични решения</w:t>
      </w:r>
      <w:r>
        <w:rPr>
          <w:rFonts w:ascii="Times New Roman" w:hAnsi="Times New Roman"/>
          <w:noProof/>
          <w:sz w:val="24"/>
        </w:rPr>
        <w:t xml:space="preserve"> (Действие 1.1). Това включва, например, насърчаването на технологии като изкуствения интелект и на новаторски решения, които са подходящи за дребномащабно внедряване и е лесно да бъдат повторени. В рамките на „Хоризонт 2020“ публично-частното партньорство на ЕС по отношение на биопромишленостите е от голямо значение за развитието и внедряването на новите биотехнологични вериги за създаване на стойност въз основа на използването на възобновяеми източници, включително отпадъци.</w:t>
      </w:r>
      <w:r>
        <w:rPr>
          <w:rFonts w:ascii="Times New Roman" w:hAnsi="Times New Roman"/>
          <w:noProof/>
          <w:sz w:val="24"/>
          <w:vertAlign w:val="superscript"/>
        </w:rPr>
        <w:footnoteReference w:id="38"/>
      </w:r>
      <w:r>
        <w:rPr>
          <w:rFonts w:ascii="Times New Roman" w:hAnsi="Times New Roman"/>
          <w:noProof/>
          <w:sz w:val="24"/>
        </w:rPr>
        <w:t xml:space="preserve"> Това действие ще доведе до разработване на инструментариум от решения за преработването на биомаса в продукти на биологична основа, които ще подпомогнат модернизирането и обновяването на нашите промишлености в редица области. </w:t>
      </w:r>
    </w:p>
    <w:p>
      <w:pPr>
        <w:spacing w:line="276" w:lineRule="auto"/>
        <w:jc w:val="both"/>
        <w:rPr>
          <w:rFonts w:ascii="Times New Roman" w:eastAsiaTheme="majorEastAsia" w:hAnsi="Times New Roman" w:cs="Times New Roman"/>
          <w:noProof/>
          <w:sz w:val="24"/>
          <w:szCs w:val="24"/>
        </w:rPr>
      </w:pPr>
    </w:p>
    <w:p>
      <w:pPr>
        <w:spacing w:line="276" w:lineRule="auto"/>
        <w:jc w:val="both"/>
        <w:rPr>
          <w:rFonts w:ascii="Times New Roman" w:hAnsi="Times New Roman" w:cs="Times New Roman"/>
          <w:noProof/>
          <w:sz w:val="24"/>
          <w:szCs w:val="24"/>
        </w:rPr>
      </w:pPr>
      <w:r>
        <w:rPr>
          <w:rFonts w:ascii="Times New Roman" w:eastAsiaTheme="majorEastAsia" w:hAnsi="Times New Roman"/>
          <w:noProof/>
          <w:sz w:val="24"/>
        </w:rPr>
        <w:t xml:space="preserve">В допълнение към безвъзмездните средства за научни изследвания и иновации по „Хоризонт 2020“, ЕС ще внедри целеви финансов инструмент — </w:t>
      </w:r>
      <w:r>
        <w:rPr>
          <w:rFonts w:ascii="Times New Roman" w:eastAsiaTheme="majorEastAsia" w:hAnsi="Times New Roman"/>
          <w:b/>
          <w:noProof/>
          <w:sz w:val="24"/>
        </w:rPr>
        <w:t>тематичната инвестиционна платформа за кръговата биоикономика, в размер на 100 милиона евро</w:t>
      </w:r>
      <w:r>
        <w:rPr>
          <w:rFonts w:ascii="Times New Roman" w:eastAsiaTheme="majorEastAsia" w:hAnsi="Times New Roman"/>
          <w:noProof/>
          <w:sz w:val="24"/>
          <w:vertAlign w:val="superscript"/>
        </w:rPr>
        <w:footnoteReference w:id="39"/>
      </w:r>
      <w:r>
        <w:rPr>
          <w:rFonts w:ascii="Times New Roman" w:eastAsiaTheme="majorEastAsia" w:hAnsi="Times New Roman"/>
          <w:noProof/>
          <w:sz w:val="24"/>
        </w:rPr>
        <w:t xml:space="preserve"> (Действие 1.2) —</w:t>
      </w:r>
      <w:r>
        <w:rPr>
          <w:rFonts w:ascii="Times New Roman" w:eastAsiaTheme="majorEastAsia" w:hAnsi="Times New Roman"/>
          <w:i/>
          <w:noProof/>
          <w:sz w:val="24"/>
        </w:rPr>
        <w:t xml:space="preserve"> </w:t>
      </w:r>
      <w:r>
        <w:rPr>
          <w:rFonts w:ascii="Times New Roman" w:eastAsiaTheme="majorEastAsia" w:hAnsi="Times New Roman"/>
          <w:noProof/>
          <w:sz w:val="24"/>
        </w:rPr>
        <w:t xml:space="preserve">за намаляване на риска за частните инвестиции в устойчиви решения. Това ще изгради и заздрави синергиите с текущите и бъдещите инициативи на ЕС, като например съюза на капиталовите пазари, програмата InvestEU, общата селскостопанска политика и Иновационния фонд на схемата за търговия с емисии (СТЕ). </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noProof/>
          <w:sz w:val="24"/>
        </w:rPr>
        <w:t xml:space="preserve">За да реализира потенциала и положителните си въздействия, секторът за продукти на биологична основа трябва да бъде насърчаван и занапред и по отношение на пазарните и регулаторните условия да бъде равнопоставен спрямо секторите, които използват изкопаеми ресурси. Чрез това действие ще бъдат </w:t>
      </w:r>
      <w:r>
        <w:rPr>
          <w:rFonts w:ascii="Times New Roman" w:hAnsi="Times New Roman"/>
          <w:b/>
          <w:noProof/>
          <w:sz w:val="24"/>
        </w:rPr>
        <w:t>открити и набелязани пречките, предпоставките и пропуските, които засягат биотехнологичните иновации</w:t>
      </w:r>
      <w:r>
        <w:rPr>
          <w:rFonts w:ascii="Times New Roman" w:hAnsi="Times New Roman"/>
          <w:noProof/>
          <w:sz w:val="24"/>
        </w:rPr>
        <w:t xml:space="preserve">, и ще бъдат предоставени доброволни насоки за мащабно внедряване на иновациите, с цел популяризиране на съществуващите стандарти и маркировки и оценяване на необходимостта от разработване на нови, по-специално за продукти на биологична основа (Действие 1.3). </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noProof/>
          <w:sz w:val="24"/>
        </w:rPr>
        <w:t xml:space="preserve">За да се стимулират навлизането на пазара и доверието на потребителите, е необходимо да се използват множество инструменти. Това налага наличието на надеждна и съпоставима </w:t>
      </w:r>
      <w:r>
        <w:rPr>
          <w:rFonts w:ascii="Times New Roman" w:hAnsi="Times New Roman"/>
          <w:b/>
          <w:noProof/>
          <w:sz w:val="24"/>
        </w:rPr>
        <w:t>информация, свързана с резултатността спрямо околната среда,</w:t>
      </w:r>
      <w:r>
        <w:rPr>
          <w:rFonts w:ascii="Times New Roman" w:hAnsi="Times New Roman"/>
          <w:noProof/>
          <w:sz w:val="24"/>
        </w:rPr>
        <w:t xml:space="preserve"> и прилагането ѝ по отношение на инструментите, ориентирани към политиката за околната среда (например екомаркировката на ЕС и екологосъобразните обществени поръчки), когато тя е доказано ползотворна от екологична гледна точка. Генерирането и използването на данни трябва да съответства на метода </w:t>
      </w:r>
      <w:r>
        <w:rPr>
          <w:rFonts w:ascii="Times New Roman" w:hAnsi="Times New Roman"/>
          <w:b/>
          <w:noProof/>
          <w:sz w:val="24"/>
        </w:rPr>
        <w:t>за определяне на продуктовия отпечатък върху околната среда</w:t>
      </w:r>
      <w:r>
        <w:rPr>
          <w:rFonts w:ascii="Times New Roman" w:hAnsi="Times New Roman"/>
          <w:noProof/>
          <w:sz w:val="24"/>
        </w:rPr>
        <w:t xml:space="preserve">. Другите аспекти, които трябва да бъдат обхванати, включват насърчаването и внедряването на </w:t>
      </w:r>
      <w:r>
        <w:rPr>
          <w:rFonts w:ascii="Times New Roman" w:hAnsi="Times New Roman"/>
          <w:b/>
          <w:noProof/>
          <w:sz w:val="24"/>
        </w:rPr>
        <w:t>стандарти,</w:t>
      </w:r>
      <w:r>
        <w:rPr>
          <w:rFonts w:ascii="Times New Roman" w:hAnsi="Times New Roman"/>
          <w:noProof/>
          <w:sz w:val="24"/>
        </w:rPr>
        <w:t xml:space="preserve"> които могат да бъдат използвани за проверяване на свойствата на продуктите, като основа за съществуващите доброволни маркировки (Действие 1.4). Като цяло действията ще допринесат за диверсификацията, разработването и внедряването на биотехнологичните решения. В допълнение, те ще имат за цел да улеснят </w:t>
      </w:r>
      <w:r>
        <w:rPr>
          <w:rFonts w:ascii="Times New Roman" w:hAnsi="Times New Roman"/>
          <w:b/>
          <w:noProof/>
          <w:sz w:val="24"/>
        </w:rPr>
        <w:t>изграждането</w:t>
      </w:r>
      <w:r>
        <w:rPr>
          <w:rFonts w:ascii="Times New Roman" w:hAnsi="Times New Roman"/>
          <w:noProof/>
          <w:sz w:val="24"/>
        </w:rPr>
        <w:t xml:space="preserve"> на нови устойчиви биорафинерии, както и да потвърдят вида и очаквания потенциал, като текущите прогнози са за около 300 нови </w:t>
      </w:r>
      <w:r>
        <w:rPr>
          <w:rFonts w:ascii="Times New Roman" w:hAnsi="Times New Roman"/>
          <w:b/>
          <w:noProof/>
          <w:sz w:val="24"/>
        </w:rPr>
        <w:t>биорафинерии</w:t>
      </w:r>
      <w:r>
        <w:rPr>
          <w:rFonts w:ascii="Times New Roman" w:hAnsi="Times New Roman"/>
          <w:noProof/>
          <w:sz w:val="24"/>
        </w:rPr>
        <w:t xml:space="preserve"> (Действие 1.5).</w:t>
      </w:r>
      <w:r>
        <w:rPr>
          <w:rFonts w:ascii="Times New Roman" w:hAnsi="Times New Roman"/>
          <w:noProof/>
          <w:sz w:val="24"/>
          <w:vertAlign w:val="superscript"/>
        </w:rPr>
        <w:footnoteReference w:id="40"/>
      </w:r>
      <w:r>
        <w:rPr>
          <w:rFonts w:ascii="Times New Roman" w:hAnsi="Times New Roman"/>
          <w:noProof/>
          <w:sz w:val="24"/>
        </w:rPr>
        <w:t xml:space="preserve">  Това ще бъде направено въз основа на наличието на ресурси от устойчиви източници. </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noProof/>
          <w:sz w:val="24"/>
        </w:rPr>
        <w:t xml:space="preserve">Накрая, в усилията си да допринесат за преодоляване на глобалното предизвикателство за </w:t>
      </w:r>
      <w:r>
        <w:rPr>
          <w:rFonts w:ascii="Times New Roman" w:hAnsi="Times New Roman"/>
          <w:b/>
          <w:noProof/>
          <w:sz w:val="24"/>
        </w:rPr>
        <w:t>океани без пластмаса</w:t>
      </w:r>
      <w:r>
        <w:rPr>
          <w:rFonts w:ascii="Times New Roman" w:hAnsi="Times New Roman"/>
          <w:noProof/>
          <w:sz w:val="24"/>
        </w:rPr>
        <w:t>, като същевременно предлагат перспективи за растеж за иновационните биотехнологични продукти и стопански модели, действията ще канализират потенциала на биоикономиката, за да допринесат за справяне със замърсяването с отпадъци от пластмаса</w:t>
      </w:r>
      <w:r>
        <w:rPr>
          <w:rFonts w:ascii="Times New Roman" w:hAnsi="Times New Roman"/>
          <w:noProof/>
          <w:sz w:val="24"/>
          <w:vertAlign w:val="superscript"/>
        </w:rPr>
        <w:footnoteReference w:id="41"/>
      </w:r>
      <w:r>
        <w:rPr>
          <w:rFonts w:ascii="Times New Roman" w:hAnsi="Times New Roman"/>
          <w:noProof/>
          <w:sz w:val="24"/>
        </w:rPr>
        <w:t xml:space="preserve"> в европейските морета, океани и вътрешни води, и да възстановят качеството на водите и екосистемите (Действие 1.6). Действието например ще мобилизира основните участници във веригата за създаване на стойност в областта на пластмасите, за да се подпомогне разработването на заместители на изкопаемите ресурси, по-специално заместители на пластмасите на биологична основа, подлежащи на рециклиране и биоразградими в морска среда.</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noProof/>
          <w:sz w:val="24"/>
          <w:szCs w:val="24"/>
        </w:rPr>
      </w:pPr>
    </w:p>
    <w:p>
      <w:pPr>
        <w:shd w:val="clear" w:color="auto" w:fill="D6DF71"/>
        <w:spacing w:line="276" w:lineRule="auto"/>
        <w:jc w:val="both"/>
        <w:rPr>
          <w:rFonts w:ascii="Times New Roman" w:hAnsi="Times New Roman" w:cs="Times New Roman"/>
          <w:noProof/>
          <w:sz w:val="24"/>
          <w:szCs w:val="24"/>
        </w:rPr>
      </w:pPr>
      <w:r>
        <w:rPr>
          <w:rFonts w:ascii="Times New Roman" w:hAnsi="Times New Roman"/>
          <w:b/>
          <w:noProof/>
          <w:sz w:val="24"/>
        </w:rPr>
        <w:t>4.2 Бързо внедряване на местните биоикономики в цяла Европа</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noProof/>
          <w:sz w:val="24"/>
        </w:rPr>
        <w:t xml:space="preserve">Европейската комисия активно ще подпомага и насърчава всички видове иновации и практики за </w:t>
      </w:r>
      <w:r>
        <w:rPr>
          <w:rFonts w:ascii="Times New Roman" w:hAnsi="Times New Roman"/>
          <w:b/>
          <w:noProof/>
          <w:sz w:val="24"/>
        </w:rPr>
        <w:t>устойчиви продоволствени и селскостопански системи, горско стопанство и биотехнологично производство</w:t>
      </w:r>
      <w:r>
        <w:rPr>
          <w:rFonts w:ascii="Times New Roman" w:hAnsi="Times New Roman"/>
          <w:noProof/>
          <w:sz w:val="24"/>
        </w:rPr>
        <w:t xml:space="preserve">, като прилага системен и междусекторен подход, който свързва участниците, териториите и веригите за създаване на стойност. Тя ще разработи Програма за стратегическо внедряване (Действие 2.1), която ще предостави дългосрочна визия относно начините за устойчиво и кръгово внедряване и разрастване на биоикономиката. Този системен подход ще засяга, наред с останалото, и следните области: </w:t>
      </w:r>
    </w:p>
    <w:p>
      <w:pPr>
        <w:spacing w:line="276" w:lineRule="auto"/>
        <w:contextualSpacing/>
        <w:jc w:val="both"/>
        <w:rPr>
          <w:rFonts w:ascii="Times New Roman" w:hAnsi="Times New Roman" w:cs="Times New Roman"/>
          <w:noProof/>
          <w:sz w:val="24"/>
          <w:szCs w:val="24"/>
        </w:rPr>
      </w:pPr>
    </w:p>
    <w:p>
      <w:pPr>
        <w:numPr>
          <w:ilvl w:val="0"/>
          <w:numId w:val="44"/>
        </w:numPr>
        <w:spacing w:line="276" w:lineRule="auto"/>
        <w:ind w:left="426" w:hanging="426"/>
        <w:contextualSpacing/>
        <w:jc w:val="both"/>
        <w:rPr>
          <w:rFonts w:ascii="Times New Roman" w:hAnsi="Times New Roman" w:cs="Times New Roman"/>
          <w:noProof/>
          <w:sz w:val="24"/>
          <w:szCs w:val="24"/>
        </w:rPr>
      </w:pPr>
      <w:r>
        <w:rPr>
          <w:rFonts w:ascii="Times New Roman" w:hAnsi="Times New Roman"/>
          <w:noProof/>
          <w:sz w:val="24"/>
        </w:rPr>
        <w:t>Продоволствени и селскостопански системи, които са адаптивни към предизвикателствата на бъдещето (наземни и водни), като ще се разглеждат например въпроси, свързани с хранителните отпадъци, загубите и страничните продукти (включително рециклирането на хранителни вещества), устойчивостта, необходимостта от производство на храни, отчитащо потребностите на храненето, повече храни от устойчиво използване на моретата и океаните</w:t>
      </w:r>
      <w:r>
        <w:rPr>
          <w:rFonts w:ascii="Times New Roman" w:hAnsi="Times New Roman"/>
          <w:noProof/>
          <w:sz w:val="24"/>
          <w:vertAlign w:val="superscript"/>
        </w:rPr>
        <w:footnoteReference w:id="42"/>
      </w:r>
      <w:r>
        <w:rPr>
          <w:rFonts w:ascii="Times New Roman" w:hAnsi="Times New Roman"/>
          <w:noProof/>
          <w:sz w:val="24"/>
        </w:rPr>
        <w:t xml:space="preserve"> с увеличаване на дела на производство на аквакултури и навлизането на пазара в ЕС.</w:t>
      </w:r>
    </w:p>
    <w:p>
      <w:pPr>
        <w:numPr>
          <w:ilvl w:val="0"/>
          <w:numId w:val="44"/>
        </w:numPr>
        <w:spacing w:line="276" w:lineRule="auto"/>
        <w:ind w:left="426" w:hanging="426"/>
        <w:contextualSpacing/>
        <w:jc w:val="both"/>
        <w:rPr>
          <w:rFonts w:ascii="Times New Roman" w:hAnsi="Times New Roman" w:cs="Times New Roman"/>
          <w:noProof/>
          <w:sz w:val="24"/>
          <w:szCs w:val="24"/>
        </w:rPr>
      </w:pPr>
      <w:r>
        <w:rPr>
          <w:rFonts w:ascii="Times New Roman" w:hAnsi="Times New Roman"/>
          <w:noProof/>
          <w:sz w:val="24"/>
        </w:rPr>
        <w:t xml:space="preserve">Биотехнологични иновации, включително в селското стопанство, за разработването на нови химикали, продукти, процеси и вериги за създаване на стойност за пазарите за продукти на биологична основа в селските и крайбрежните райони, с участието на и с по-големи ползи за първичните производители.  </w:t>
      </w:r>
    </w:p>
    <w:p>
      <w:pPr>
        <w:numPr>
          <w:ilvl w:val="0"/>
          <w:numId w:val="44"/>
        </w:numPr>
        <w:spacing w:line="276" w:lineRule="auto"/>
        <w:ind w:left="426" w:hanging="426"/>
        <w:contextualSpacing/>
        <w:jc w:val="both"/>
        <w:rPr>
          <w:rFonts w:ascii="Times New Roman" w:hAnsi="Times New Roman" w:cs="Times New Roman"/>
          <w:noProof/>
          <w:sz w:val="24"/>
          <w:szCs w:val="24"/>
        </w:rPr>
      </w:pPr>
      <w:r>
        <w:rPr>
          <w:rFonts w:ascii="Times New Roman" w:hAnsi="Times New Roman"/>
          <w:noProof/>
          <w:sz w:val="24"/>
        </w:rPr>
        <w:t>Нови възможности, които възникват за сектора на горското стопанство с оглед замяната на неустойчивите суровини в строителството и в пакетирането с материали на биологична основа, както и с цел предоставяне на по-устойчиви иновации в сектори като например производството на текстилни изделия, мебели и химикали от суровини от горското стопанство, както и нови стопански модели, които се основават на оценяването на услугите в областта на горските екосистеми.</w:t>
      </w:r>
    </w:p>
    <w:p>
      <w:pPr>
        <w:numPr>
          <w:ilvl w:val="0"/>
          <w:numId w:val="44"/>
        </w:numPr>
        <w:spacing w:line="276" w:lineRule="auto"/>
        <w:ind w:left="426" w:hanging="426"/>
        <w:contextualSpacing/>
        <w:jc w:val="both"/>
        <w:rPr>
          <w:rFonts w:ascii="Times New Roman" w:hAnsi="Times New Roman" w:cs="Times New Roman"/>
          <w:noProof/>
          <w:sz w:val="24"/>
          <w:szCs w:val="24"/>
        </w:rPr>
      </w:pPr>
      <w:r>
        <w:rPr>
          <w:rFonts w:ascii="Times New Roman" w:hAnsi="Times New Roman"/>
          <w:noProof/>
          <w:sz w:val="24"/>
        </w:rPr>
        <w:t>Използване на потенциала за отглеждане на водорасли и други морски ресурси в океаните, съпроводено с разрастване и навлизане на пазара на морските биопромишлености, както и по-нататъшното интегриране на морското и наземното отглеждане на такива ресурси.</w:t>
      </w:r>
    </w:p>
    <w:p>
      <w:pPr>
        <w:spacing w:line="276" w:lineRule="auto"/>
        <w:jc w:val="both"/>
        <w:rPr>
          <w:rFonts w:ascii="Times New Roman" w:hAnsi="Times New Roman" w:cs="Times New Roman"/>
          <w:noProof/>
          <w:sz w:val="24"/>
          <w:szCs w:val="24"/>
        </w:rPr>
      </w:pPr>
    </w:p>
    <w:p>
      <w:pPr>
        <w:spacing w:before="120" w:line="276" w:lineRule="auto"/>
        <w:jc w:val="both"/>
        <w:rPr>
          <w:rFonts w:ascii="Times New Roman" w:hAnsi="Times New Roman" w:cs="Times New Roman"/>
          <w:noProof/>
          <w:sz w:val="24"/>
          <w:szCs w:val="24"/>
        </w:rPr>
      </w:pPr>
      <w:r>
        <w:rPr>
          <w:rFonts w:ascii="Times New Roman" w:hAnsi="Times New Roman"/>
          <w:noProof/>
          <w:sz w:val="24"/>
        </w:rPr>
        <w:t xml:space="preserve">Конкретните действия за разработването на Програмата за стратегическо внедряване ще представят огромния потенциал на </w:t>
      </w:r>
      <w:r>
        <w:rPr>
          <w:rFonts w:ascii="Times New Roman" w:hAnsi="Times New Roman"/>
          <w:b/>
          <w:noProof/>
          <w:sz w:val="24"/>
        </w:rPr>
        <w:t>биоикономиката за</w:t>
      </w:r>
      <w:r>
        <w:rPr>
          <w:rFonts w:ascii="Times New Roman" w:hAnsi="Times New Roman"/>
          <w:noProof/>
          <w:sz w:val="24"/>
        </w:rPr>
        <w:t xml:space="preserve"> </w:t>
      </w:r>
      <w:r>
        <w:rPr>
          <w:rFonts w:ascii="Times New Roman" w:hAnsi="Times New Roman"/>
          <w:b/>
          <w:noProof/>
          <w:sz w:val="24"/>
        </w:rPr>
        <w:t>развитието на селските, крайбрежните и градските райони.</w:t>
      </w:r>
      <w:r>
        <w:rPr>
          <w:rFonts w:ascii="Times New Roman" w:hAnsi="Times New Roman"/>
          <w:noProof/>
          <w:sz w:val="24"/>
        </w:rPr>
        <w:t xml:space="preserve"> Ще бъдат изпълнени пилотни действия (Действие 2.2), които ще подобрят синергиите между </w:t>
      </w:r>
      <w:r>
        <w:rPr>
          <w:rFonts w:ascii="Times New Roman" w:hAnsi="Times New Roman"/>
          <w:b/>
          <w:noProof/>
          <w:sz w:val="24"/>
        </w:rPr>
        <w:t>съществуващите инструменти на ЕС за подпомагане на местните дейности</w:t>
      </w:r>
      <w:r>
        <w:rPr>
          <w:rFonts w:ascii="Times New Roman" w:hAnsi="Times New Roman"/>
          <w:noProof/>
          <w:sz w:val="24"/>
        </w:rPr>
        <w:t xml:space="preserve"> и ще поставят по-ясен акцент върху биоикономиката. В първия кръг ще стартират пет пилотни действия:</w:t>
      </w:r>
    </w:p>
    <w:p>
      <w:pPr>
        <w:numPr>
          <w:ilvl w:val="0"/>
          <w:numId w:val="51"/>
        </w:numPr>
        <w:spacing w:before="120" w:after="120" w:line="276" w:lineRule="auto"/>
        <w:contextualSpacing/>
        <w:jc w:val="both"/>
        <w:rPr>
          <w:rFonts w:ascii="Times New Roman" w:eastAsiaTheme="majorEastAsia" w:hAnsi="Times New Roman" w:cs="Times New Roman"/>
          <w:noProof/>
          <w:sz w:val="24"/>
          <w:szCs w:val="24"/>
        </w:rPr>
      </w:pPr>
      <w:r>
        <w:rPr>
          <w:rFonts w:ascii="Times New Roman" w:hAnsi="Times New Roman"/>
          <w:noProof/>
          <w:sz w:val="24"/>
        </w:rPr>
        <w:t>Пилотният проект „Синя биоикономика” ще разгърне потенциала на подходите на синята биоикономика в крайбрежните райони и на островите. Стратегията на ЕС за региона на Балтийско море се оказа добър възходящ механизъм за насочване на съществуващите фондове към моделите на биоикономиката, които са адаптирани към местните условия</w:t>
      </w:r>
      <w:r>
        <w:rPr>
          <w:rFonts w:ascii="Times New Roman" w:hAnsi="Times New Roman"/>
          <w:noProof/>
          <w:sz w:val="24"/>
          <w:vertAlign w:val="superscript"/>
        </w:rPr>
        <w:footnoteReference w:id="43"/>
      </w:r>
      <w:r>
        <w:rPr>
          <w:rFonts w:ascii="Times New Roman" w:hAnsi="Times New Roman"/>
          <w:noProof/>
          <w:sz w:val="24"/>
        </w:rPr>
        <w:t>. Предлага се подобни действия да обхванат и други морски басейни, както и крайбрежни и морски райони, включително чрез използването на Европейския фонд за морско дело и рибарство.</w:t>
      </w:r>
      <w:r>
        <w:rPr>
          <w:rFonts w:ascii="Times New Roman" w:hAnsi="Times New Roman"/>
          <w:i/>
          <w:noProof/>
          <w:sz w:val="24"/>
        </w:rPr>
        <w:t xml:space="preserve"> </w:t>
      </w:r>
    </w:p>
    <w:p>
      <w:pPr>
        <w:numPr>
          <w:ilvl w:val="0"/>
          <w:numId w:val="51"/>
        </w:numPr>
        <w:spacing w:after="120" w:line="276" w:lineRule="auto"/>
        <w:contextualSpacing/>
        <w:jc w:val="both"/>
        <w:rPr>
          <w:rFonts w:ascii="Times New Roman" w:eastAsiaTheme="majorEastAsia" w:hAnsi="Times New Roman" w:cs="Times New Roman"/>
          <w:noProof/>
          <w:sz w:val="24"/>
          <w:szCs w:val="24"/>
        </w:rPr>
      </w:pPr>
      <w:r>
        <w:rPr>
          <w:rFonts w:ascii="Times New Roman" w:hAnsi="Times New Roman"/>
          <w:noProof/>
          <w:sz w:val="24"/>
        </w:rPr>
        <w:t xml:space="preserve">Конкретните намеси ще бъдат разработени в рамките на общата селскостопанска политика за подпомагане на </w:t>
      </w:r>
      <w:r>
        <w:rPr>
          <w:rFonts w:ascii="Times New Roman" w:hAnsi="Times New Roman"/>
          <w:b/>
          <w:noProof/>
          <w:sz w:val="24"/>
        </w:rPr>
        <w:t>приобщаващи биоикономики в селските райони.</w:t>
      </w:r>
      <w:r>
        <w:rPr>
          <w:rFonts w:ascii="Times New Roman" w:hAnsi="Times New Roman"/>
          <w:noProof/>
          <w:sz w:val="24"/>
        </w:rPr>
        <w:t xml:space="preserve"> Целта е по-доброто свързване на националните стратегии за биоикономиката и националните стратегически планове в рамките на общата селскостопанска политика. Разпространението на добри практики за стимулиране на внедряването на биоикономиката ще позволи на първичните производители да се възползват от възможностите, които предлагат новите системни подходи на биоикономиката.  </w:t>
      </w:r>
    </w:p>
    <w:p>
      <w:pPr>
        <w:pStyle w:val="ListParagraph"/>
        <w:numPr>
          <w:ilvl w:val="0"/>
          <w:numId w:val="47"/>
        </w:numPr>
        <w:spacing w:line="276" w:lineRule="auto"/>
        <w:jc w:val="both"/>
        <w:rPr>
          <w:rFonts w:ascii="Times New Roman" w:eastAsiaTheme="minorHAnsi" w:hAnsi="Times New Roman" w:cs="Times New Roman"/>
          <w:noProof/>
          <w:sz w:val="24"/>
          <w:szCs w:val="24"/>
        </w:rPr>
      </w:pPr>
      <w:r>
        <w:rPr>
          <w:rFonts w:ascii="Times New Roman" w:hAnsi="Times New Roman"/>
          <w:b/>
          <w:noProof/>
          <w:sz w:val="24"/>
        </w:rPr>
        <w:t>Пилотният проект за градските биоикономики</w:t>
      </w:r>
      <w:r>
        <w:rPr>
          <w:rFonts w:ascii="Times New Roman" w:hAnsi="Times New Roman"/>
          <w:noProof/>
          <w:sz w:val="24"/>
        </w:rPr>
        <w:t xml:space="preserve"> ще даде възможност на 10 европейски града да превърнат органичния отпадък от социален проблем в ценен ресурс за производството на продукти на биологична основа. Освен това рехабилитацията на изоставени промишлени терени и прилагането на процесите и технологиите на кръговата биоикономика в градските райони следва да продължат да се развиват, за да се диверсифицират устойчивите източници на биомаса и да се създадат нови  възможности за стопанска дейност. </w:t>
      </w:r>
    </w:p>
    <w:p>
      <w:pPr>
        <w:pStyle w:val="ListParagraph"/>
        <w:numPr>
          <w:ilvl w:val="0"/>
          <w:numId w:val="47"/>
        </w:numPr>
        <w:spacing w:line="276" w:lineRule="auto"/>
        <w:jc w:val="both"/>
        <w:rPr>
          <w:rFonts w:ascii="Times New Roman" w:eastAsiaTheme="minorHAnsi" w:hAnsi="Times New Roman" w:cs="Times New Roman"/>
          <w:noProof/>
          <w:sz w:val="24"/>
          <w:szCs w:val="24"/>
        </w:rPr>
      </w:pPr>
      <w:r>
        <w:rPr>
          <w:rFonts w:ascii="Times New Roman" w:hAnsi="Times New Roman"/>
          <w:b/>
          <w:noProof/>
          <w:sz w:val="24"/>
        </w:rPr>
        <w:t>Пилотният проект за земеделие с ниски въглеродни емисии</w:t>
      </w:r>
      <w:r>
        <w:rPr>
          <w:rFonts w:ascii="Times New Roman" w:hAnsi="Times New Roman"/>
          <w:noProof/>
          <w:sz w:val="24"/>
        </w:rPr>
        <w:t xml:space="preserve"> ще поощри държавите членки да създадат фонд за изкупуването на въглеродни кредити от земеделски стопани и собственици на гори, които изпълняват конкретни проекти, целящи повишено поглъщане на въглерод в почвата и биомасата и/или намаляване на емисиите в сектора на животновъдството или емисиите, свързани с използването на торове.</w:t>
      </w:r>
    </w:p>
    <w:p>
      <w:pPr>
        <w:pStyle w:val="ListParagraph"/>
        <w:numPr>
          <w:ilvl w:val="0"/>
          <w:numId w:val="47"/>
        </w:numPr>
        <w:spacing w:before="120" w:line="276" w:lineRule="auto"/>
        <w:jc w:val="both"/>
        <w:rPr>
          <w:rFonts w:ascii="Times New Roman" w:eastAsiaTheme="minorHAnsi" w:hAnsi="Times New Roman" w:cs="Times New Roman"/>
          <w:noProof/>
          <w:sz w:val="24"/>
          <w:szCs w:val="24"/>
        </w:rPr>
      </w:pPr>
      <w:r>
        <w:rPr>
          <w:rFonts w:ascii="Times New Roman" w:hAnsi="Times New Roman"/>
          <w:b/>
          <w:noProof/>
          <w:sz w:val="24"/>
        </w:rPr>
        <w:t>Ще бъдат създадени „живи лаборатории“ за разработване и изпитване на местни иновации въз основа на екологични подходи и кръговост в първичното производство и продоволствените системи.</w:t>
      </w:r>
      <w:r>
        <w:rPr>
          <w:rFonts w:ascii="Times New Roman" w:hAnsi="Times New Roman"/>
          <w:noProof/>
          <w:sz w:val="24"/>
        </w:rPr>
        <w:t xml:space="preserve"> Благодарение на това ще може иновациите да се адаптират към специфичните местни нужди, като се включват съответните заинтересовани страни и се улесняват по-нататъшното приемане и внедряване на иновациите.</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noProof/>
          <w:sz w:val="24"/>
        </w:rPr>
        <w:t xml:space="preserve">За да се гарантира, че всички територии на Съюза имат възможността да развият потенциала на своята биоикономика, в рамките на „Хоризонт 2020“ </w:t>
      </w:r>
      <w:r>
        <w:rPr>
          <w:rFonts w:ascii="Times New Roman" w:hAnsi="Times New Roman"/>
          <w:b/>
          <w:noProof/>
          <w:sz w:val="24"/>
        </w:rPr>
        <w:t xml:space="preserve">за държавите членки ще бъде създаден механизъм за подкрепа на политиката в областта на биоикономиката </w:t>
      </w:r>
      <w:r>
        <w:rPr>
          <w:rFonts w:ascii="Times New Roman" w:hAnsi="Times New Roman"/>
          <w:noProof/>
          <w:sz w:val="24"/>
        </w:rPr>
        <w:t>(Действие 2.3). Той ще подпомага разработването на национални/ регионални стратегии за биоикономиката, включително за отдалечени райони, както и за държави кандидатки и присъединяващи се държави.</w:t>
      </w:r>
      <w:r>
        <w:rPr>
          <w:rFonts w:ascii="Times New Roman" w:hAnsi="Times New Roman"/>
          <w:noProof/>
          <w:sz w:val="24"/>
          <w:vertAlign w:val="superscript"/>
        </w:rPr>
        <w:footnoteReference w:id="44"/>
      </w:r>
      <w:r>
        <w:rPr>
          <w:rFonts w:ascii="Times New Roman" w:hAnsi="Times New Roman"/>
          <w:noProof/>
          <w:sz w:val="24"/>
        </w:rPr>
        <w:t xml:space="preserve"> </w:t>
      </w:r>
    </w:p>
    <w:p>
      <w:pPr>
        <w:spacing w:line="276" w:lineRule="auto"/>
        <w:jc w:val="both"/>
        <w:rPr>
          <w:rFonts w:ascii="Times New Roman" w:hAnsi="Times New Roman" w:cs="Times New Roman"/>
          <w:noProof/>
          <w:sz w:val="24"/>
          <w:szCs w:val="24"/>
        </w:rPr>
      </w:pPr>
    </w:p>
    <w:p>
      <w:pPr>
        <w:spacing w:after="200" w:line="276" w:lineRule="auto"/>
        <w:jc w:val="both"/>
        <w:rPr>
          <w:rFonts w:ascii="Times New Roman" w:hAnsi="Times New Roman" w:cs="Times New Roman"/>
          <w:noProof/>
          <w:sz w:val="24"/>
          <w:szCs w:val="24"/>
        </w:rPr>
      </w:pPr>
      <w:r>
        <w:rPr>
          <w:rFonts w:ascii="Times New Roman" w:hAnsi="Times New Roman"/>
          <w:noProof/>
          <w:sz w:val="24"/>
        </w:rPr>
        <w:t xml:space="preserve">Системният и междусекторен характер на новите и нововъзникващите подходи на биоикономиката, както и на новите вериги на създаване на стойност ще изисква ново </w:t>
      </w:r>
      <w:r>
        <w:rPr>
          <w:rFonts w:ascii="Times New Roman" w:hAnsi="Times New Roman"/>
          <w:b/>
          <w:noProof/>
          <w:sz w:val="24"/>
        </w:rPr>
        <w:t>образование и нови умения</w:t>
      </w:r>
      <w:r>
        <w:rPr>
          <w:rFonts w:ascii="Times New Roman" w:hAnsi="Times New Roman"/>
          <w:noProof/>
          <w:sz w:val="24"/>
        </w:rPr>
        <w:t xml:space="preserve"> (Действие 2.4). Те трябва да бъдат адаптирани към различните нужди на секторите на биоикономиката (например взаимодействието на различни дисциплини, като агрологията, биорафинирането, екологията и други дисциплини), за да могат да отговарят бързо и гъвкаво на нововъзникващите и все по-нарастващи нужди на биоикономиката. Пилотното внедряване на учебните планове в центровете за професионално обучение и висшите учебни заведения, включването на социалните партньори, както и разработването на програми за предприемачество ще допринесат за осъществяването на това действие. </w:t>
      </w:r>
    </w:p>
    <w:p>
      <w:pPr>
        <w:pStyle w:val="Heading2"/>
        <w:spacing w:line="276" w:lineRule="auto"/>
        <w:rPr>
          <w:rFonts w:cs="Times New Roman"/>
          <w:noProof/>
          <w:szCs w:val="24"/>
        </w:rPr>
      </w:pPr>
    </w:p>
    <w:p>
      <w:pPr>
        <w:shd w:val="clear" w:color="auto" w:fill="ABDBFF"/>
        <w:spacing w:line="276" w:lineRule="auto"/>
        <w:rPr>
          <w:rFonts w:ascii="Times New Roman" w:hAnsi="Times New Roman" w:cs="Times New Roman"/>
          <w:b/>
          <w:noProof/>
          <w:sz w:val="24"/>
          <w:szCs w:val="24"/>
        </w:rPr>
      </w:pPr>
      <w:r>
        <w:rPr>
          <w:rFonts w:ascii="Times New Roman" w:hAnsi="Times New Roman"/>
          <w:b/>
          <w:noProof/>
          <w:sz w:val="24"/>
        </w:rPr>
        <w:t>4.3 Разбиране на екологичните граници на биоикономиката</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noProof/>
          <w:sz w:val="24"/>
        </w:rPr>
        <w:t xml:space="preserve">За да постигнем устойчивост на биоикономиката, трябва да можем по-добре да разбираме и измерваме нейните ефекти и въздействия по отношение на екологичните граници на нашата планета. Това е необходимо за развитието на биоикономиката по начин, който смекчава натиска върху околната среда, цени и опазва биологичното разнообразие и подпомага целия набор от екосистемни услуги. Посочените по-долу действия имат за цел увеличаване на общите познания и мониторинг на биоикономиката. Всички те отговарят на нуждата от задълбочени познания относно границите на устойчивите доставки на биомаса на местно, регионално и световно равнище. Тези познания ще бъдат използвани в другите оперативни действия на тази стратегия. Тези действия ще осигурят основата за укрепване на устойчивостта на земните и морските екосистеми, ще подобрят тяхното биологично разнообразие и ще гарантират приноса им за смекчаването на изменението на климата, </w:t>
      </w:r>
      <w:r>
        <w:rPr>
          <w:rFonts w:ascii="Times New Roman" w:hAnsi="Times New Roman"/>
          <w:noProof/>
        </w:rPr>
        <w:t>като същевременно нашата основана на изкопаеми горива икономика се превърне в биотехнологична икономика</w:t>
      </w:r>
      <w:r>
        <w:rPr>
          <w:rFonts w:ascii="Times New Roman" w:hAnsi="Times New Roman"/>
          <w:noProof/>
          <w:sz w:val="24"/>
        </w:rPr>
        <w:t>.</w:t>
      </w:r>
    </w:p>
    <w:p>
      <w:pPr>
        <w:spacing w:line="276" w:lineRule="auto"/>
        <w:jc w:val="both"/>
        <w:rPr>
          <w:rFonts w:ascii="Times New Roman" w:hAnsi="Times New Roman" w:cs="Times New Roman"/>
          <w:noProof/>
          <w:sz w:val="24"/>
          <w:szCs w:val="24"/>
        </w:rPr>
      </w:pPr>
    </w:p>
    <w:p>
      <w:pPr>
        <w:spacing w:before="120" w:line="276" w:lineRule="auto"/>
        <w:jc w:val="both"/>
        <w:rPr>
          <w:rFonts w:ascii="Times New Roman" w:hAnsi="Times New Roman" w:cs="Times New Roman"/>
          <w:noProof/>
          <w:sz w:val="24"/>
          <w:szCs w:val="24"/>
        </w:rPr>
      </w:pPr>
      <w:r>
        <w:rPr>
          <w:rFonts w:ascii="Times New Roman" w:hAnsi="Times New Roman"/>
          <w:noProof/>
          <w:sz w:val="24"/>
        </w:rPr>
        <w:t xml:space="preserve">Увеличаването на </w:t>
      </w:r>
      <w:r>
        <w:rPr>
          <w:rFonts w:ascii="Times New Roman" w:hAnsi="Times New Roman"/>
          <w:b/>
          <w:noProof/>
          <w:sz w:val="24"/>
        </w:rPr>
        <w:t>базата от знания</w:t>
      </w:r>
      <w:r>
        <w:rPr>
          <w:rFonts w:ascii="Times New Roman" w:hAnsi="Times New Roman"/>
          <w:noProof/>
          <w:sz w:val="24"/>
        </w:rPr>
        <w:t xml:space="preserve"> и </w:t>
      </w:r>
      <w:r>
        <w:rPr>
          <w:rFonts w:ascii="Times New Roman" w:hAnsi="Times New Roman"/>
          <w:b/>
          <w:noProof/>
          <w:sz w:val="24"/>
        </w:rPr>
        <w:t>разбирането</w:t>
      </w:r>
      <w:r>
        <w:rPr>
          <w:rFonts w:ascii="Times New Roman" w:hAnsi="Times New Roman"/>
          <w:noProof/>
          <w:sz w:val="24"/>
        </w:rPr>
        <w:t xml:space="preserve"> на специфичните области на биоикономиката (Действие 3.1) ще се основават на получаването на </w:t>
      </w:r>
      <w:r>
        <w:rPr>
          <w:rFonts w:ascii="Times New Roman" w:hAnsi="Times New Roman"/>
          <w:b/>
          <w:noProof/>
          <w:sz w:val="24"/>
        </w:rPr>
        <w:t>повече данни</w:t>
      </w:r>
      <w:r>
        <w:rPr>
          <w:rFonts w:ascii="Times New Roman" w:hAnsi="Times New Roman"/>
          <w:noProof/>
          <w:sz w:val="24"/>
        </w:rPr>
        <w:t xml:space="preserve">, генерирането на </w:t>
      </w:r>
      <w:r>
        <w:rPr>
          <w:rFonts w:ascii="Times New Roman" w:hAnsi="Times New Roman"/>
          <w:b/>
          <w:noProof/>
          <w:sz w:val="24"/>
        </w:rPr>
        <w:t>по-добра информация</w:t>
      </w:r>
      <w:r>
        <w:rPr>
          <w:rFonts w:ascii="Times New Roman" w:hAnsi="Times New Roman"/>
          <w:noProof/>
          <w:sz w:val="24"/>
        </w:rPr>
        <w:t xml:space="preserve"> и </w:t>
      </w:r>
      <w:r>
        <w:rPr>
          <w:rFonts w:ascii="Times New Roman" w:hAnsi="Times New Roman"/>
          <w:b/>
          <w:noProof/>
          <w:sz w:val="24"/>
        </w:rPr>
        <w:t>систематичното анализиране (например чрез изкуствен интелект) на данни и информация,</w:t>
      </w:r>
      <w:r>
        <w:rPr>
          <w:rFonts w:ascii="Times New Roman" w:hAnsi="Times New Roman"/>
          <w:noProof/>
          <w:sz w:val="24"/>
        </w:rPr>
        <w:t xml:space="preserve"> които включват:</w:t>
      </w:r>
    </w:p>
    <w:p>
      <w:pPr>
        <w:pStyle w:val="ListParagraph"/>
        <w:numPr>
          <w:ilvl w:val="0"/>
          <w:numId w:val="46"/>
        </w:numPr>
        <w:spacing w:before="120" w:after="120" w:line="276" w:lineRule="auto"/>
        <w:jc w:val="both"/>
        <w:rPr>
          <w:rFonts w:ascii="Times New Roman" w:hAnsi="Times New Roman" w:cs="Times New Roman"/>
          <w:noProof/>
          <w:sz w:val="24"/>
          <w:szCs w:val="24"/>
        </w:rPr>
      </w:pPr>
      <w:r>
        <w:rPr>
          <w:rFonts w:ascii="Times New Roman" w:hAnsi="Times New Roman"/>
          <w:noProof/>
          <w:sz w:val="24"/>
        </w:rPr>
        <w:t xml:space="preserve">състоянието и устойчивостта на наземните (селскостопанските и горските) и морските екосистеми и тяхното биологичното разнообразие. Това обхваща свързаните с тях социално-икономически разходи и ползи, както и способността им да служат като устойчив местен източник на биомаса, да поглъщат въглерод и да увеличават устойчивостта спрямо изменението на климата, </w:t>
      </w:r>
    </w:p>
    <w:p>
      <w:pPr>
        <w:pStyle w:val="ListParagraph"/>
        <w:numPr>
          <w:ilvl w:val="0"/>
          <w:numId w:val="46"/>
        </w:num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устойчивото наличие на биомаса, както и публичните и частните инвестиции в биоикономиката. </w:t>
      </w:r>
    </w:p>
    <w:p>
      <w:pPr>
        <w:spacing w:line="276" w:lineRule="auto"/>
        <w:jc w:val="both"/>
        <w:rPr>
          <w:rFonts w:ascii="Times New Roman" w:hAnsi="Times New Roman" w:cs="Times New Roman"/>
          <w:noProof/>
          <w:sz w:val="24"/>
          <w:szCs w:val="24"/>
        </w:rPr>
      </w:pPr>
    </w:p>
    <w:p>
      <w:pPr>
        <w:spacing w:line="276" w:lineRule="auto"/>
        <w:jc w:val="both"/>
        <w:rPr>
          <w:rFonts w:ascii="Times New Roman" w:eastAsiaTheme="minorHAnsi" w:hAnsi="Times New Roman" w:cs="Times New Roman"/>
          <w:noProof/>
          <w:sz w:val="24"/>
          <w:szCs w:val="24"/>
        </w:rPr>
      </w:pPr>
      <w:r>
        <w:rPr>
          <w:rFonts w:ascii="Times New Roman" w:hAnsi="Times New Roman"/>
          <w:noProof/>
          <w:sz w:val="24"/>
        </w:rPr>
        <w:t xml:space="preserve">Увеличаването на базата от знания ще включва междусекторно оценяване, моделиране и сценарии с оглед на бъдещото развитие. Напредъкът на биоикономиката ще бъде обект на систематичен мониторинг с цел отговорно и приобщаващо управление, както и съгласувано създаване на политики. </w:t>
      </w:r>
      <w:r>
        <w:rPr>
          <w:rFonts w:ascii="Times New Roman" w:hAnsi="Times New Roman"/>
          <w:b/>
          <w:noProof/>
          <w:sz w:val="24"/>
        </w:rPr>
        <w:t>Състоянието на биологичното разнообразие, екосистемите, деградиралите земни площи и земите, застрашени от последиците от изменението на климата,</w:t>
      </w:r>
      <w:r>
        <w:rPr>
          <w:rFonts w:ascii="Times New Roman" w:hAnsi="Times New Roman"/>
          <w:noProof/>
          <w:sz w:val="24"/>
        </w:rPr>
        <w:t xml:space="preserve"> като например опустиняване, също ще бъдат подложени на мониторинг с цел възстановяване на земните и морските екосистеми. Комисията ще внедри </w:t>
      </w:r>
      <w:r>
        <w:rPr>
          <w:rFonts w:ascii="Times New Roman" w:hAnsi="Times New Roman"/>
          <w:b/>
          <w:noProof/>
          <w:sz w:val="24"/>
        </w:rPr>
        <w:t>международно съгласувана система за мониторинг</w:t>
      </w:r>
      <w:r>
        <w:rPr>
          <w:rFonts w:ascii="Times New Roman" w:hAnsi="Times New Roman"/>
          <w:noProof/>
          <w:sz w:val="24"/>
        </w:rPr>
        <w:t xml:space="preserve"> в рамките на ЕС (Действие 3.2), за да следи напредъка към устойчива, кръгова биоикономика в Европа и да укрепи свързаните с нея области на политиката. Придобитите познания ще послужат за предоставяне на доброволни насоки за</w:t>
      </w:r>
      <w:r>
        <w:rPr>
          <w:rFonts w:ascii="Times New Roman" w:hAnsi="Times New Roman"/>
          <w:b/>
          <w:noProof/>
          <w:sz w:val="24"/>
        </w:rPr>
        <w:t xml:space="preserve"> функциониране на биоикономиката в рамките на безопасните екологични граници</w:t>
      </w:r>
      <w:r>
        <w:rPr>
          <w:rFonts w:ascii="Times New Roman" w:hAnsi="Times New Roman"/>
          <w:noProof/>
          <w:sz w:val="24"/>
        </w:rPr>
        <w:t xml:space="preserve"> (Действие 3.3).</w:t>
      </w:r>
    </w:p>
    <w:p>
      <w:pPr>
        <w:spacing w:line="276" w:lineRule="auto"/>
        <w:jc w:val="both"/>
        <w:rPr>
          <w:rFonts w:ascii="Times New Roman" w:hAnsi="Times New Roman" w:cs="Times New Roman"/>
          <w:noProof/>
          <w:sz w:val="24"/>
          <w:szCs w:val="24"/>
        </w:rPr>
      </w:pPr>
      <w:r>
        <w:rPr>
          <w:rFonts w:ascii="Times New Roman" w:hAnsi="Times New Roman"/>
          <w:noProof/>
          <w:sz w:val="24"/>
        </w:rPr>
        <w:t xml:space="preserve">Ползите от екосистеми с богато биологично разнообразие ще бъдат по-добре интегрирани в първичното производство чрез специфично подпомагане на агроекологията, чрез разработване на решения, основани на микробиоми, чрез нови инструменти за интегрирането на опрашители във веригите на създаване на стойност, както и чрез специфично подпомагане за агроекологията (Действие 3.4). </w:t>
      </w:r>
    </w:p>
    <w:p>
      <w:pPr>
        <w:spacing w:line="276" w:lineRule="auto"/>
        <w:jc w:val="both"/>
        <w:rPr>
          <w:rFonts w:ascii="Times New Roman" w:hAnsi="Times New Roman" w:cs="Times New Roman"/>
          <w:noProof/>
          <w:sz w:val="24"/>
          <w:szCs w:val="24"/>
        </w:rPr>
      </w:pPr>
      <w:r>
        <w:rPr>
          <w:rFonts w:ascii="Times New Roman" w:hAnsi="Times New Roman"/>
          <w:noProof/>
          <w:sz w:val="24"/>
        </w:rPr>
        <w:t xml:space="preserve">Данните и информацията, генерирани от тези действия ще бъдат публично оповестени чрез Центъра за знания в областта на биоикономиката. </w:t>
      </w:r>
    </w:p>
    <w:p>
      <w:pPr>
        <w:spacing w:line="276" w:lineRule="auto"/>
        <w:jc w:val="both"/>
        <w:rPr>
          <w:rFonts w:ascii="Times New Roman" w:hAnsi="Times New Roman" w:cs="Times New Roman"/>
          <w:noProof/>
          <w:sz w:val="24"/>
          <w:szCs w:val="24"/>
        </w:rPr>
      </w:pPr>
    </w:p>
    <w:p>
      <w:pPr>
        <w:spacing w:line="276" w:lineRule="auto"/>
        <w:rPr>
          <w:rFonts w:ascii="Times New Roman" w:eastAsiaTheme="minorHAnsi" w:hAnsi="Times New Roman" w:cs="Times New Roman"/>
          <w:b/>
          <w:noProof/>
          <w:sz w:val="24"/>
          <w:szCs w:val="24"/>
        </w:rPr>
      </w:pPr>
    </w:p>
    <w:p>
      <w:pPr>
        <w:keepNext/>
        <w:spacing w:line="276" w:lineRule="auto"/>
        <w:rPr>
          <w:rFonts w:ascii="Times New Roman" w:hAnsi="Times New Roman" w:cs="Times New Roman"/>
          <w:b/>
          <w:noProof/>
          <w:sz w:val="24"/>
          <w:szCs w:val="24"/>
        </w:rPr>
      </w:pPr>
      <w:r>
        <w:rPr>
          <w:rFonts w:ascii="Times New Roman" w:eastAsiaTheme="minorHAnsi" w:hAnsi="Times New Roman"/>
          <w:b/>
          <w:noProof/>
          <w:sz w:val="24"/>
        </w:rPr>
        <w:t xml:space="preserve">5. Заключение </w:t>
      </w:r>
    </w:p>
    <w:p>
      <w:pPr>
        <w:keepNext/>
        <w:spacing w:line="276" w:lineRule="auto"/>
        <w:rPr>
          <w:rFonts w:ascii="Times New Roman" w:hAnsi="Times New Roman" w:cs="Times New Roman"/>
          <w:b/>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noProof/>
          <w:sz w:val="24"/>
        </w:rPr>
        <w:t xml:space="preserve">Ограничените биологични ресурси и екосистеми на нашата планета са от решаващо значение за изхранването на хората и за доставянето на чиста вода, както и на достъпна и чиста енергия. На устойчивата биоикономика се пада важна роля за справянето с изменението на климата и деградирането на земите и екосистемите. Тя ще решава въпроси, свързани с нарастващото търсене на храни, фуражи, енергия, материали и продукти, причинено от увеличаващата се численост на световното население, и ще намали зависимостта ни от невъзобновяемите ресурси. </w:t>
      </w:r>
    </w:p>
    <w:p>
      <w:pPr>
        <w:spacing w:before="120" w:line="276" w:lineRule="auto"/>
        <w:jc w:val="both"/>
        <w:rPr>
          <w:rFonts w:ascii="Times New Roman" w:hAnsi="Times New Roman" w:cs="Times New Roman"/>
          <w:noProof/>
          <w:sz w:val="24"/>
          <w:szCs w:val="24"/>
        </w:rPr>
      </w:pPr>
      <w:r>
        <w:rPr>
          <w:rFonts w:ascii="Times New Roman" w:hAnsi="Times New Roman"/>
          <w:noProof/>
          <w:sz w:val="24"/>
        </w:rPr>
        <w:t xml:space="preserve">Внедряването на устойчива и кръгова биоикономика ще насърчи конкурентоспособността на секторите на биоикономиката и ще подпомогне създаването на нови вериги на стойността в цяла Европа, като ще подобри общото състояние на природните ни ресурси. Тази биоикономика ще разчита на и ще се възползва основно от наличните на местно равнище устойчиви възобновяеми източници, както и от напредъка в науката, технологиите и иновациите, които обединяват физическия, дигиталния и биологичния свят, в някои от най-важните сектори и промишлености в ЕС. </w:t>
      </w:r>
    </w:p>
    <w:p>
      <w:pPr>
        <w:spacing w:before="120" w:line="276" w:lineRule="auto"/>
        <w:jc w:val="both"/>
        <w:rPr>
          <w:rFonts w:ascii="Times New Roman" w:hAnsi="Times New Roman" w:cs="Times New Roman"/>
          <w:noProof/>
          <w:sz w:val="24"/>
          <w:szCs w:val="24"/>
        </w:rPr>
      </w:pPr>
      <w:r>
        <w:rPr>
          <w:rFonts w:ascii="Times New Roman" w:hAnsi="Times New Roman"/>
          <w:noProof/>
          <w:sz w:val="24"/>
        </w:rPr>
        <w:t xml:space="preserve">Тази стратегия предлага действия за подпомагане на развитието на селските и крайбрежните райони, както и на отдалечени райони, като гарантира по-пропорционално разпределяне на ползите от една конкурентоспособна и устойчива биоикономика във всички европейски територии и вериги за създаване на стойност. Тези действия ще гарантират, че биоикономиката е съобразена с пределите на нашата планета. Устойчивата биоикономика трябва да цени природните ресурси, да намалява натиска върху околната среда, да увеличава използването на устойчиви възобновяеми продукти, както и да възстановява и подобрява функциите на екосистемите и биологичното разнообразие. Тя ще насърчава по-устойчиви, кръгови продоволствени системи с оползотворяване на хранителните отпадъци, както и първично производство на суша и по море. </w:t>
      </w:r>
    </w:p>
    <w:p>
      <w:pPr>
        <w:spacing w:before="120" w:after="200" w:line="276" w:lineRule="auto"/>
        <w:jc w:val="both"/>
        <w:rPr>
          <w:rFonts w:ascii="Times New Roman" w:hAnsi="Times New Roman" w:cs="Times New Roman"/>
          <w:noProof/>
          <w:sz w:val="24"/>
          <w:szCs w:val="24"/>
        </w:rPr>
      </w:pPr>
      <w:r>
        <w:rPr>
          <w:rFonts w:ascii="Times New Roman" w:hAnsi="Times New Roman"/>
          <w:noProof/>
          <w:sz w:val="24"/>
        </w:rPr>
        <w:t>Постигането на устойчива кръгова биоикономика означава, че икономическият ни просперитет и здравето на нашата околна среда ще се укрепват взаимно. За да гарантира ефективното осъществяване на предложените цели на политиката, Комисията ще докладва редовно относно напредъка на плана за действие и се ангажира да адаптира или да преустанови дейностите, които не допринасят за целите на стратегията по задоволителен начин.</w:t>
      </w:r>
    </w:p>
    <w:p>
      <w:pPr>
        <w:spacing w:before="120" w:after="200" w:line="276" w:lineRule="auto"/>
        <w:jc w:val="both"/>
        <w:rPr>
          <w:rFonts w:ascii="Times New Roman" w:hAnsi="Times New Roman" w:cs="Times New Roman"/>
          <w:noProof/>
          <w:sz w:val="24"/>
          <w:szCs w:val="24"/>
        </w:rPr>
      </w:pPr>
    </w:p>
    <w:p>
      <w:pPr>
        <w:spacing w:before="120" w:after="200" w:line="276" w:lineRule="auto"/>
        <w:jc w:val="both"/>
        <w:rPr>
          <w:rFonts w:ascii="Times New Roman" w:hAnsi="Times New Roman" w:cs="Times New Roman"/>
          <w:noProof/>
          <w:sz w:val="24"/>
          <w:szCs w:val="24"/>
        </w:rPr>
      </w:pPr>
    </w:p>
    <w:p>
      <w:pPr>
        <w:spacing w:before="120" w:after="200" w:line="276" w:lineRule="auto"/>
        <w:jc w:val="both"/>
        <w:rPr>
          <w:rFonts w:ascii="Times New Roman" w:hAnsi="Times New Roman" w:cs="Times New Roman"/>
          <w:noProof/>
          <w:sz w:val="24"/>
          <w:szCs w:val="24"/>
        </w:rPr>
      </w:pPr>
    </w:p>
    <w:p>
      <w:pPr>
        <w:spacing w:before="120" w:after="200" w:line="276" w:lineRule="auto"/>
        <w:jc w:val="both"/>
        <w:rPr>
          <w:rFonts w:ascii="Times New Roman" w:hAnsi="Times New Roman" w:cs="Times New Roman"/>
          <w:noProof/>
          <w:sz w:val="24"/>
          <w:szCs w:val="24"/>
        </w:rPr>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pPr>
    </w:p>
    <w:tbl>
      <w:tblPr>
        <w:tblStyle w:val="LightShading"/>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gridCol w:w="4961"/>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Borders>
              <w:top w:val="none" w:sz="0" w:space="0" w:color="auto"/>
              <w:left w:val="none" w:sz="0" w:space="0" w:color="auto"/>
              <w:bottom w:val="none" w:sz="0" w:space="0" w:color="auto"/>
              <w:right w:val="none" w:sz="0" w:space="0" w:color="auto"/>
            </w:tcBorders>
            <w:shd w:val="clear" w:color="auto" w:fill="auto"/>
          </w:tcPr>
          <w:p>
            <w:pPr>
              <w:spacing w:after="120" w:line="276" w:lineRule="auto"/>
              <w:ind w:right="178"/>
              <w:jc w:val="center"/>
              <w:rPr>
                <w:rFonts w:ascii="Times New Roman" w:hAnsi="Times New Roman" w:cs="Times New Roman"/>
                <w:noProof/>
                <w:sz w:val="32"/>
                <w:szCs w:val="24"/>
              </w:rPr>
            </w:pPr>
            <w:r>
              <w:rPr>
                <w:rFonts w:ascii="Times New Roman" w:hAnsi="Times New Roman"/>
                <w:noProof/>
                <w:sz w:val="32"/>
              </w:rPr>
              <w:t>Наименование на действието</w:t>
            </w:r>
          </w:p>
        </w:tc>
        <w:tc>
          <w:tcPr>
            <w:tcW w:w="4961" w:type="dxa"/>
            <w:tcBorders>
              <w:top w:val="none" w:sz="0" w:space="0" w:color="auto"/>
              <w:left w:val="none" w:sz="0" w:space="0" w:color="auto"/>
              <w:bottom w:val="none" w:sz="0" w:space="0" w:color="auto"/>
              <w:right w:val="none" w:sz="0" w:space="0" w:color="auto"/>
            </w:tcBorders>
            <w:shd w:val="clear" w:color="auto" w:fill="auto"/>
          </w:tcPr>
          <w:p>
            <w:pPr>
              <w:spacing w:after="12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noProof/>
                <w:sz w:val="32"/>
                <w:szCs w:val="24"/>
              </w:rPr>
            </w:pPr>
            <w:r>
              <w:rPr>
                <w:rFonts w:ascii="Times New Roman" w:hAnsi="Times New Roman"/>
                <w:noProof/>
                <w:sz w:val="32"/>
              </w:rPr>
              <w:t>Участници</w:t>
            </w:r>
          </w:p>
          <w:p>
            <w:pPr>
              <w:spacing w:after="12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32"/>
                <w:szCs w:val="24"/>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1" w:type="dxa"/>
            <w:gridSpan w:val="2"/>
            <w:tcBorders>
              <w:left w:val="none" w:sz="0" w:space="0" w:color="auto"/>
              <w:right w:val="none" w:sz="0" w:space="0" w:color="auto"/>
            </w:tcBorders>
            <w:shd w:val="clear" w:color="auto" w:fill="auto"/>
          </w:tcPr>
          <w:p>
            <w:pPr>
              <w:spacing w:after="120" w:line="276" w:lineRule="auto"/>
              <w:ind w:left="174" w:right="178"/>
              <w:jc w:val="center"/>
              <w:rPr>
                <w:rFonts w:ascii="Times New Roman" w:hAnsi="Times New Roman" w:cs="Times New Roman"/>
                <w:noProof/>
                <w:sz w:val="28"/>
                <w:szCs w:val="24"/>
              </w:rPr>
            </w:pPr>
            <w:r>
              <w:rPr>
                <w:rFonts w:ascii="Times New Roman" w:hAnsi="Times New Roman"/>
                <w:noProof/>
                <w:sz w:val="28"/>
              </w:rPr>
              <w:t>1 Укрепване и разрастване на секторите за продукти на биологична основа, разгръщане на инвестициите и пазарите</w:t>
            </w:r>
          </w:p>
        </w:tc>
      </w:tr>
      <w:tr>
        <w:tc>
          <w:tcPr>
            <w:cnfStyle w:val="001000000000" w:firstRow="0" w:lastRow="0" w:firstColumn="1" w:lastColumn="0" w:oddVBand="0" w:evenVBand="0" w:oddHBand="0" w:evenHBand="0" w:firstRowFirstColumn="0" w:firstRowLastColumn="0" w:lastRowFirstColumn="0" w:lastRowLastColumn="0"/>
            <w:tcW w:w="10490" w:type="dxa"/>
            <w:shd w:val="clear" w:color="auto" w:fill="auto"/>
          </w:tcPr>
          <w:p>
            <w:pPr>
              <w:spacing w:after="120" w:line="276" w:lineRule="auto"/>
              <w:ind w:left="174" w:right="178"/>
              <w:jc w:val="both"/>
              <w:rPr>
                <w:rFonts w:ascii="Times New Roman" w:hAnsi="Times New Roman" w:cs="Times New Roman"/>
                <w:b w:val="0"/>
                <w:noProof/>
                <w:sz w:val="24"/>
                <w:szCs w:val="24"/>
              </w:rPr>
            </w:pPr>
            <w:r>
              <w:rPr>
                <w:rFonts w:ascii="Times New Roman" w:hAnsi="Times New Roman"/>
                <w:b w:val="0"/>
                <w:noProof/>
                <w:sz w:val="24"/>
              </w:rPr>
              <w:t>1.1 Мобилизиране на заинтересованите страни от публичния и частния сектор по отношение на научните изследвания, демонстрирането и внедряването на биотехнологични решения</w:t>
            </w:r>
          </w:p>
        </w:tc>
        <w:tc>
          <w:tcPr>
            <w:tcW w:w="4961" w:type="dxa"/>
            <w:shd w:val="clear" w:color="auto" w:fill="auto"/>
          </w:tcPr>
          <w:p>
            <w:pPr>
              <w:spacing w:after="120" w:line="276" w:lineRule="auto"/>
              <w:ind w:left="1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Комисията, държавите членки и регионите, заинтересованите страни</w:t>
            </w:r>
          </w:p>
          <w:p>
            <w:pPr>
              <w:spacing w:after="120" w:line="276" w:lineRule="auto"/>
              <w:ind w:left="1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Borders>
              <w:left w:val="none" w:sz="0" w:space="0" w:color="auto"/>
              <w:right w:val="none" w:sz="0" w:space="0" w:color="auto"/>
            </w:tcBorders>
            <w:shd w:val="clear" w:color="auto" w:fill="auto"/>
          </w:tcPr>
          <w:p>
            <w:pPr>
              <w:spacing w:after="120" w:line="276" w:lineRule="auto"/>
              <w:ind w:left="174" w:right="178"/>
              <w:jc w:val="both"/>
              <w:rPr>
                <w:rFonts w:ascii="Times New Roman" w:hAnsi="Times New Roman" w:cs="Times New Roman"/>
                <w:b w:val="0"/>
                <w:noProof/>
                <w:sz w:val="24"/>
                <w:szCs w:val="24"/>
              </w:rPr>
            </w:pPr>
            <w:r>
              <w:rPr>
                <w:rFonts w:ascii="Times New Roman" w:hAnsi="Times New Roman"/>
                <w:b w:val="0"/>
                <w:noProof/>
                <w:sz w:val="24"/>
              </w:rPr>
              <w:t xml:space="preserve">1.2 Стартиране на тематичната инвестиционна платформа за кръговата биоикономика, в размер на 100 милиона евро </w:t>
            </w:r>
          </w:p>
        </w:tc>
        <w:tc>
          <w:tcPr>
            <w:tcW w:w="4961" w:type="dxa"/>
            <w:tcBorders>
              <w:left w:val="none" w:sz="0" w:space="0" w:color="auto"/>
              <w:right w:val="none" w:sz="0" w:space="0" w:color="auto"/>
            </w:tcBorders>
            <w:shd w:val="clear" w:color="auto" w:fill="auto"/>
          </w:tcPr>
          <w:p>
            <w:pPr>
              <w:spacing w:after="120" w:line="276" w:lineRule="auto"/>
              <w:ind w:left="17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Комисията</w:t>
            </w:r>
          </w:p>
          <w:p>
            <w:pPr>
              <w:spacing w:after="120" w:line="276" w:lineRule="auto"/>
              <w:ind w:left="17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p>
        </w:tc>
      </w:tr>
      <w:tr>
        <w:tc>
          <w:tcPr>
            <w:cnfStyle w:val="001000000000" w:firstRow="0" w:lastRow="0" w:firstColumn="1" w:lastColumn="0" w:oddVBand="0" w:evenVBand="0" w:oddHBand="0" w:evenHBand="0" w:firstRowFirstColumn="0" w:firstRowLastColumn="0" w:lastRowFirstColumn="0" w:lastRowLastColumn="0"/>
            <w:tcW w:w="10490" w:type="dxa"/>
            <w:shd w:val="clear" w:color="auto" w:fill="auto"/>
          </w:tcPr>
          <w:p>
            <w:pPr>
              <w:spacing w:after="120" w:line="276" w:lineRule="auto"/>
              <w:ind w:left="174" w:right="178"/>
              <w:jc w:val="both"/>
              <w:rPr>
                <w:rFonts w:ascii="Times New Roman" w:hAnsi="Times New Roman" w:cs="Times New Roman"/>
                <w:b w:val="0"/>
                <w:noProof/>
                <w:sz w:val="24"/>
                <w:szCs w:val="24"/>
              </w:rPr>
            </w:pPr>
            <w:r>
              <w:rPr>
                <w:rFonts w:ascii="Times New Roman" w:hAnsi="Times New Roman"/>
                <w:b w:val="0"/>
                <w:noProof/>
                <w:sz w:val="24"/>
              </w:rPr>
              <w:t>1.3 Проучване и анализ на предпоставките и пречките, предоставяне на доброволни насоки за внедряване на биотехнологични иновации</w:t>
            </w:r>
          </w:p>
        </w:tc>
        <w:tc>
          <w:tcPr>
            <w:tcW w:w="4961" w:type="dxa"/>
            <w:shd w:val="clear" w:color="auto" w:fill="auto"/>
          </w:tcPr>
          <w:p>
            <w:pPr>
              <w:spacing w:after="120" w:line="276" w:lineRule="auto"/>
              <w:ind w:left="1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Комисията</w:t>
            </w:r>
          </w:p>
          <w:p>
            <w:pPr>
              <w:spacing w:after="120" w:line="276" w:lineRule="auto"/>
              <w:ind w:left="1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Borders>
              <w:left w:val="none" w:sz="0" w:space="0" w:color="auto"/>
              <w:right w:val="none" w:sz="0" w:space="0" w:color="auto"/>
            </w:tcBorders>
            <w:shd w:val="clear" w:color="auto" w:fill="auto"/>
          </w:tcPr>
          <w:p>
            <w:pPr>
              <w:spacing w:after="120" w:line="276" w:lineRule="auto"/>
              <w:ind w:left="174" w:right="178"/>
              <w:jc w:val="both"/>
              <w:rPr>
                <w:rFonts w:ascii="Times New Roman" w:hAnsi="Times New Roman" w:cs="Times New Roman"/>
                <w:b w:val="0"/>
                <w:noProof/>
                <w:sz w:val="24"/>
                <w:szCs w:val="24"/>
              </w:rPr>
            </w:pPr>
            <w:r>
              <w:rPr>
                <w:rFonts w:ascii="Times New Roman" w:hAnsi="Times New Roman"/>
                <w:b w:val="0"/>
                <w:noProof/>
                <w:sz w:val="24"/>
              </w:rPr>
              <w:t>1.4 Насърчаване и/или разработване на стандарти и нововъзникващи пазарни стимули, подобряване на маркировки, които са приложими по отношение на продукти на биологична основа, на базата на надеждни и съпоставими данни относно резултатността спрямо околната среда и климата</w:t>
            </w:r>
          </w:p>
        </w:tc>
        <w:tc>
          <w:tcPr>
            <w:tcW w:w="4961" w:type="dxa"/>
            <w:tcBorders>
              <w:left w:val="none" w:sz="0" w:space="0" w:color="auto"/>
              <w:right w:val="none" w:sz="0" w:space="0" w:color="auto"/>
            </w:tcBorders>
            <w:shd w:val="clear" w:color="auto" w:fill="auto"/>
          </w:tcPr>
          <w:p>
            <w:pPr>
              <w:spacing w:after="120" w:line="276" w:lineRule="auto"/>
              <w:ind w:left="17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Комисията и държавите членки/ заинтересованите страни</w:t>
            </w:r>
          </w:p>
          <w:p>
            <w:pPr>
              <w:spacing w:after="120" w:line="276" w:lineRule="auto"/>
              <w:ind w:left="17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p>
        </w:tc>
      </w:tr>
      <w:tr>
        <w:tc>
          <w:tcPr>
            <w:cnfStyle w:val="001000000000" w:firstRow="0" w:lastRow="0" w:firstColumn="1" w:lastColumn="0" w:oddVBand="0" w:evenVBand="0" w:oddHBand="0" w:evenHBand="0" w:firstRowFirstColumn="0" w:firstRowLastColumn="0" w:lastRowFirstColumn="0" w:lastRowLastColumn="0"/>
            <w:tcW w:w="10490" w:type="dxa"/>
            <w:shd w:val="clear" w:color="auto" w:fill="auto"/>
          </w:tcPr>
          <w:p>
            <w:pPr>
              <w:spacing w:after="120" w:line="276" w:lineRule="auto"/>
              <w:ind w:left="174" w:right="178"/>
              <w:jc w:val="both"/>
              <w:rPr>
                <w:rFonts w:ascii="Times New Roman" w:hAnsi="Times New Roman" w:cs="Times New Roman"/>
                <w:b w:val="0"/>
                <w:noProof/>
                <w:sz w:val="24"/>
                <w:szCs w:val="24"/>
              </w:rPr>
            </w:pPr>
            <w:r>
              <w:rPr>
                <w:rFonts w:ascii="Times New Roman" w:hAnsi="Times New Roman"/>
                <w:b w:val="0"/>
                <w:noProof/>
                <w:sz w:val="24"/>
              </w:rPr>
              <w:t>1.5 Улесняване на изграждането на нови устойчиви биорафинерии и потвърждаване на вида и очаквания потенциал</w:t>
            </w:r>
            <w:r>
              <w:rPr>
                <w:rFonts w:ascii="Times New Roman" w:hAnsi="Times New Roman"/>
                <w:noProof/>
                <w:sz w:val="24"/>
                <w:vertAlign w:val="superscript"/>
              </w:rPr>
              <w:footnoteReference w:id="45"/>
            </w:r>
            <w:r>
              <w:rPr>
                <w:rFonts w:ascii="Times New Roman" w:hAnsi="Times New Roman"/>
                <w:noProof/>
                <w:sz w:val="24"/>
              </w:rPr>
              <w:t xml:space="preserve">  </w:t>
            </w:r>
          </w:p>
        </w:tc>
        <w:tc>
          <w:tcPr>
            <w:tcW w:w="4961" w:type="dxa"/>
            <w:shd w:val="clear" w:color="auto" w:fill="auto"/>
          </w:tcPr>
          <w:p>
            <w:pPr>
              <w:spacing w:after="120" w:line="276" w:lineRule="auto"/>
              <w:ind w:left="1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Комисията и държавите членки</w:t>
            </w:r>
          </w:p>
          <w:p>
            <w:pPr>
              <w:spacing w:after="120" w:line="276" w:lineRule="auto"/>
              <w:ind w:left="1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Borders>
              <w:left w:val="none" w:sz="0" w:space="0" w:color="auto"/>
              <w:right w:val="none" w:sz="0" w:space="0" w:color="auto"/>
            </w:tcBorders>
            <w:shd w:val="clear" w:color="auto" w:fill="auto"/>
          </w:tcPr>
          <w:p>
            <w:pPr>
              <w:spacing w:line="276" w:lineRule="auto"/>
              <w:ind w:left="174"/>
              <w:rPr>
                <w:rFonts w:ascii="Times New Roman" w:eastAsiaTheme="minorHAnsi" w:hAnsi="Times New Roman" w:cs="Times New Roman"/>
                <w:i/>
                <w:iCs/>
                <w:noProof/>
                <w:sz w:val="24"/>
                <w:szCs w:val="24"/>
              </w:rPr>
            </w:pPr>
            <w:r>
              <w:rPr>
                <w:rFonts w:ascii="Times New Roman" w:hAnsi="Times New Roman"/>
                <w:b w:val="0"/>
                <w:noProof/>
                <w:sz w:val="24"/>
              </w:rPr>
              <w:t>1.6  Инвестиции в научни изследвания и иновации с цел разработване на заместители на изкопаеми материали, които са на биологична основа, подлежат на рециклиране и са биоразградими в морска среда, и на методи на биологично прочистване, чрез мобилизиране на основните участници в съответните вериги за създаване на стойност, включително веригата за създаване на стойност в областта на пластмасите, както и с цел допринасяне за здрави и продуктивни европейски морета и океани без пластмаса.</w:t>
            </w:r>
          </w:p>
          <w:p>
            <w:pPr>
              <w:spacing w:after="120" w:line="276" w:lineRule="auto"/>
              <w:ind w:left="174" w:right="178"/>
              <w:jc w:val="both"/>
              <w:rPr>
                <w:rFonts w:ascii="Times New Roman" w:hAnsi="Times New Roman" w:cs="Times New Roman"/>
                <w:b w:val="0"/>
                <w:noProof/>
                <w:sz w:val="24"/>
                <w:szCs w:val="24"/>
              </w:rPr>
            </w:pPr>
          </w:p>
        </w:tc>
        <w:tc>
          <w:tcPr>
            <w:tcW w:w="4961" w:type="dxa"/>
            <w:tcBorders>
              <w:left w:val="none" w:sz="0" w:space="0" w:color="auto"/>
              <w:right w:val="none" w:sz="0" w:space="0" w:color="auto"/>
            </w:tcBorders>
            <w:shd w:val="clear" w:color="auto" w:fill="auto"/>
          </w:tcPr>
          <w:p>
            <w:pPr>
              <w:spacing w:after="120" w:line="276" w:lineRule="auto"/>
              <w:ind w:left="17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Комисията, заинтересованите страни</w:t>
            </w:r>
          </w:p>
        </w:tc>
      </w:tr>
    </w:tbl>
    <w:p>
      <w:pPr>
        <w:rPr>
          <w:rFonts w:ascii="Times New Roman" w:hAnsi="Times New Roman"/>
          <w:noProof/>
        </w:rPr>
      </w:pPr>
    </w:p>
    <w:tbl>
      <w:tblPr>
        <w:tblStyle w:val="LightShading"/>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gridCol w:w="4961"/>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Borders>
              <w:top w:val="none" w:sz="0" w:space="0" w:color="auto"/>
              <w:left w:val="none" w:sz="0" w:space="0" w:color="auto"/>
              <w:bottom w:val="none" w:sz="0" w:space="0" w:color="auto"/>
              <w:right w:val="none" w:sz="0" w:space="0" w:color="auto"/>
            </w:tcBorders>
            <w:shd w:val="clear" w:color="auto" w:fill="auto"/>
          </w:tcPr>
          <w:p>
            <w:pPr>
              <w:spacing w:after="120" w:line="276" w:lineRule="auto"/>
              <w:ind w:left="174" w:right="178"/>
              <w:jc w:val="center"/>
              <w:rPr>
                <w:rFonts w:ascii="Times New Roman" w:hAnsi="Times New Roman" w:cs="Times New Roman"/>
                <w:b w:val="0"/>
                <w:bCs w:val="0"/>
                <w:noProof/>
                <w:sz w:val="32"/>
                <w:szCs w:val="32"/>
              </w:rPr>
            </w:pPr>
            <w:r>
              <w:rPr>
                <w:rFonts w:ascii="Times New Roman" w:hAnsi="Times New Roman"/>
                <w:noProof/>
                <w:sz w:val="32"/>
              </w:rPr>
              <w:t xml:space="preserve">Наименование на действието </w:t>
            </w:r>
          </w:p>
        </w:tc>
        <w:tc>
          <w:tcPr>
            <w:tcW w:w="4961" w:type="dxa"/>
            <w:tcBorders>
              <w:top w:val="none" w:sz="0" w:space="0" w:color="auto"/>
              <w:left w:val="none" w:sz="0" w:space="0" w:color="auto"/>
              <w:bottom w:val="none" w:sz="0" w:space="0" w:color="auto"/>
              <w:right w:val="none" w:sz="0" w:space="0" w:color="auto"/>
            </w:tcBorders>
            <w:shd w:val="clear" w:color="auto" w:fill="auto"/>
          </w:tcPr>
          <w:p>
            <w:pPr>
              <w:spacing w:after="120" w:line="276" w:lineRule="auto"/>
              <w:ind w:left="174" w:right="17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32"/>
                <w:szCs w:val="32"/>
              </w:rPr>
            </w:pPr>
            <w:r>
              <w:rPr>
                <w:rFonts w:ascii="Times New Roman" w:hAnsi="Times New Roman"/>
                <w:noProof/>
                <w:sz w:val="32"/>
              </w:rPr>
              <w:t>Участници</w:t>
            </w:r>
          </w:p>
          <w:p>
            <w:pPr>
              <w:spacing w:after="120" w:line="276" w:lineRule="auto"/>
              <w:ind w:left="174" w:right="17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32"/>
                <w:szCs w:val="32"/>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1" w:type="dxa"/>
            <w:gridSpan w:val="2"/>
            <w:tcBorders>
              <w:left w:val="none" w:sz="0" w:space="0" w:color="auto"/>
              <w:right w:val="none" w:sz="0" w:space="0" w:color="auto"/>
            </w:tcBorders>
            <w:shd w:val="clear" w:color="auto" w:fill="auto"/>
          </w:tcPr>
          <w:p>
            <w:pPr>
              <w:spacing w:after="120" w:line="276" w:lineRule="auto"/>
              <w:ind w:left="174" w:right="178"/>
              <w:jc w:val="center"/>
              <w:rPr>
                <w:rFonts w:ascii="Times New Roman" w:hAnsi="Times New Roman" w:cs="Times New Roman"/>
                <w:noProof/>
                <w:sz w:val="32"/>
                <w:szCs w:val="24"/>
              </w:rPr>
            </w:pPr>
            <w:r>
              <w:rPr>
                <w:rFonts w:ascii="Times New Roman" w:hAnsi="Times New Roman"/>
                <w:noProof/>
                <w:sz w:val="28"/>
              </w:rPr>
              <w:t>2 Бързо внедряване на местните биоикономики в цяла Европа</w:t>
            </w:r>
          </w:p>
        </w:tc>
      </w:tr>
      <w:tr>
        <w:tc>
          <w:tcPr>
            <w:cnfStyle w:val="001000000000" w:firstRow="0" w:lastRow="0" w:firstColumn="1" w:lastColumn="0" w:oddVBand="0" w:evenVBand="0" w:oddHBand="0" w:evenHBand="0" w:firstRowFirstColumn="0" w:firstRowLastColumn="0" w:lastRowFirstColumn="0" w:lastRowLastColumn="0"/>
            <w:tcW w:w="10490" w:type="dxa"/>
            <w:shd w:val="clear" w:color="auto" w:fill="auto"/>
          </w:tcPr>
          <w:p>
            <w:pPr>
              <w:spacing w:after="120" w:line="276" w:lineRule="auto"/>
              <w:ind w:left="174" w:right="178"/>
              <w:jc w:val="both"/>
              <w:rPr>
                <w:rFonts w:ascii="Times New Roman" w:hAnsi="Times New Roman" w:cs="Times New Roman"/>
                <w:noProof/>
                <w:sz w:val="28"/>
                <w:szCs w:val="24"/>
              </w:rPr>
            </w:pPr>
            <w:r>
              <w:rPr>
                <w:rFonts w:ascii="Times New Roman" w:hAnsi="Times New Roman"/>
                <w:b w:val="0"/>
                <w:noProof/>
                <w:sz w:val="24"/>
              </w:rPr>
              <w:t>2.1 Програма за стратегическо внедряване за устойчиви продоволствени и селскостопански системи, горско стопанство и биотехнологично производство в кръгова биоикономика</w:t>
            </w:r>
          </w:p>
        </w:tc>
        <w:tc>
          <w:tcPr>
            <w:tcW w:w="4961" w:type="dxa"/>
            <w:shd w:val="clear" w:color="auto" w:fill="auto"/>
          </w:tcPr>
          <w:p>
            <w:pPr>
              <w:spacing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32"/>
                <w:szCs w:val="24"/>
              </w:rPr>
            </w:pPr>
            <w:r>
              <w:rPr>
                <w:rFonts w:ascii="Times New Roman" w:hAnsi="Times New Roman"/>
                <w:noProof/>
                <w:sz w:val="24"/>
              </w:rPr>
              <w:t>Комисията, държавите членки и регионите, частният сектор, заинтересованите страни</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Borders>
              <w:left w:val="none" w:sz="0" w:space="0" w:color="auto"/>
              <w:right w:val="none" w:sz="0" w:space="0" w:color="auto"/>
            </w:tcBorders>
            <w:shd w:val="clear" w:color="auto" w:fill="auto"/>
          </w:tcPr>
          <w:p>
            <w:pPr>
              <w:spacing w:after="120" w:line="276" w:lineRule="auto"/>
              <w:ind w:left="174" w:right="178"/>
              <w:jc w:val="both"/>
              <w:rPr>
                <w:rFonts w:ascii="Times New Roman" w:hAnsi="Times New Roman" w:cs="Times New Roman"/>
                <w:noProof/>
                <w:sz w:val="24"/>
                <w:szCs w:val="24"/>
              </w:rPr>
            </w:pPr>
            <w:r>
              <w:rPr>
                <w:rFonts w:ascii="Times New Roman" w:hAnsi="Times New Roman"/>
                <w:b w:val="0"/>
                <w:noProof/>
                <w:sz w:val="24"/>
              </w:rPr>
              <w:t>2.2 Пилотни действия за подпомагане на развитието на местната биоикономика (селска, крайбрежна и градска</w:t>
            </w:r>
            <w:r>
              <w:rPr>
                <w:rFonts w:ascii="Times New Roman" w:hAnsi="Times New Roman"/>
                <w:noProof/>
                <w:sz w:val="24"/>
              </w:rPr>
              <w:t>)</w:t>
            </w:r>
            <w:r>
              <w:rPr>
                <w:rFonts w:ascii="Times New Roman" w:hAnsi="Times New Roman"/>
                <w:b w:val="0"/>
                <w:noProof/>
                <w:sz w:val="24"/>
              </w:rPr>
              <w:t xml:space="preserve"> чрез инструменти и програми на Комисията</w:t>
            </w:r>
          </w:p>
        </w:tc>
        <w:tc>
          <w:tcPr>
            <w:tcW w:w="4961" w:type="dxa"/>
            <w:tcBorders>
              <w:left w:val="none" w:sz="0" w:space="0" w:color="auto"/>
              <w:right w:val="none" w:sz="0" w:space="0" w:color="auto"/>
            </w:tcBorders>
            <w:shd w:val="clear" w:color="auto" w:fill="auto"/>
          </w:tcPr>
          <w:p>
            <w:pPr>
              <w:spacing w:after="120" w:line="276" w:lineRule="auto"/>
              <w:ind w:left="17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Комисията, държавите членки, регионите, общините и други заинтересовани страни</w:t>
            </w:r>
          </w:p>
        </w:tc>
      </w:tr>
      <w:tr>
        <w:tc>
          <w:tcPr>
            <w:cnfStyle w:val="001000000000" w:firstRow="0" w:lastRow="0" w:firstColumn="1" w:lastColumn="0" w:oddVBand="0" w:evenVBand="0" w:oddHBand="0" w:evenHBand="0" w:firstRowFirstColumn="0" w:firstRowLastColumn="0" w:lastRowFirstColumn="0" w:lastRowLastColumn="0"/>
            <w:tcW w:w="10490" w:type="dxa"/>
            <w:shd w:val="clear" w:color="auto" w:fill="auto"/>
          </w:tcPr>
          <w:p>
            <w:pPr>
              <w:spacing w:after="120" w:line="276" w:lineRule="auto"/>
              <w:ind w:left="174" w:right="178"/>
              <w:jc w:val="both"/>
              <w:rPr>
                <w:rFonts w:ascii="Times New Roman" w:hAnsi="Times New Roman" w:cs="Times New Roman"/>
                <w:noProof/>
                <w:sz w:val="24"/>
                <w:szCs w:val="24"/>
              </w:rPr>
            </w:pPr>
            <w:r>
              <w:rPr>
                <w:rFonts w:ascii="Times New Roman" w:hAnsi="Times New Roman"/>
                <w:b w:val="0"/>
                <w:noProof/>
                <w:sz w:val="24"/>
              </w:rPr>
              <w:t>2.3 Създаване на механизъм за подкрепа на политиката в областта на биоикономиката на ЕС и Европейски форум по биоикономика за държавите членки</w:t>
            </w:r>
          </w:p>
        </w:tc>
        <w:tc>
          <w:tcPr>
            <w:tcW w:w="4961" w:type="dxa"/>
            <w:shd w:val="clear" w:color="auto" w:fill="auto"/>
          </w:tcPr>
          <w:p>
            <w:pPr>
              <w:spacing w:after="120" w:line="276" w:lineRule="auto"/>
              <w:ind w:left="1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Комисията и държавите членки</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Borders>
              <w:left w:val="none" w:sz="0" w:space="0" w:color="auto"/>
              <w:right w:val="none" w:sz="0" w:space="0" w:color="auto"/>
            </w:tcBorders>
            <w:shd w:val="clear" w:color="auto" w:fill="auto"/>
          </w:tcPr>
          <w:p>
            <w:pPr>
              <w:spacing w:after="120" w:line="276" w:lineRule="auto"/>
              <w:ind w:left="174" w:right="178"/>
              <w:jc w:val="both"/>
              <w:rPr>
                <w:rFonts w:ascii="Times New Roman" w:hAnsi="Times New Roman" w:cs="Times New Roman"/>
                <w:noProof/>
                <w:sz w:val="24"/>
                <w:szCs w:val="24"/>
              </w:rPr>
            </w:pPr>
            <w:r>
              <w:rPr>
                <w:rFonts w:ascii="Times New Roman" w:hAnsi="Times New Roman"/>
                <w:b w:val="0"/>
                <w:noProof/>
                <w:sz w:val="24"/>
              </w:rPr>
              <w:t>2.4 Насърчаване на образованието, обучението и уменията в биоикономиката</w:t>
            </w:r>
          </w:p>
        </w:tc>
        <w:tc>
          <w:tcPr>
            <w:tcW w:w="4961" w:type="dxa"/>
            <w:tcBorders>
              <w:left w:val="none" w:sz="0" w:space="0" w:color="auto"/>
              <w:right w:val="none" w:sz="0" w:space="0" w:color="auto"/>
            </w:tcBorders>
            <w:shd w:val="clear" w:color="auto" w:fill="auto"/>
          </w:tcPr>
          <w:p>
            <w:pPr>
              <w:spacing w:after="120" w:line="276" w:lineRule="auto"/>
              <w:ind w:left="17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Комисията и държавите членки</w:t>
            </w:r>
          </w:p>
        </w:tc>
      </w:tr>
      <w:tr>
        <w:tc>
          <w:tcPr>
            <w:cnfStyle w:val="001000000000" w:firstRow="0" w:lastRow="0" w:firstColumn="1" w:lastColumn="0" w:oddVBand="0" w:evenVBand="0" w:oddHBand="0" w:evenHBand="0" w:firstRowFirstColumn="0" w:firstRowLastColumn="0" w:lastRowFirstColumn="0" w:lastRowLastColumn="0"/>
            <w:tcW w:w="15451" w:type="dxa"/>
            <w:gridSpan w:val="2"/>
            <w:shd w:val="clear" w:color="auto" w:fill="auto"/>
          </w:tcPr>
          <w:p>
            <w:pPr>
              <w:spacing w:after="120" w:line="276" w:lineRule="auto"/>
              <w:ind w:left="174" w:right="178"/>
              <w:jc w:val="center"/>
              <w:rPr>
                <w:rFonts w:ascii="Times New Roman" w:hAnsi="Times New Roman" w:cs="Times New Roman"/>
                <w:noProof/>
                <w:sz w:val="24"/>
                <w:szCs w:val="24"/>
              </w:rPr>
            </w:pPr>
            <w:r>
              <w:rPr>
                <w:rFonts w:ascii="Times New Roman" w:hAnsi="Times New Roman"/>
                <w:noProof/>
                <w:sz w:val="28"/>
              </w:rPr>
              <w:t xml:space="preserve">3 Разбиране на екологичните граници на биоикономиката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Borders>
              <w:left w:val="none" w:sz="0" w:space="0" w:color="auto"/>
              <w:right w:val="none" w:sz="0" w:space="0" w:color="auto"/>
            </w:tcBorders>
            <w:shd w:val="clear" w:color="auto" w:fill="auto"/>
          </w:tcPr>
          <w:p>
            <w:pPr>
              <w:spacing w:after="120" w:line="276" w:lineRule="auto"/>
              <w:ind w:left="174" w:right="178"/>
              <w:jc w:val="both"/>
              <w:rPr>
                <w:rFonts w:ascii="Times New Roman" w:hAnsi="Times New Roman" w:cs="Times New Roman"/>
                <w:noProof/>
                <w:sz w:val="28"/>
                <w:szCs w:val="24"/>
              </w:rPr>
            </w:pPr>
            <w:r>
              <w:rPr>
                <w:rFonts w:ascii="Times New Roman" w:hAnsi="Times New Roman"/>
                <w:b w:val="0"/>
                <w:noProof/>
                <w:sz w:val="24"/>
              </w:rPr>
              <w:t>3.1 Увеличаване на познанията относно биоикономиката, включително относно биологичното разнообразие и екосистемите, с цел внедряването ѝ в рамките на безопасните екологични граници и популяризирането ѝ чрез Центъра за знания в областта на биоикономиката.</w:t>
            </w:r>
          </w:p>
        </w:tc>
        <w:tc>
          <w:tcPr>
            <w:tcW w:w="4961" w:type="dxa"/>
            <w:tcBorders>
              <w:left w:val="none" w:sz="0" w:space="0" w:color="auto"/>
              <w:right w:val="none" w:sz="0" w:space="0" w:color="auto"/>
            </w:tcBorders>
            <w:shd w:val="clear" w:color="auto" w:fill="auto"/>
          </w:tcPr>
          <w:p>
            <w:pPr>
              <w:spacing w:after="120" w:line="276" w:lineRule="auto"/>
              <w:ind w:left="17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Комисията, държавите членки, международни организации, IPBES</w:t>
            </w:r>
          </w:p>
        </w:tc>
      </w:tr>
      <w:tr>
        <w:tc>
          <w:tcPr>
            <w:cnfStyle w:val="001000000000" w:firstRow="0" w:lastRow="0" w:firstColumn="1" w:lastColumn="0" w:oddVBand="0" w:evenVBand="0" w:oddHBand="0" w:evenHBand="0" w:firstRowFirstColumn="0" w:firstRowLastColumn="0" w:lastRowFirstColumn="0" w:lastRowLastColumn="0"/>
            <w:tcW w:w="10490" w:type="dxa"/>
            <w:shd w:val="clear" w:color="auto" w:fill="auto"/>
          </w:tcPr>
          <w:p>
            <w:pPr>
              <w:spacing w:after="120" w:line="276" w:lineRule="auto"/>
              <w:ind w:left="174" w:right="178"/>
              <w:jc w:val="both"/>
              <w:rPr>
                <w:rFonts w:ascii="Times New Roman" w:hAnsi="Times New Roman" w:cs="Times New Roman"/>
                <w:noProof/>
                <w:sz w:val="24"/>
                <w:szCs w:val="24"/>
              </w:rPr>
            </w:pPr>
            <w:r>
              <w:rPr>
                <w:rFonts w:ascii="Times New Roman" w:hAnsi="Times New Roman"/>
                <w:b w:val="0"/>
                <w:noProof/>
                <w:sz w:val="24"/>
              </w:rPr>
              <w:t xml:space="preserve">3.2 Увеличаване на способностите за наблюдение, измерване, мониторинг и докладване, изграждане на международно съгласувана система за мониторинг в рамките на ЕС за проследяване на икономическия, екологичния и социалния напредък към устойчива биоикономика </w:t>
            </w:r>
          </w:p>
        </w:tc>
        <w:tc>
          <w:tcPr>
            <w:tcW w:w="4961" w:type="dxa"/>
            <w:shd w:val="clear" w:color="auto" w:fill="auto"/>
          </w:tcPr>
          <w:p>
            <w:pPr>
              <w:spacing w:after="120" w:line="276" w:lineRule="auto"/>
              <w:ind w:left="1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Комисията, държавите членки, частният сектор</w:t>
            </w:r>
          </w:p>
          <w:p>
            <w:pPr>
              <w:spacing w:after="120" w:line="276" w:lineRule="auto"/>
              <w:ind w:left="1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Borders>
              <w:left w:val="none" w:sz="0" w:space="0" w:color="auto"/>
              <w:right w:val="none" w:sz="0" w:space="0" w:color="auto"/>
            </w:tcBorders>
            <w:shd w:val="clear" w:color="auto" w:fill="auto"/>
          </w:tcPr>
          <w:p>
            <w:pPr>
              <w:spacing w:after="120" w:line="276" w:lineRule="auto"/>
              <w:ind w:left="174" w:right="178"/>
              <w:jc w:val="both"/>
              <w:rPr>
                <w:rFonts w:ascii="Times New Roman" w:hAnsi="Times New Roman" w:cs="Times New Roman"/>
                <w:noProof/>
                <w:sz w:val="24"/>
                <w:szCs w:val="24"/>
              </w:rPr>
            </w:pPr>
            <w:r>
              <w:rPr>
                <w:rFonts w:ascii="Times New Roman" w:hAnsi="Times New Roman"/>
                <w:b w:val="0"/>
                <w:noProof/>
                <w:sz w:val="24"/>
              </w:rPr>
              <w:t>3.3 Предоставяне на доброволни насоки за функционирането на биоикономиката в рамките на безопасните екологични граници</w:t>
            </w:r>
          </w:p>
        </w:tc>
        <w:tc>
          <w:tcPr>
            <w:tcW w:w="4961" w:type="dxa"/>
            <w:tcBorders>
              <w:left w:val="none" w:sz="0" w:space="0" w:color="auto"/>
              <w:right w:val="none" w:sz="0" w:space="0" w:color="auto"/>
            </w:tcBorders>
            <w:shd w:val="clear" w:color="auto" w:fill="auto"/>
          </w:tcPr>
          <w:p>
            <w:pPr>
              <w:spacing w:after="120" w:line="276" w:lineRule="auto"/>
              <w:ind w:left="17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Комисията</w:t>
            </w:r>
          </w:p>
        </w:tc>
      </w:tr>
      <w:tr>
        <w:tc>
          <w:tcPr>
            <w:cnfStyle w:val="001000000000" w:firstRow="0" w:lastRow="0" w:firstColumn="1" w:lastColumn="0" w:oddVBand="0" w:evenVBand="0" w:oddHBand="0" w:evenHBand="0" w:firstRowFirstColumn="0" w:firstRowLastColumn="0" w:lastRowFirstColumn="0" w:lastRowLastColumn="0"/>
            <w:tcW w:w="10490" w:type="dxa"/>
            <w:shd w:val="clear" w:color="auto" w:fill="auto"/>
          </w:tcPr>
          <w:p>
            <w:pPr>
              <w:spacing w:after="120" w:line="276" w:lineRule="auto"/>
              <w:ind w:left="174" w:right="178"/>
              <w:jc w:val="both"/>
              <w:rPr>
                <w:rFonts w:ascii="Times New Roman" w:hAnsi="Times New Roman" w:cs="Times New Roman"/>
                <w:noProof/>
                <w:sz w:val="24"/>
                <w:szCs w:val="24"/>
              </w:rPr>
            </w:pPr>
            <w:r>
              <w:rPr>
                <w:rFonts w:ascii="Times New Roman" w:hAnsi="Times New Roman"/>
                <w:b w:val="0"/>
                <w:noProof/>
                <w:sz w:val="24"/>
              </w:rPr>
              <w:t>3.4 По-добро интегриране на ползите от екосистеми с богато биологично разнообразие в първичното производство чрез специфично подпомагане на агроекологията, чрез разработване на решения, основани на микробиоми, и чрез нови инструменти за интегрирането на опрашители във веригите за създаване на стойност</w:t>
            </w:r>
          </w:p>
        </w:tc>
        <w:tc>
          <w:tcPr>
            <w:tcW w:w="4961" w:type="dxa"/>
            <w:shd w:val="clear" w:color="auto" w:fill="auto"/>
          </w:tcPr>
          <w:p>
            <w:pPr>
              <w:spacing w:after="120" w:line="276" w:lineRule="auto"/>
              <w:ind w:left="1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Комисията, държавите членки, заинтересованите страни от частния сектор</w:t>
            </w:r>
          </w:p>
        </w:tc>
      </w:tr>
    </w:tbl>
    <w:p>
      <w:pPr>
        <w:spacing w:after="200" w:line="276" w:lineRule="auto"/>
        <w:rPr>
          <w:rFonts w:ascii="Times New Roman" w:hAnsi="Times New Roman" w:cs="Times New Roman"/>
          <w:noProof/>
          <w:sz w:val="24"/>
          <w:szCs w:val="24"/>
        </w:rPr>
      </w:pPr>
    </w:p>
    <w:sectPr>
      <w:headerReference w:type="even" r:id="rId22"/>
      <w:headerReference w:type="default" r:id="rId23"/>
      <w:footerReference w:type="even" r:id="rId24"/>
      <w:footerReference w:type="default" r:id="rId25"/>
      <w:headerReference w:type="first" r:id="rId26"/>
      <w:footerReference w:type="first" r:id="rId27"/>
      <w:pgSz w:w="16838" w:h="11906" w:orient="landscape"/>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Times New Roman" w:hAns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167680"/>
      <w:docPartObj>
        <w:docPartGallery w:val="Page Numbers (Bottom of Page)"/>
        <w:docPartUnique/>
      </w:docPartObj>
    </w:sdtPr>
    <w:sdtEndPr>
      <w:rPr>
        <w:rFonts w:ascii="Times New Roman" w:hAnsi="Times New Roman"/>
        <w:noProof/>
      </w:rPr>
    </w:sdtEndPr>
    <w:sdtContent>
      <w:p>
        <w:pPr>
          <w:pStyle w:val="Footer"/>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1</w:t>
        </w:r>
        <w:r>
          <w:rPr>
            <w:rFonts w:ascii="Times New Roman" w:hAnsi="Times New Roman"/>
            <w:noProof/>
          </w:rPr>
          <w:fldChar w:fldCharType="end"/>
        </w:r>
      </w:p>
    </w:sdtContent>
  </w:sdt>
  <w:p>
    <w:pPr>
      <w:pStyle w:val="Footer"/>
      <w:rPr>
        <w:rFonts w:ascii="Times New Roman" w:hAnsi="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Times New Roman" w:hAnsi="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Times New Roman" w:hAnsi="Times New Roma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975000"/>
      <w:docPartObj>
        <w:docPartGallery w:val="Page Numbers (Bottom of Page)"/>
        <w:docPartUnique/>
      </w:docPartObj>
    </w:sdtPr>
    <w:sdtEndPr>
      <w:rPr>
        <w:rFonts w:ascii="Times New Roman" w:hAnsi="Times New Roman"/>
        <w:noProof/>
      </w:rPr>
    </w:sdtEndPr>
    <w:sdtContent>
      <w:p>
        <w:pPr>
          <w:pStyle w:val="Footer"/>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17</w:t>
        </w:r>
        <w:r>
          <w:rPr>
            <w:rFonts w:ascii="Times New Roman" w:hAnsi="Times New Roman"/>
            <w:noProof/>
          </w:rPr>
          <w:fldChar w:fldCharType="end"/>
        </w:r>
      </w:p>
    </w:sdtContent>
  </w:sdt>
  <w:p>
    <w:pPr>
      <w:pStyle w:val="Footer"/>
      <w:rPr>
        <w:rFonts w:ascii="Times New Roman" w:hAnsi="Times New Roma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ind w:left="0" w:firstLine="0"/>
      </w:pPr>
      <w:r>
        <w:rPr>
          <w:rStyle w:val="FootnoteReference"/>
        </w:rPr>
        <w:footnoteRef/>
      </w:r>
      <w:r>
        <w:tab/>
        <w:t>Биомедицината и медицинските биотехнологии не са включени.</w:t>
      </w:r>
    </w:p>
  </w:footnote>
  <w:footnote w:id="3">
    <w:p>
      <w:pPr>
        <w:pStyle w:val="FootnoteText"/>
      </w:pPr>
      <w:r>
        <w:rPr>
          <w:rStyle w:val="FootnoteReference"/>
        </w:rPr>
        <w:footnoteRef/>
      </w:r>
      <w:r>
        <w:tab/>
        <w:t>COM(2012) 60, Иновации за устойчив растеж: биоикономика за Европа, 13.2.2012 г.</w:t>
      </w:r>
    </w:p>
  </w:footnote>
  <w:footnote w:id="4">
    <w:p>
      <w:pPr>
        <w:pStyle w:val="FootnoteText"/>
      </w:pPr>
      <w:r>
        <w:rPr>
          <w:rStyle w:val="FootnoteReference"/>
        </w:rPr>
        <w:footnoteRef/>
      </w:r>
      <w:r>
        <w:t xml:space="preserve">           Тези действия не предполагат никакви бюджетни или законодателни ангажименти за следващата Комисия, въпреки че конкретното им изпълнение може да трае до 2025 г.</w:t>
      </w:r>
    </w:p>
  </w:footnote>
  <w:footnote w:id="5">
    <w:p>
      <w:pPr>
        <w:pStyle w:val="FootnoteText"/>
      </w:pPr>
      <w:r>
        <w:rPr>
          <w:rStyle w:val="FootnoteReference"/>
        </w:rPr>
        <w:footnoteRef/>
      </w:r>
      <w:r>
        <w:tab/>
        <w:t>SWD(2017) 374, Review of the 2012 European Bioeconomy Strategy, 13.11.2017 г.</w:t>
      </w:r>
    </w:p>
  </w:footnote>
  <w:footnote w:id="6">
    <w:p>
      <w:pPr>
        <w:pStyle w:val="FootnoteText"/>
      </w:pPr>
      <w:r>
        <w:rPr>
          <w:rStyle w:val="FootnoteReference"/>
        </w:rPr>
        <w:footnoteRef/>
      </w:r>
      <w:r>
        <w:tab/>
        <w:t xml:space="preserve">Писмо за намеренията. Състояние на Съюза, септември 2018 г.; https://ec.europa.eu/commission/sites/beta-political/files/soteu2018-letter-of-intent_bg.pdf </w:t>
      </w:r>
    </w:p>
  </w:footnote>
  <w:footnote w:id="7">
    <w:p>
      <w:pPr>
        <w:pStyle w:val="FootnoteText"/>
      </w:pPr>
      <w:r>
        <w:rPr>
          <w:rStyle w:val="FootnoteReference"/>
        </w:rPr>
        <w:footnoteRef/>
      </w:r>
      <w:r>
        <w:tab/>
        <w:t>COM(2016) 739, Следващи стъпки към устойчиво европейско бъдеще: Европейски действия за устойчивост, 22.11.2016 г.</w:t>
      </w:r>
    </w:p>
  </w:footnote>
  <w:footnote w:id="8">
    <w:p>
      <w:pPr>
        <w:pStyle w:val="FootnoteText"/>
      </w:pPr>
      <w:r>
        <w:rPr>
          <w:rStyle w:val="FootnoteReference"/>
        </w:rPr>
        <w:footnoteRef/>
      </w:r>
      <w:r>
        <w:tab/>
        <w:t>SWD(2016) 390, Key European action supporting the 2030 Agenda and the Sustainable Development Goals, 22.11.2016 г.; Мониторингов доклад на Евростат относно напредъка при постигане на целите за устойчиво развитие</w:t>
      </w:r>
      <w:r>
        <w:tab/>
        <w:t>.</w:t>
      </w:r>
      <w:r>
        <w:br/>
        <w:t>https://ec.europa.eu/eurostat/documents/2995521/9234939/8-18092018-AP-BG.pdf/888b182d-f6f9-4e0d-9e48-4b4e1561333e Доклад на JRC. The MAGNET model framework for assessing policy coherence and SDGs — Applications to the bioeconomy, 2018 г., ISBN 978-92-79-81792-2.</w:t>
      </w:r>
    </w:p>
  </w:footnote>
  <w:footnote w:id="9">
    <w:p>
      <w:pPr>
        <w:pStyle w:val="FootnoteText"/>
      </w:pPr>
      <w:r>
        <w:rPr>
          <w:rStyle w:val="FootnoteReference"/>
        </w:rPr>
        <w:footnoteRef/>
      </w:r>
      <w:r>
        <w:tab/>
        <w:t>Ronzon, T. et al., Sustainability, 10, 6, 1745, (2018 г.), doi: 10.3390/su10061745; годишна стойност (данни относно 2015 г.).</w:t>
      </w:r>
    </w:p>
  </w:footnote>
  <w:footnote w:id="10">
    <w:p>
      <w:pPr>
        <w:pStyle w:val="FootnoteText"/>
      </w:pPr>
      <w:r>
        <w:rPr>
          <w:rStyle w:val="FootnoteReference"/>
        </w:rPr>
        <w:footnoteRef/>
      </w:r>
      <w:r>
        <w:tab/>
        <w:t>Доклад на EuropaBio, Jobs and growth generated by industrial biotechnology in Europe, 09.2016 г.</w:t>
      </w:r>
    </w:p>
  </w:footnote>
  <w:footnote w:id="11">
    <w:p>
      <w:pPr>
        <w:pStyle w:val="FootnoteText"/>
      </w:pPr>
      <w:r>
        <w:rPr>
          <w:rStyle w:val="FootnoteReference"/>
        </w:rPr>
        <w:footnoteRef/>
      </w:r>
      <w:r>
        <w:tab/>
        <w:t>How can wood construction reduce environmental degradation?, Elias Hurmekoski (2017 г.) http://www.efi.int/files/images/publications/efi_hurmekoski_wood_construction_2017.pdf</w:t>
      </w:r>
    </w:p>
  </w:footnote>
  <w:footnote w:id="12">
    <w:p>
      <w:pPr>
        <w:pStyle w:val="FootnoteText"/>
      </w:pPr>
      <w:r>
        <w:rPr>
          <w:rStyle w:val="FootnoteReference"/>
        </w:rPr>
        <w:footnoteRef/>
      </w:r>
      <w:r>
        <w:tab/>
        <w:t>Директива на Европейския парламент и на Съвета за насърчаване на използването на енергия от възобновяеми източници (преработен текст), очаквано официално приемане до края на 2018 г. след сключването на споразумение на политическо равнище от Европейския парламент и Съвета на 13 юни 2018 г.</w:t>
      </w:r>
    </w:p>
  </w:footnote>
  <w:footnote w:id="13">
    <w:p>
      <w:pPr>
        <w:pStyle w:val="FootnoteText"/>
      </w:pPr>
      <w:r>
        <w:rPr>
          <w:rStyle w:val="FootnoteReference"/>
        </w:rPr>
        <w:footnoteRef/>
      </w:r>
      <w:r>
        <w:tab/>
        <w:t>COM(2017) 479, Инвестиране в интелигентна, иновационна и устойчива промишленост. Обновена стратегия на ЕС за индустриалната политика, 13.9.2017 г.</w:t>
      </w:r>
    </w:p>
  </w:footnote>
  <w:footnote w:id="14">
    <w:p>
      <w:pPr>
        <w:pStyle w:val="FootnoteText"/>
      </w:pPr>
      <w:r>
        <w:rPr>
          <w:rStyle w:val="FootnoteReference"/>
        </w:rPr>
        <w:footnoteRef/>
      </w:r>
      <w:r>
        <w:tab/>
        <w:t>Доклад на EuropaBio, Jobs and growth generated by industrial biotechnology in Europe, 09.2016 г.</w:t>
      </w:r>
    </w:p>
  </w:footnote>
  <w:footnote w:id="15">
    <w:p>
      <w:pPr>
        <w:pStyle w:val="FootnoteText"/>
      </w:pPr>
      <w:r>
        <w:rPr>
          <w:rStyle w:val="FootnoteReference"/>
        </w:rPr>
        <w:footnoteRef/>
      </w:r>
      <w:r>
        <w:tab/>
        <w:t>Насоки относно употребата като фуражи на храни, които вече не са предназначени за консумация от човека; https://eur-lex.europa.eu/legal-content/BG/TXT/PDF/?uri=CELEX:52018XC0416(01)&amp;from=BG</w:t>
      </w:r>
    </w:p>
  </w:footnote>
  <w:footnote w:id="16">
    <w:p>
      <w:pPr>
        <w:pStyle w:val="FootnoteText"/>
      </w:pPr>
      <w:r>
        <w:rPr>
          <w:rStyle w:val="FootnoteReference"/>
        </w:rPr>
        <w:footnoteRef/>
      </w:r>
      <w:r>
        <w:tab/>
        <w:t>https://eu-refresh.org/eu-panel-experts-concludes-feeding-treated-surplus-food-pigs-viable-provided-certain-safety-0</w:t>
      </w:r>
    </w:p>
  </w:footnote>
  <w:footnote w:id="17">
    <w:p>
      <w:pPr>
        <w:pStyle w:val="FootnoteText"/>
      </w:pPr>
      <w:r>
        <w:rPr>
          <w:rStyle w:val="FootnoteReference"/>
        </w:rPr>
        <w:footnoteRef/>
      </w:r>
      <w:r>
        <w:tab/>
        <w:t>„Circular Amsterdam: a vision and action agenda for the city and metropolitan area“, Circle Economy, Fabric.two and Gemeente Amsterdam, 2016 г.</w:t>
      </w:r>
    </w:p>
  </w:footnote>
  <w:footnote w:id="18">
    <w:p>
      <w:pPr>
        <w:pStyle w:val="FootnoteText"/>
      </w:pPr>
      <w:r>
        <w:rPr>
          <w:rStyle w:val="FootnoteReference"/>
        </w:rPr>
        <w:footnoteRef/>
      </w:r>
      <w:r>
        <w:tab/>
        <w:t xml:space="preserve">Доклад на ЕАОС № 8/2018. The circular economy and the bioeconomy Partners in sustainability, ISSN 1977-8449. </w:t>
      </w:r>
    </w:p>
  </w:footnote>
  <w:footnote w:id="19">
    <w:p>
      <w:pPr>
        <w:pStyle w:val="FootnoteText"/>
      </w:pPr>
      <w:r>
        <w:rPr>
          <w:rStyle w:val="FootnoteReference"/>
        </w:rPr>
        <w:footnoteRef/>
      </w:r>
      <w:r>
        <w:tab/>
        <w:t>Решение № 1386/2013/ЕС относно Обща програма на Европейския съюз за действие за околната среда до 2020 г. „Да живеем добре в пределите на нашата планета“, 20.11.2013 г.</w:t>
      </w:r>
    </w:p>
  </w:footnote>
  <w:footnote w:id="20">
    <w:p>
      <w:pPr>
        <w:pStyle w:val="FootnoteText"/>
      </w:pPr>
      <w:r>
        <w:rPr>
          <w:rStyle w:val="FootnoteReference"/>
        </w:rPr>
        <w:footnoteRef/>
      </w:r>
      <w:r>
        <w:tab/>
        <w:t>COM(2018) 2, Междинна оценка на „Хоризонт 2020“: постигане на максимално въздействие от научните изследвания и иновациите в ЕС, 11.1.2018 г.</w:t>
      </w:r>
    </w:p>
  </w:footnote>
  <w:footnote w:id="21">
    <w:p>
      <w:pPr>
        <w:pStyle w:val="FootnoteText"/>
      </w:pPr>
      <w:r>
        <w:rPr>
          <w:rStyle w:val="FootnoteReference"/>
        </w:rPr>
        <w:footnoteRef/>
      </w:r>
      <w:r>
        <w:tab/>
        <w:t>COM(2018) 306, Обновена Европейска програма за научни изследвания и иновации — шансът на Европа да определи своето бъдеще, 15.5.2018 г.</w:t>
      </w:r>
    </w:p>
  </w:footnote>
  <w:footnote w:id="22">
    <w:p>
      <w:pPr>
        <w:pStyle w:val="FootnoteText"/>
      </w:pPr>
      <w:r>
        <w:rPr>
          <w:rStyle w:val="FootnoteReference"/>
        </w:rPr>
        <w:footnoteRef/>
      </w:r>
      <w:r>
        <w:tab/>
        <w:t>COM(2018) 321, Модерен бюджет за Съюз, който закриля, предоставя възможности и защитава. Многогодишна финансова рамка за периода 2021—2027 г., 2.5.2018 г.</w:t>
      </w:r>
    </w:p>
  </w:footnote>
  <w:footnote w:id="23">
    <w:p>
      <w:pPr>
        <w:pStyle w:val="FootnoteText"/>
      </w:pPr>
      <w:r>
        <w:rPr>
          <w:rStyle w:val="FootnoteReference"/>
        </w:rPr>
        <w:footnoteRef/>
      </w:r>
      <w:r>
        <w:tab/>
        <w:t>COM(2018) 435, Предложение за Регламент на Европейския парламент и на Съвета за създаване на Рамковата програма за научни изследвания и иновации „Хоризонт Европа“ и за определяне на нейните правила за участие и разпространение на резултатите, 7.6.2018 г.</w:t>
      </w:r>
    </w:p>
  </w:footnote>
  <w:footnote w:id="24">
    <w:p>
      <w:pPr>
        <w:pStyle w:val="FootnoteText"/>
      </w:pPr>
      <w:r>
        <w:rPr>
          <w:rStyle w:val="FootnoteReference"/>
        </w:rPr>
        <w:footnoteRef/>
      </w:r>
      <w:r>
        <w:t xml:space="preserve"> </w:t>
      </w:r>
      <w:r>
        <w:tab/>
      </w:r>
      <w:hyperlink r:id="rId1">
        <w:r>
          <w:rPr>
            <w:rStyle w:val="Hyperlink"/>
          </w:rPr>
          <w:t>http://s3platform.jrc.ec.europa.eu/s3-thematic-platforms</w:t>
        </w:r>
      </w:hyperlink>
    </w:p>
  </w:footnote>
  <w:footnote w:id="25">
    <w:p>
      <w:pPr>
        <w:pStyle w:val="FootnoteText"/>
      </w:pPr>
      <w:r>
        <w:rPr>
          <w:rStyle w:val="FootnoteReference"/>
        </w:rPr>
        <w:footnoteRef/>
      </w:r>
      <w:r>
        <w:tab/>
        <w:t>SWD(2017) 374, Review of the 2012 European Bioeconomy Strategy, 13.11.2017 г.</w:t>
      </w:r>
    </w:p>
  </w:footnote>
  <w:footnote w:id="26">
    <w:p>
      <w:pPr>
        <w:pStyle w:val="FootnoteText"/>
      </w:pPr>
      <w:r>
        <w:rPr>
          <w:rStyle w:val="FootnoteReference"/>
        </w:rPr>
        <w:footnoteRef/>
      </w:r>
      <w:r>
        <w:tab/>
        <w:t>COM(2017) 479, Инвестиране в интелигентна, иновационна и устойчива промишленост. Обновена стратегия на ЕС за индустриалната политика, 13.9.2017 г.</w:t>
      </w:r>
    </w:p>
  </w:footnote>
  <w:footnote w:id="27">
    <w:p>
      <w:pPr>
        <w:pStyle w:val="FootnoteText"/>
      </w:pPr>
      <w:r>
        <w:rPr>
          <w:rStyle w:val="FootnoteReference"/>
        </w:rPr>
        <w:footnoteRef/>
      </w:r>
      <w:r>
        <w:tab/>
        <w:t>COM(2015) 614, Затваряне на цикъла — план за действие на ЕС за кръговата икономика, 2.12.2015 г.</w:t>
      </w:r>
    </w:p>
  </w:footnote>
  <w:footnote w:id="28">
    <w:p>
      <w:pPr>
        <w:pStyle w:val="FootnoteText"/>
      </w:pPr>
      <w:r>
        <w:rPr>
          <w:rStyle w:val="FootnoteReference"/>
        </w:rPr>
        <w:footnoteRef/>
      </w:r>
      <w:r>
        <w:tab/>
        <w:t>COM(2016) 860, Чиста енергия за всички европейци — освобождаване на европейския потенциал за растеж, 30.11.2016 г.</w:t>
      </w:r>
    </w:p>
  </w:footnote>
  <w:footnote w:id="29">
    <w:p>
      <w:pPr>
        <w:pStyle w:val="FootnoteText"/>
      </w:pPr>
      <w:r>
        <w:rPr>
          <w:rStyle w:val="FootnoteReference"/>
        </w:rPr>
        <w:footnoteRef/>
      </w:r>
      <w:r>
        <w:tab/>
        <w:t>COM(2017) 713, Бъдещето на прехраната и селското стопанство, 29.11.2017 г.;  SWD(2016)319: European Research and innovation for Food and Nutrition Security, 21.9.2016 г.</w:t>
      </w:r>
    </w:p>
  </w:footnote>
  <w:footnote w:id="30">
    <w:p>
      <w:pPr>
        <w:pStyle w:val="FootnoteText"/>
      </w:pPr>
      <w:r>
        <w:rPr>
          <w:rStyle w:val="FootnoteReference"/>
        </w:rPr>
        <w:footnoteRef/>
      </w:r>
      <w:r>
        <w:tab/>
        <w:t>COM(2015) 478, Средносрочна оценка на стратегията за биологичното разнообразие до 2020 г.; Европейска агенция за околна среда, Европейската околна среда: Състояние и перспективи 2015.</w:t>
      </w:r>
    </w:p>
  </w:footnote>
  <w:footnote w:id="31">
    <w:p>
      <w:pPr>
        <w:pStyle w:val="FootnoteText"/>
      </w:pPr>
      <w:r>
        <w:rPr>
          <w:rStyle w:val="FootnoteReference"/>
        </w:rPr>
        <w:footnoteRef/>
      </w:r>
      <w:r>
        <w:tab/>
        <w:t xml:space="preserve">Междуправителствена научно-политическа платформа за биологичното разнообразие и услугите от екосистемите, Summary for policymakers of the thematic assessment of land degradation and restoration, 2018 г. </w:t>
      </w:r>
    </w:p>
  </w:footnote>
  <w:footnote w:id="32">
    <w:p>
      <w:pPr>
        <w:pStyle w:val="FootnoteText"/>
      </w:pPr>
      <w:r>
        <w:rPr>
          <w:rStyle w:val="FootnoteReference"/>
        </w:rPr>
        <w:footnoteRef/>
      </w:r>
      <w:r>
        <w:tab/>
        <w:t xml:space="preserve">SWD(2016) 418, Part 4/4, Impact Assessment on the Sustainability of Bioenergy, 30.11.2016 г. </w:t>
      </w:r>
    </w:p>
  </w:footnote>
  <w:footnote w:id="33">
    <w:p>
      <w:pPr>
        <w:pStyle w:val="FootnoteText"/>
      </w:pPr>
      <w:r>
        <w:rPr>
          <w:rStyle w:val="FootnoteReference"/>
        </w:rPr>
        <w:footnoteRef/>
      </w:r>
      <w:r>
        <w:tab/>
        <w:t>Доклад на EuropaBio, Jobs and growth generated by industrial biotechnology in Europe, 09.2016 г.</w:t>
      </w:r>
    </w:p>
  </w:footnote>
  <w:footnote w:id="34">
    <w:p>
      <w:pPr>
        <w:pStyle w:val="FootnoteText"/>
      </w:pPr>
      <w:r>
        <w:rPr>
          <w:rStyle w:val="FootnoteReference"/>
        </w:rPr>
        <w:footnoteRef/>
      </w:r>
      <w:r>
        <w:tab/>
      </w:r>
      <w:hyperlink r:id="rId2">
        <w:r>
          <w:t>https://ec.europa.eu/growth/content/guidance-bio-based-products-procurement_bg</w:t>
        </w:r>
      </w:hyperlink>
      <w:r>
        <w:t xml:space="preserve"> and </w:t>
      </w:r>
      <w:hyperlink r:id="rId3">
        <w:r>
          <w:t>https://biobasedprocurement.eu/</w:t>
        </w:r>
      </w:hyperlink>
    </w:p>
  </w:footnote>
  <w:footnote w:id="35">
    <w:p>
      <w:pPr>
        <w:pStyle w:val="FootnoteText"/>
      </w:pPr>
      <w:r>
        <w:rPr>
          <w:rStyle w:val="FootnoteReference"/>
        </w:rPr>
        <w:footnoteRef/>
      </w:r>
      <w:r>
        <w:tab/>
        <w:t>Декларация от Корк 2.0 — „По-добър живот в селските райони“, 2016 г.</w:t>
      </w:r>
    </w:p>
  </w:footnote>
  <w:footnote w:id="36">
    <w:p>
      <w:pPr>
        <w:pStyle w:val="FootnoteText"/>
      </w:pPr>
      <w:r>
        <w:rPr>
          <w:rStyle w:val="FootnoteReference"/>
        </w:rPr>
        <w:footnoteRef/>
      </w:r>
      <w:r>
        <w:t xml:space="preserve">           https://ec.europa.eu/research/bioeconomy/index.cfm?pg=policy&amp;lib=ibf</w:t>
      </w:r>
    </w:p>
  </w:footnote>
  <w:footnote w:id="37">
    <w:p>
      <w:pPr>
        <w:pStyle w:val="FootnoteText"/>
      </w:pPr>
      <w:r>
        <w:rPr>
          <w:rStyle w:val="FootnoteReference"/>
        </w:rPr>
        <w:footnoteRef/>
      </w:r>
      <w:r>
        <w:t xml:space="preserve">           http://gbs2018.com/home/</w:t>
      </w:r>
    </w:p>
  </w:footnote>
  <w:footnote w:id="38">
    <w:p>
      <w:pPr>
        <w:pStyle w:val="FootnoteText"/>
      </w:pPr>
      <w:r>
        <w:rPr>
          <w:rStyle w:val="FootnoteReference"/>
        </w:rPr>
        <w:footnoteRef/>
      </w:r>
      <w:r>
        <w:tab/>
        <w:t>Interim Evaluation of Bio-Based Industries Joint Undertaking (2014-2016) operating under Horizon 2020, 10.10.2017 г., ISBN 978-92-79-67438-9.</w:t>
      </w:r>
    </w:p>
  </w:footnote>
  <w:footnote w:id="39">
    <w:p>
      <w:pPr>
        <w:pStyle w:val="FootnoteText"/>
      </w:pPr>
      <w:r>
        <w:rPr>
          <w:rStyle w:val="FootnoteReference"/>
        </w:rPr>
        <w:footnoteRef/>
      </w:r>
      <w:r>
        <w:tab/>
        <w:t>Този финансов инструмент изпълнява финансовия стълб на платформата за финансова подкрепа на кръговата икономика: http://europa.eu/rapid/press-release_IP-17-104_bg.htm</w:t>
      </w:r>
    </w:p>
  </w:footnote>
  <w:footnote w:id="40">
    <w:p>
      <w:pPr>
        <w:pStyle w:val="FootnoteText"/>
      </w:pPr>
      <w:r>
        <w:rPr>
          <w:rStyle w:val="FootnoteReference"/>
        </w:rPr>
        <w:footnoteRef/>
      </w:r>
      <w:r>
        <w:tab/>
        <w:t>Организация за икономическо сътрудничество и развитие (ОИСР), Meeting Policy Challenges for a Sustainable Bioeconomy, 2018 г., ISBN 9789264292345 ; BIO-TIC, A roadmap to a thriving industrial biotechnology sector in Europe, 2015 г.</w:t>
      </w:r>
    </w:p>
  </w:footnote>
  <w:footnote w:id="41">
    <w:p>
      <w:pPr>
        <w:pStyle w:val="FootnoteText"/>
        <w:rPr>
          <w:color w:val="000000" w:themeColor="text1"/>
        </w:rPr>
      </w:pPr>
      <w:r>
        <w:rPr>
          <w:rStyle w:val="FootnoteReference"/>
        </w:rPr>
        <w:footnoteRef/>
      </w:r>
      <w:r>
        <w:tab/>
        <w:t>Въз основа на стратегията на ЕС за пластмасите и при допринасяне за тази стратегия, СОМ(2018) 028, Европейска стратегия за пластмасите в кръговата икономика, 12.1.2018 г.</w:t>
      </w:r>
    </w:p>
  </w:footnote>
  <w:footnote w:id="42">
    <w:p>
      <w:pPr>
        <w:pStyle w:val="FootnoteText"/>
      </w:pPr>
      <w:r>
        <w:rPr>
          <w:rStyle w:val="FootnoteReference"/>
        </w:rPr>
        <w:footnoteRef/>
      </w:r>
      <w:r>
        <w:tab/>
        <w:t>SAM Scientific Opinion No. 3/2017, Food from the Oceans, 2017, ISBN 978-92-79-67730-4.</w:t>
      </w:r>
    </w:p>
  </w:footnote>
  <w:footnote w:id="43">
    <w:p>
      <w:pPr>
        <w:pStyle w:val="FootnoteText"/>
      </w:pPr>
      <w:r>
        <w:rPr>
          <w:rStyle w:val="FootnoteReference"/>
        </w:rPr>
        <w:footnoteRef/>
      </w:r>
      <w:r>
        <w:tab/>
        <w:t xml:space="preserve">SWD(2017) 128, Report on the Blue Growth Strategy Towards more sustainable growth and jobs in the blue economy, 31.3.2017 г.; SWD(2017) 118, European Union Strategy for the Baltic Sea Region, 20.3.2017 г.   </w:t>
      </w:r>
    </w:p>
  </w:footnote>
  <w:footnote w:id="44">
    <w:p>
      <w:pPr>
        <w:pStyle w:val="FootnoteText"/>
      </w:pPr>
      <w:r>
        <w:rPr>
          <w:rStyle w:val="FootnoteReference"/>
        </w:rPr>
        <w:footnoteRef/>
      </w:r>
      <w:r>
        <w:tab/>
        <w:t xml:space="preserve">Например инициативата BIOEAST предлага обща рамка за стратегически научни изследвания и иновации за устойчиви биоикономики в Централна и Източна Европа; http://www.bioeast.eu/ </w:t>
      </w:r>
    </w:p>
  </w:footnote>
  <w:footnote w:id="45">
    <w:p>
      <w:pPr>
        <w:pStyle w:val="FootnoteText"/>
      </w:pPr>
      <w:r>
        <w:rPr>
          <w:rStyle w:val="FootnoteReference"/>
        </w:rPr>
        <w:footnoteRef/>
      </w:r>
      <w:r>
        <w:tab/>
        <w:t>В някои доклади този потенциал се оценява на до 300 нови биорафинерии до 2030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ascii="Times New Roman" w:hAnsi="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ascii="Times New Roman" w:hAnsi="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ascii="Times New Roman" w:hAnsi="Times New Roma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ascii="Times New Roman" w:hAnsi="Times New Roma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ascii="Times New Roman" w:hAnsi="Times New Roma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522F"/>
    <w:multiLevelType w:val="hybridMultilevel"/>
    <w:tmpl w:val="5C9A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6E4B5E"/>
    <w:multiLevelType w:val="hybridMultilevel"/>
    <w:tmpl w:val="F37EC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2B5AFC"/>
    <w:multiLevelType w:val="hybridMultilevel"/>
    <w:tmpl w:val="97481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874EBE"/>
    <w:multiLevelType w:val="hybridMultilevel"/>
    <w:tmpl w:val="39A01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051E0D"/>
    <w:multiLevelType w:val="hybridMultilevel"/>
    <w:tmpl w:val="8390AA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AD95995"/>
    <w:multiLevelType w:val="hybridMultilevel"/>
    <w:tmpl w:val="E03CD8BE"/>
    <w:lvl w:ilvl="0" w:tplc="08130001">
      <w:start w:val="1"/>
      <w:numFmt w:val="bullet"/>
      <w:lvlText w:val=""/>
      <w:lvlJc w:val="left"/>
      <w:pPr>
        <w:ind w:left="2160" w:hanging="360"/>
      </w:pPr>
      <w:rPr>
        <w:rFonts w:ascii="Symbol" w:hAnsi="Symbol"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6">
    <w:nsid w:val="0D0B0A94"/>
    <w:multiLevelType w:val="hybridMultilevel"/>
    <w:tmpl w:val="C7164D96"/>
    <w:lvl w:ilvl="0" w:tplc="2418338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ED41EF1"/>
    <w:multiLevelType w:val="hybridMultilevel"/>
    <w:tmpl w:val="1BC01B3A"/>
    <w:lvl w:ilvl="0" w:tplc="DD1E64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F240E40"/>
    <w:multiLevelType w:val="hybridMultilevel"/>
    <w:tmpl w:val="DA1AC088"/>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121B423F"/>
    <w:multiLevelType w:val="hybridMultilevel"/>
    <w:tmpl w:val="897A9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3346EC6"/>
    <w:multiLevelType w:val="hybridMultilevel"/>
    <w:tmpl w:val="55E6B8A4"/>
    <w:lvl w:ilvl="0" w:tplc="430A3A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3B243C5"/>
    <w:multiLevelType w:val="hybridMultilevel"/>
    <w:tmpl w:val="30A475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nsid w:val="143912B2"/>
    <w:multiLevelType w:val="hybridMultilevel"/>
    <w:tmpl w:val="DBEA5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E0A2641"/>
    <w:multiLevelType w:val="multilevel"/>
    <w:tmpl w:val="2FAADD8C"/>
    <w:lvl w:ilvl="0">
      <w:start w:val="1"/>
      <w:numFmt w:val="decimal"/>
      <w:lvlText w:val="%1."/>
      <w:lvlJc w:val="left"/>
      <w:pPr>
        <w:ind w:left="720" w:hanging="360"/>
      </w:pPr>
      <w:rPr>
        <w:rFonts w:hint="default"/>
        <w:b w:val="0"/>
      </w:rPr>
    </w:lvl>
    <w:lvl w:ilvl="1">
      <w:start w:val="1"/>
      <w:numFmt w:val="decimal"/>
      <w:isLgl/>
      <w:lvlText w:val="%1.%2"/>
      <w:lvlJc w:val="left"/>
      <w:pPr>
        <w:ind w:left="1080" w:hanging="540"/>
      </w:pPr>
      <w:rPr>
        <w:rFonts w:eastAsia="Calibri" w:hint="default"/>
      </w:rPr>
    </w:lvl>
    <w:lvl w:ilvl="2">
      <w:start w:val="6"/>
      <w:numFmt w:val="decimal"/>
      <w:isLgl/>
      <w:lvlText w:val="%1.%2.%3"/>
      <w:lvlJc w:val="left"/>
      <w:pPr>
        <w:ind w:left="1440" w:hanging="720"/>
      </w:pPr>
      <w:rPr>
        <w:rFonts w:eastAsia="Calibri" w:hint="default"/>
      </w:rPr>
    </w:lvl>
    <w:lvl w:ilvl="3">
      <w:start w:val="1"/>
      <w:numFmt w:val="decimal"/>
      <w:isLgl/>
      <w:lvlText w:val="%1.%2.%3.%4"/>
      <w:lvlJc w:val="left"/>
      <w:pPr>
        <w:ind w:left="1620" w:hanging="720"/>
      </w:pPr>
      <w:rPr>
        <w:rFonts w:eastAsia="Calibri" w:hint="default"/>
      </w:rPr>
    </w:lvl>
    <w:lvl w:ilvl="4">
      <w:start w:val="1"/>
      <w:numFmt w:val="decimal"/>
      <w:isLgl/>
      <w:lvlText w:val="%1.%2.%3.%4.%5"/>
      <w:lvlJc w:val="left"/>
      <w:pPr>
        <w:ind w:left="2160" w:hanging="1080"/>
      </w:pPr>
      <w:rPr>
        <w:rFonts w:eastAsia="Calibri" w:hint="default"/>
      </w:rPr>
    </w:lvl>
    <w:lvl w:ilvl="5">
      <w:start w:val="1"/>
      <w:numFmt w:val="decimal"/>
      <w:isLgl/>
      <w:lvlText w:val="%1.%2.%3.%4.%5.%6"/>
      <w:lvlJc w:val="left"/>
      <w:pPr>
        <w:ind w:left="2340" w:hanging="1080"/>
      </w:pPr>
      <w:rPr>
        <w:rFonts w:eastAsia="Calibri" w:hint="default"/>
      </w:rPr>
    </w:lvl>
    <w:lvl w:ilvl="6">
      <w:start w:val="1"/>
      <w:numFmt w:val="decimal"/>
      <w:isLgl/>
      <w:lvlText w:val="%1.%2.%3.%4.%5.%6.%7"/>
      <w:lvlJc w:val="left"/>
      <w:pPr>
        <w:ind w:left="2880" w:hanging="1440"/>
      </w:pPr>
      <w:rPr>
        <w:rFonts w:eastAsia="Calibri" w:hint="default"/>
      </w:rPr>
    </w:lvl>
    <w:lvl w:ilvl="7">
      <w:start w:val="1"/>
      <w:numFmt w:val="decimal"/>
      <w:isLgl/>
      <w:lvlText w:val="%1.%2.%3.%4.%5.%6.%7.%8"/>
      <w:lvlJc w:val="left"/>
      <w:pPr>
        <w:ind w:left="3060" w:hanging="1440"/>
      </w:pPr>
      <w:rPr>
        <w:rFonts w:eastAsia="Calibri" w:hint="default"/>
      </w:rPr>
    </w:lvl>
    <w:lvl w:ilvl="8">
      <w:start w:val="1"/>
      <w:numFmt w:val="decimal"/>
      <w:isLgl/>
      <w:lvlText w:val="%1.%2.%3.%4.%5.%6.%7.%8.%9"/>
      <w:lvlJc w:val="left"/>
      <w:pPr>
        <w:ind w:left="3600" w:hanging="1800"/>
      </w:pPr>
      <w:rPr>
        <w:rFonts w:eastAsia="Calibri" w:hint="default"/>
      </w:rPr>
    </w:lvl>
  </w:abstractNum>
  <w:abstractNum w:abstractNumId="14">
    <w:nsid w:val="2279366F"/>
    <w:multiLevelType w:val="hybridMultilevel"/>
    <w:tmpl w:val="2BCA5208"/>
    <w:lvl w:ilvl="0" w:tplc="04FC8A5A">
      <w:start w:val="1"/>
      <w:numFmt w:val="decimal"/>
      <w:lvlText w:val="%1)"/>
      <w:lvlJc w:val="left"/>
      <w:pPr>
        <w:ind w:left="1710" w:hanging="9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22BB1476"/>
    <w:multiLevelType w:val="hybridMultilevel"/>
    <w:tmpl w:val="9B2EA4FE"/>
    <w:lvl w:ilvl="0" w:tplc="1130CB68">
      <w:start w:val="1"/>
      <w:numFmt w:val="upp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360527E"/>
    <w:multiLevelType w:val="hybridMultilevel"/>
    <w:tmpl w:val="C4848D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63A2C45"/>
    <w:multiLevelType w:val="hybridMultilevel"/>
    <w:tmpl w:val="1C44B5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93106FC"/>
    <w:multiLevelType w:val="hybridMultilevel"/>
    <w:tmpl w:val="73448F24"/>
    <w:lvl w:ilvl="0" w:tplc="1F6CC7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E467E96"/>
    <w:multiLevelType w:val="hybridMultilevel"/>
    <w:tmpl w:val="F16434B8"/>
    <w:lvl w:ilvl="0" w:tplc="B88A3CD4">
      <w:start w:val="1"/>
      <w:numFmt w:val="decimal"/>
      <w:lvlText w:val="%1)"/>
      <w:lvlJc w:val="left"/>
      <w:pPr>
        <w:ind w:left="720" w:hanging="360"/>
      </w:pPr>
      <w:rPr>
        <w:rFonts w:ascii="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EB92B52"/>
    <w:multiLevelType w:val="hybridMultilevel"/>
    <w:tmpl w:val="F3B05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F6D2BEA"/>
    <w:multiLevelType w:val="hybridMultilevel"/>
    <w:tmpl w:val="B4244C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2F9938A7"/>
    <w:multiLevelType w:val="hybridMultilevel"/>
    <w:tmpl w:val="1CB49F14"/>
    <w:lvl w:ilvl="0" w:tplc="2F88C94C">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FE519C0"/>
    <w:multiLevelType w:val="hybridMultilevel"/>
    <w:tmpl w:val="A2ECA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E56DA0"/>
    <w:multiLevelType w:val="hybridMultilevel"/>
    <w:tmpl w:val="E708C1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25">
    <w:nsid w:val="423664E1"/>
    <w:multiLevelType w:val="hybridMultilevel"/>
    <w:tmpl w:val="63D65FAA"/>
    <w:lvl w:ilvl="0" w:tplc="24183386">
      <w:start w:val="5"/>
      <w:numFmt w:val="lowerRoman"/>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42A61524"/>
    <w:multiLevelType w:val="hybridMultilevel"/>
    <w:tmpl w:val="A3D6F756"/>
    <w:lvl w:ilvl="0" w:tplc="EE9449D4">
      <w:start w:val="1"/>
      <w:numFmt w:val="bullet"/>
      <w:lvlText w:val="-"/>
      <w:lvlJc w:val="left"/>
      <w:pPr>
        <w:ind w:left="720" w:hanging="360"/>
      </w:pPr>
      <w:rPr>
        <w:rFonts w:ascii="Cambria" w:eastAsiaTheme="majorEastAsia" w:hAnsi="Cambria" w:cstheme="majorBidi" w:hint="default"/>
        <w:color w:val="243F60" w:themeColor="accent1" w:themeShade="7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4C61277"/>
    <w:multiLevelType w:val="hybridMultilevel"/>
    <w:tmpl w:val="2AC29A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6B25124"/>
    <w:multiLevelType w:val="hybridMultilevel"/>
    <w:tmpl w:val="EB666224"/>
    <w:lvl w:ilvl="0" w:tplc="92AC3A04">
      <w:start w:val="1"/>
      <w:numFmt w:val="lowerRoman"/>
      <w:lvlText w:val="%1)"/>
      <w:lvlJc w:val="left"/>
      <w:pPr>
        <w:ind w:left="1080" w:hanging="720"/>
      </w:pPr>
      <w:rPr>
        <w:rFonts w:ascii="Times New Roman" w:eastAsia="Calibri" w:hAnsi="Times New Roman" w:cs="Calibri"/>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A50255C"/>
    <w:multiLevelType w:val="hybridMultilevel"/>
    <w:tmpl w:val="CFA226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4F750E8B"/>
    <w:multiLevelType w:val="hybridMultilevel"/>
    <w:tmpl w:val="49C8148E"/>
    <w:lvl w:ilvl="0" w:tplc="EE9449D4">
      <w:start w:val="1"/>
      <w:numFmt w:val="bullet"/>
      <w:lvlText w:val="-"/>
      <w:lvlJc w:val="left"/>
      <w:pPr>
        <w:ind w:left="720" w:hanging="360"/>
      </w:pPr>
      <w:rPr>
        <w:rFonts w:ascii="Cambria" w:eastAsiaTheme="majorEastAsia" w:hAnsi="Cambria" w:cstheme="majorBidi" w:hint="default"/>
        <w:color w:val="243F60" w:themeColor="accent1" w:themeShade="7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1C36CDC"/>
    <w:multiLevelType w:val="hybridMultilevel"/>
    <w:tmpl w:val="9700436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2">
    <w:nsid w:val="51D172B6"/>
    <w:multiLevelType w:val="hybridMultilevel"/>
    <w:tmpl w:val="B10A7466"/>
    <w:lvl w:ilvl="0" w:tplc="23AE48D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4CF608C"/>
    <w:multiLevelType w:val="hybridMultilevel"/>
    <w:tmpl w:val="ABA67698"/>
    <w:lvl w:ilvl="0" w:tplc="32C8B094">
      <w:start w:val="1"/>
      <w:numFmt w:val="bullet"/>
      <w:lvlText w:val="-"/>
      <w:lvlJc w:val="left"/>
      <w:pPr>
        <w:ind w:left="720" w:hanging="360"/>
      </w:pPr>
      <w:rPr>
        <w:rFonts w:ascii="Cambria" w:eastAsiaTheme="majorEastAsia" w:hAnsi="Cambria"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56144F2"/>
    <w:multiLevelType w:val="hybridMultilevel"/>
    <w:tmpl w:val="274294D6"/>
    <w:lvl w:ilvl="0" w:tplc="653E7F2C">
      <w:start w:val="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6A551EC"/>
    <w:multiLevelType w:val="hybridMultilevel"/>
    <w:tmpl w:val="E3223C44"/>
    <w:lvl w:ilvl="0" w:tplc="062066BE">
      <w:start w:val="6"/>
      <w:numFmt w:val="lowerRoman"/>
      <w:lvlText w:val="%1)"/>
      <w:lvlJc w:val="left"/>
      <w:pPr>
        <w:ind w:left="720" w:hanging="720"/>
      </w:pPr>
      <w:rPr>
        <w:rFonts w:cstheme="maj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56E5539E"/>
    <w:multiLevelType w:val="hybridMultilevel"/>
    <w:tmpl w:val="23ACFC5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B3D6ADB"/>
    <w:multiLevelType w:val="hybridMultilevel"/>
    <w:tmpl w:val="17F8FDB8"/>
    <w:lvl w:ilvl="0" w:tplc="5D422760">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nsid w:val="5C131267"/>
    <w:multiLevelType w:val="hybridMultilevel"/>
    <w:tmpl w:val="5EA8A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34B0147"/>
    <w:multiLevelType w:val="hybridMultilevel"/>
    <w:tmpl w:val="1B48FCBE"/>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75027FC"/>
    <w:multiLevelType w:val="hybridMultilevel"/>
    <w:tmpl w:val="BCA47E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8887FC2"/>
    <w:multiLevelType w:val="hybridMultilevel"/>
    <w:tmpl w:val="4A54D0CC"/>
    <w:lvl w:ilvl="0" w:tplc="7B16934C">
      <w:start w:val="1"/>
      <w:numFmt w:val="lowerRoman"/>
      <w:lvlText w:val="%1)"/>
      <w:lvlJc w:val="left"/>
      <w:pPr>
        <w:ind w:left="36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B072DF8"/>
    <w:multiLevelType w:val="hybridMultilevel"/>
    <w:tmpl w:val="C7164D96"/>
    <w:lvl w:ilvl="0" w:tplc="2418338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6BC35A69"/>
    <w:multiLevelType w:val="hybridMultilevel"/>
    <w:tmpl w:val="AFF0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E7E38BE"/>
    <w:multiLevelType w:val="hybridMultilevel"/>
    <w:tmpl w:val="4D6EFF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nsid w:val="6F1A0333"/>
    <w:multiLevelType w:val="hybridMultilevel"/>
    <w:tmpl w:val="E55A6B44"/>
    <w:lvl w:ilvl="0" w:tplc="2418338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14B257F"/>
    <w:multiLevelType w:val="hybridMultilevel"/>
    <w:tmpl w:val="8340C49C"/>
    <w:lvl w:ilvl="0" w:tplc="25B4DEA2">
      <w:numFmt w:val="bullet"/>
      <w:lvlText w:val="-"/>
      <w:lvlJc w:val="left"/>
      <w:pPr>
        <w:ind w:left="1080" w:hanging="360"/>
      </w:pPr>
      <w:rPr>
        <w:rFonts w:ascii="Times New Roman" w:eastAsiaTheme="minorHAnsi"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nsid w:val="73710589"/>
    <w:multiLevelType w:val="hybridMultilevel"/>
    <w:tmpl w:val="02C49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48E32CC"/>
    <w:multiLevelType w:val="hybridMultilevel"/>
    <w:tmpl w:val="DD2688A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77F00788"/>
    <w:multiLevelType w:val="hybridMultilevel"/>
    <w:tmpl w:val="886AE324"/>
    <w:lvl w:ilvl="0" w:tplc="465CC03E">
      <w:start w:val="1"/>
      <w:numFmt w:val="bullet"/>
      <w:lvlText w:val="-"/>
      <w:lvlJc w:val="left"/>
      <w:pPr>
        <w:ind w:left="720" w:hanging="360"/>
      </w:pPr>
      <w:rPr>
        <w:rFonts w:ascii="Cambria" w:eastAsiaTheme="majorEastAsia" w:hAnsi="Cambria"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882744E"/>
    <w:multiLevelType w:val="multilevel"/>
    <w:tmpl w:val="4FE43C3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7CAA5431"/>
    <w:multiLevelType w:val="hybridMultilevel"/>
    <w:tmpl w:val="212AA1E2"/>
    <w:lvl w:ilvl="0" w:tplc="EE9449D4">
      <w:start w:val="1"/>
      <w:numFmt w:val="bullet"/>
      <w:lvlText w:val="-"/>
      <w:lvlJc w:val="left"/>
      <w:pPr>
        <w:ind w:left="780" w:hanging="360"/>
      </w:pPr>
      <w:rPr>
        <w:rFonts w:ascii="Cambria" w:eastAsiaTheme="majorEastAsia" w:hAnsi="Cambria" w:cstheme="majorBidi" w:hint="default"/>
        <w:color w:val="243F60" w:themeColor="accent1" w:themeShade="7F"/>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2">
    <w:nsid w:val="7D1B493A"/>
    <w:multiLevelType w:val="hybridMultilevel"/>
    <w:tmpl w:val="F550C1C2"/>
    <w:lvl w:ilvl="0" w:tplc="08090011">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7E54431F"/>
    <w:multiLevelType w:val="hybridMultilevel"/>
    <w:tmpl w:val="576676B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4">
    <w:nsid w:val="7F4E1C2E"/>
    <w:multiLevelType w:val="hybridMultilevel"/>
    <w:tmpl w:val="7F543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2"/>
  </w:num>
  <w:num w:numId="3">
    <w:abstractNumId w:val="10"/>
  </w:num>
  <w:num w:numId="4">
    <w:abstractNumId w:val="18"/>
  </w:num>
  <w:num w:numId="5">
    <w:abstractNumId w:val="34"/>
  </w:num>
  <w:num w:numId="6">
    <w:abstractNumId w:val="6"/>
  </w:num>
  <w:num w:numId="7">
    <w:abstractNumId w:val="48"/>
  </w:num>
  <w:num w:numId="8">
    <w:abstractNumId w:val="40"/>
  </w:num>
  <w:num w:numId="9">
    <w:abstractNumId w:val="45"/>
  </w:num>
  <w:num w:numId="10">
    <w:abstractNumId w:val="35"/>
  </w:num>
  <w:num w:numId="11">
    <w:abstractNumId w:val="42"/>
  </w:num>
  <w:num w:numId="12">
    <w:abstractNumId w:val="25"/>
  </w:num>
  <w:num w:numId="13">
    <w:abstractNumId w:val="26"/>
  </w:num>
  <w:num w:numId="14">
    <w:abstractNumId w:val="33"/>
  </w:num>
  <w:num w:numId="15">
    <w:abstractNumId w:val="49"/>
  </w:num>
  <w:num w:numId="16">
    <w:abstractNumId w:val="16"/>
  </w:num>
  <w:num w:numId="17">
    <w:abstractNumId w:val="19"/>
  </w:num>
  <w:num w:numId="18">
    <w:abstractNumId w:val="8"/>
  </w:num>
  <w:num w:numId="19">
    <w:abstractNumId w:val="14"/>
  </w:num>
  <w:num w:numId="20">
    <w:abstractNumId w:val="27"/>
  </w:num>
  <w:num w:numId="21">
    <w:abstractNumId w:val="44"/>
  </w:num>
  <w:num w:numId="22">
    <w:abstractNumId w:val="47"/>
  </w:num>
  <w:num w:numId="23">
    <w:abstractNumId w:val="9"/>
  </w:num>
  <w:num w:numId="24">
    <w:abstractNumId w:val="5"/>
  </w:num>
  <w:num w:numId="25">
    <w:abstractNumId w:val="23"/>
  </w:num>
  <w:num w:numId="26">
    <w:abstractNumId w:val="20"/>
  </w:num>
  <w:num w:numId="27">
    <w:abstractNumId w:val="24"/>
  </w:num>
  <w:num w:numId="28">
    <w:abstractNumId w:val="4"/>
  </w:num>
  <w:num w:numId="29">
    <w:abstractNumId w:val="38"/>
  </w:num>
  <w:num w:numId="30">
    <w:abstractNumId w:val="32"/>
  </w:num>
  <w:num w:numId="31">
    <w:abstractNumId w:val="53"/>
  </w:num>
  <w:num w:numId="32">
    <w:abstractNumId w:val="31"/>
  </w:num>
  <w:num w:numId="33">
    <w:abstractNumId w:val="12"/>
  </w:num>
  <w:num w:numId="34">
    <w:abstractNumId w:val="37"/>
  </w:num>
  <w:num w:numId="35">
    <w:abstractNumId w:val="46"/>
  </w:num>
  <w:num w:numId="36">
    <w:abstractNumId w:val="11"/>
  </w:num>
  <w:num w:numId="37">
    <w:abstractNumId w:val="43"/>
  </w:num>
  <w:num w:numId="38">
    <w:abstractNumId w:val="1"/>
  </w:num>
  <w:num w:numId="39">
    <w:abstractNumId w:val="21"/>
  </w:num>
  <w:num w:numId="40">
    <w:abstractNumId w:val="29"/>
  </w:num>
  <w:num w:numId="41">
    <w:abstractNumId w:val="36"/>
  </w:num>
  <w:num w:numId="42">
    <w:abstractNumId w:val="0"/>
  </w:num>
  <w:num w:numId="43">
    <w:abstractNumId w:val="13"/>
  </w:num>
  <w:num w:numId="44">
    <w:abstractNumId w:val="51"/>
  </w:num>
  <w:num w:numId="45">
    <w:abstractNumId w:val="17"/>
  </w:num>
  <w:num w:numId="46">
    <w:abstractNumId w:val="30"/>
  </w:num>
  <w:num w:numId="47">
    <w:abstractNumId w:val="54"/>
  </w:num>
  <w:num w:numId="48">
    <w:abstractNumId w:val="28"/>
  </w:num>
  <w:num w:numId="49">
    <w:abstractNumId w:val="41"/>
  </w:num>
  <w:num w:numId="50">
    <w:abstractNumId w:val="50"/>
  </w:num>
  <w:num w:numId="51">
    <w:abstractNumId w:val="39"/>
  </w:num>
  <w:num w:numId="52">
    <w:abstractNumId w:val="15"/>
  </w:num>
  <w:num w:numId="53">
    <w:abstractNumId w:val="3"/>
  </w:num>
  <w:num w:numId="54">
    <w:abstractNumId w:val="22"/>
  </w:num>
  <w:num w:numId="55">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BE" w:vendorID="64" w:dllVersion="131078" w:nlCheck="1" w:checkStyle="0"/>
  <w:revisionView w:markup="0"/>
  <w:defaultTabStop w:val="720"/>
  <w:hyphenationZone w:val="425"/>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2BB32C0-6F1B-43B7-BC7B-632F1290AE5B"/>
    <w:docVar w:name="LW_COVERPAGE_TYPE" w:val="1"/>
    <w:docVar w:name="LW_CROSSREFERENCE" w:val="{SWD(2018) 431 final}"/>
    <w:docVar w:name="LW_DocType" w:val="NORMAL"/>
    <w:docVar w:name="LW_EMISSION" w:val="11.10.2018"/>
    <w:docVar w:name="LW_EMISSION_ISODATE" w:val="2018-10-11"/>
    <w:docVar w:name="LW_EMISSION_LOCATION" w:val="BRX"/>
    <w:docVar w:name="LW_EMISSION_PREFIX" w:val="Брюксел, "/>
    <w:docVar w:name="LW_EMISSION_SUFFIX" w:val=" \u1075?."/>
    <w:docVar w:name="LW_ID_DOCTYPE_NONLW" w:val="CP-01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67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Font=Calibri Cyr,Bold&gt;\u1059?\u1089?\u1090?\u1086?\u1081?\u1095?\u1080?\u1074?\u1072? \u1073?\u1080?\u1086?\u1080?\u1082?\u1086?\u1085?\u1086?\u1084?\u1080?\u1082?\u1072? \u1079?\u1072? \u1045?\u1074?\u1088?\u1086?\u1087?\u1072?: \u1091?\u1082?\u1088?\u1077?\u1087?\u1074?\u1072?\u1085?\u1077? \u1085?\u1072? \u1074?\u1088?\u1098?\u1079?\u1082?\u1072?\u1090?\u1072? \u1084?\u1077?\u1078?\u1076?\u1091? \u1080?\u1082?\u1086?\u1085?\u1086?\u1084?\u1080?\u1082?\u1072?\u1090?\u1072?, \u1086?\u1073?\u1097?\u1077?\u1089?\u1090?\u1074?\u1086?\u1090?\u1086? \u1080? \u1086?\u1082?\u1086?\u1083?\u1085?\u1072?\u1090?\u1072? \u1089?\u1088?\u1077?\u1076?\u1072?&lt;/FMT&gt;"/>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eastAsia="Calibri" w:hAnsi="Calibri" w:cs="Calibri"/>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basedOn w:val="DefaultParagraphFont"/>
    <w:uiPriority w:val="99"/>
    <w:unhideWhenUsed/>
    <w:rPr>
      <w:shd w:val="clear" w:color="auto" w:fill="auto"/>
      <w:vertAlign w:val="superscript"/>
    </w:rPr>
  </w:style>
  <w:style w:type="paragraph" w:styleId="FootnoteText">
    <w:name w:val="footnote text"/>
    <w:basedOn w:val="Normal"/>
    <w:link w:val="FootnoteTextChar"/>
    <w:uiPriority w:val="99"/>
    <w:unhideWhenUsed/>
    <w:pPr>
      <w:ind w:left="720" w:hanging="720"/>
      <w:jc w:val="both"/>
    </w:pPr>
    <w:rPr>
      <w:rFonts w:ascii="Times New Roman" w:eastAsiaTheme="minorHAnsi"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eastAsia="Calibri"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eastAsia="Calibri" w:hAnsi="Times New Roman" w:cs="Times New Roman"/>
      <w:b/>
      <w:sz w:val="32"/>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Pr>
      <w:rFonts w:ascii="Times New Roman" w:eastAsiaTheme="majorEastAsia" w:hAnsi="Times New Roman" w:cstheme="majorBidi"/>
      <w:b/>
      <w:sz w:val="24"/>
      <w:szCs w:val="26"/>
    </w:rPr>
  </w:style>
  <w:style w:type="paragraph" w:customStyle="1" w:styleId="RTDBody">
    <w:name w:val="RTD Body"/>
    <w:basedOn w:val="Normal"/>
    <w:link w:val="RTDBodyChar"/>
    <w:qFormat/>
    <w:pPr>
      <w:jc w:val="both"/>
    </w:pPr>
    <w:rPr>
      <w:rFonts w:ascii="Times New Roman" w:hAnsi="Times New Roman"/>
      <w:sz w:val="24"/>
      <w:szCs w:val="19"/>
    </w:rPr>
  </w:style>
  <w:style w:type="character" w:customStyle="1" w:styleId="RTDBodyChar">
    <w:name w:val="RTD Body Char"/>
    <w:link w:val="RTDBody"/>
    <w:rPr>
      <w:rFonts w:ascii="Times New Roman" w:hAnsi="Times New Roman"/>
      <w:sz w:val="24"/>
      <w:szCs w:val="19"/>
      <w:lang w:val="bg-BG"/>
    </w:rPr>
  </w:style>
  <w:style w:type="character" w:customStyle="1" w:styleId="white-space">
    <w:name w:val="white-space"/>
    <w:basedOn w:val="DefaultParagraphFont"/>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lfuvd">
    <w:name w:val="ilfuvd"/>
    <w:basedOn w:val="DefaultParagraphFont"/>
  </w:style>
  <w:style w:type="character" w:customStyle="1" w:styleId="st">
    <w:name w:val="st"/>
    <w:basedOn w:val="DefaultParagraphFont"/>
  </w:style>
  <w:style w:type="paragraph" w:customStyle="1" w:styleId="SUPERSChar">
    <w:name w:val="SUPERS Char"/>
    <w:aliases w:val="EN Footnote Reference Char"/>
    <w:basedOn w:val="Normal"/>
    <w:uiPriority w:val="99"/>
    <w:pPr>
      <w:widowControl w:val="0"/>
      <w:adjustRightInd w:val="0"/>
      <w:spacing w:after="160" w:line="240" w:lineRule="exact"/>
      <w:jc w:val="both"/>
    </w:pPr>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Pr>
      <w:b/>
      <w:bCs/>
      <w:i w:val="0"/>
      <w:iCs w:val="0"/>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filetitle1">
    <w:name w:val="file__title1"/>
    <w:basedOn w:val="DefaultParagraphFont"/>
    <w:rPr>
      <w:b/>
      <w:bCs/>
    </w:rPr>
  </w:style>
  <w:style w:type="character" w:customStyle="1" w:styleId="st1">
    <w:name w:val="st1"/>
    <w:basedOn w:val="DefaultParagraphFont"/>
  </w:style>
  <w:style w:type="paragraph" w:customStyle="1" w:styleId="CM3">
    <w:name w:val="CM3"/>
    <w:basedOn w:val="Default"/>
    <w:next w:val="Default"/>
    <w:uiPriority w:val="99"/>
    <w:rPr>
      <w:rFonts w:ascii="EUAlbertina" w:hAnsi="EUAlbertina" w:cstheme="minorBidi"/>
      <w:color w:val="auto"/>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
    <w:name w:val="Light Shading1"/>
    <w:basedOn w:val="TableNormal"/>
    <w:next w:val="LightShading"/>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eastAsia="Calibri" w:hAnsi="Calibri" w:cs="Calibri"/>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basedOn w:val="DefaultParagraphFont"/>
    <w:uiPriority w:val="99"/>
    <w:unhideWhenUsed/>
    <w:rPr>
      <w:shd w:val="clear" w:color="auto" w:fill="auto"/>
      <w:vertAlign w:val="superscript"/>
    </w:rPr>
  </w:style>
  <w:style w:type="paragraph" w:styleId="FootnoteText">
    <w:name w:val="footnote text"/>
    <w:basedOn w:val="Normal"/>
    <w:link w:val="FootnoteTextChar"/>
    <w:uiPriority w:val="99"/>
    <w:unhideWhenUsed/>
    <w:pPr>
      <w:ind w:left="720" w:hanging="720"/>
      <w:jc w:val="both"/>
    </w:pPr>
    <w:rPr>
      <w:rFonts w:ascii="Times New Roman" w:eastAsiaTheme="minorHAnsi"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eastAsia="Calibri"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eastAsia="Calibri" w:hAnsi="Times New Roman" w:cs="Times New Roman"/>
      <w:b/>
      <w:sz w:val="32"/>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Pr>
      <w:rFonts w:ascii="Times New Roman" w:eastAsiaTheme="majorEastAsia" w:hAnsi="Times New Roman" w:cstheme="majorBidi"/>
      <w:b/>
      <w:sz w:val="24"/>
      <w:szCs w:val="26"/>
    </w:rPr>
  </w:style>
  <w:style w:type="paragraph" w:customStyle="1" w:styleId="RTDBody">
    <w:name w:val="RTD Body"/>
    <w:basedOn w:val="Normal"/>
    <w:link w:val="RTDBodyChar"/>
    <w:qFormat/>
    <w:pPr>
      <w:jc w:val="both"/>
    </w:pPr>
    <w:rPr>
      <w:rFonts w:ascii="Times New Roman" w:hAnsi="Times New Roman"/>
      <w:sz w:val="24"/>
      <w:szCs w:val="19"/>
    </w:rPr>
  </w:style>
  <w:style w:type="character" w:customStyle="1" w:styleId="RTDBodyChar">
    <w:name w:val="RTD Body Char"/>
    <w:link w:val="RTDBody"/>
    <w:rPr>
      <w:rFonts w:ascii="Times New Roman" w:hAnsi="Times New Roman"/>
      <w:sz w:val="24"/>
      <w:szCs w:val="19"/>
      <w:lang w:val="bg-BG"/>
    </w:rPr>
  </w:style>
  <w:style w:type="character" w:customStyle="1" w:styleId="white-space">
    <w:name w:val="white-space"/>
    <w:basedOn w:val="DefaultParagraphFont"/>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lfuvd">
    <w:name w:val="ilfuvd"/>
    <w:basedOn w:val="DefaultParagraphFont"/>
  </w:style>
  <w:style w:type="character" w:customStyle="1" w:styleId="st">
    <w:name w:val="st"/>
    <w:basedOn w:val="DefaultParagraphFont"/>
  </w:style>
  <w:style w:type="paragraph" w:customStyle="1" w:styleId="SUPERSChar">
    <w:name w:val="SUPERS Char"/>
    <w:aliases w:val="EN Footnote Reference Char"/>
    <w:basedOn w:val="Normal"/>
    <w:uiPriority w:val="99"/>
    <w:pPr>
      <w:widowControl w:val="0"/>
      <w:adjustRightInd w:val="0"/>
      <w:spacing w:after="160" w:line="240" w:lineRule="exact"/>
      <w:jc w:val="both"/>
    </w:pPr>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Pr>
      <w:b/>
      <w:bCs/>
      <w:i w:val="0"/>
      <w:iCs w:val="0"/>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filetitle1">
    <w:name w:val="file__title1"/>
    <w:basedOn w:val="DefaultParagraphFont"/>
    <w:rPr>
      <w:b/>
      <w:bCs/>
    </w:rPr>
  </w:style>
  <w:style w:type="character" w:customStyle="1" w:styleId="st1">
    <w:name w:val="st1"/>
    <w:basedOn w:val="DefaultParagraphFont"/>
  </w:style>
  <w:style w:type="paragraph" w:customStyle="1" w:styleId="CM3">
    <w:name w:val="CM3"/>
    <w:basedOn w:val="Default"/>
    <w:next w:val="Default"/>
    <w:uiPriority w:val="99"/>
    <w:rPr>
      <w:rFonts w:ascii="EUAlbertina" w:hAnsi="EUAlbertina" w:cstheme="minorBidi"/>
      <w:color w:val="auto"/>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
    <w:name w:val="Light Shading1"/>
    <w:basedOn w:val="TableNormal"/>
    <w:next w:val="LightShading"/>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1246">
      <w:bodyDiv w:val="1"/>
      <w:marLeft w:val="0"/>
      <w:marRight w:val="0"/>
      <w:marTop w:val="0"/>
      <w:marBottom w:val="0"/>
      <w:divBdr>
        <w:top w:val="none" w:sz="0" w:space="0" w:color="auto"/>
        <w:left w:val="none" w:sz="0" w:space="0" w:color="auto"/>
        <w:bottom w:val="none" w:sz="0" w:space="0" w:color="auto"/>
        <w:right w:val="none" w:sz="0" w:space="0" w:color="auto"/>
      </w:divBdr>
    </w:div>
    <w:div w:id="215432137">
      <w:bodyDiv w:val="1"/>
      <w:marLeft w:val="0"/>
      <w:marRight w:val="0"/>
      <w:marTop w:val="0"/>
      <w:marBottom w:val="0"/>
      <w:divBdr>
        <w:top w:val="none" w:sz="0" w:space="0" w:color="auto"/>
        <w:left w:val="none" w:sz="0" w:space="0" w:color="auto"/>
        <w:bottom w:val="none" w:sz="0" w:space="0" w:color="auto"/>
        <w:right w:val="none" w:sz="0" w:space="0" w:color="auto"/>
      </w:divBdr>
    </w:div>
    <w:div w:id="221908873">
      <w:bodyDiv w:val="1"/>
      <w:marLeft w:val="0"/>
      <w:marRight w:val="0"/>
      <w:marTop w:val="0"/>
      <w:marBottom w:val="0"/>
      <w:divBdr>
        <w:top w:val="none" w:sz="0" w:space="0" w:color="auto"/>
        <w:left w:val="none" w:sz="0" w:space="0" w:color="auto"/>
        <w:bottom w:val="none" w:sz="0" w:space="0" w:color="auto"/>
        <w:right w:val="none" w:sz="0" w:space="0" w:color="auto"/>
      </w:divBdr>
    </w:div>
    <w:div w:id="241644731">
      <w:bodyDiv w:val="1"/>
      <w:marLeft w:val="0"/>
      <w:marRight w:val="0"/>
      <w:marTop w:val="0"/>
      <w:marBottom w:val="0"/>
      <w:divBdr>
        <w:top w:val="none" w:sz="0" w:space="0" w:color="auto"/>
        <w:left w:val="none" w:sz="0" w:space="0" w:color="auto"/>
        <w:bottom w:val="none" w:sz="0" w:space="0" w:color="auto"/>
        <w:right w:val="none" w:sz="0" w:space="0" w:color="auto"/>
      </w:divBdr>
    </w:div>
    <w:div w:id="278882774">
      <w:bodyDiv w:val="1"/>
      <w:marLeft w:val="0"/>
      <w:marRight w:val="0"/>
      <w:marTop w:val="0"/>
      <w:marBottom w:val="0"/>
      <w:divBdr>
        <w:top w:val="none" w:sz="0" w:space="0" w:color="auto"/>
        <w:left w:val="none" w:sz="0" w:space="0" w:color="auto"/>
        <w:bottom w:val="none" w:sz="0" w:space="0" w:color="auto"/>
        <w:right w:val="none" w:sz="0" w:space="0" w:color="auto"/>
      </w:divBdr>
    </w:div>
    <w:div w:id="412818122">
      <w:bodyDiv w:val="1"/>
      <w:marLeft w:val="0"/>
      <w:marRight w:val="0"/>
      <w:marTop w:val="0"/>
      <w:marBottom w:val="0"/>
      <w:divBdr>
        <w:top w:val="none" w:sz="0" w:space="0" w:color="auto"/>
        <w:left w:val="none" w:sz="0" w:space="0" w:color="auto"/>
        <w:bottom w:val="none" w:sz="0" w:space="0" w:color="auto"/>
        <w:right w:val="none" w:sz="0" w:space="0" w:color="auto"/>
      </w:divBdr>
    </w:div>
    <w:div w:id="429199545">
      <w:bodyDiv w:val="1"/>
      <w:marLeft w:val="0"/>
      <w:marRight w:val="0"/>
      <w:marTop w:val="0"/>
      <w:marBottom w:val="0"/>
      <w:divBdr>
        <w:top w:val="none" w:sz="0" w:space="0" w:color="auto"/>
        <w:left w:val="none" w:sz="0" w:space="0" w:color="auto"/>
        <w:bottom w:val="none" w:sz="0" w:space="0" w:color="auto"/>
        <w:right w:val="none" w:sz="0" w:space="0" w:color="auto"/>
      </w:divBdr>
    </w:div>
    <w:div w:id="444496152">
      <w:bodyDiv w:val="1"/>
      <w:marLeft w:val="0"/>
      <w:marRight w:val="0"/>
      <w:marTop w:val="0"/>
      <w:marBottom w:val="0"/>
      <w:divBdr>
        <w:top w:val="none" w:sz="0" w:space="0" w:color="auto"/>
        <w:left w:val="none" w:sz="0" w:space="0" w:color="auto"/>
        <w:bottom w:val="none" w:sz="0" w:space="0" w:color="auto"/>
        <w:right w:val="none" w:sz="0" w:space="0" w:color="auto"/>
      </w:divBdr>
    </w:div>
    <w:div w:id="479076814">
      <w:bodyDiv w:val="1"/>
      <w:marLeft w:val="0"/>
      <w:marRight w:val="0"/>
      <w:marTop w:val="0"/>
      <w:marBottom w:val="0"/>
      <w:divBdr>
        <w:top w:val="none" w:sz="0" w:space="0" w:color="auto"/>
        <w:left w:val="none" w:sz="0" w:space="0" w:color="auto"/>
        <w:bottom w:val="none" w:sz="0" w:space="0" w:color="auto"/>
        <w:right w:val="none" w:sz="0" w:space="0" w:color="auto"/>
      </w:divBdr>
    </w:div>
    <w:div w:id="499463579">
      <w:bodyDiv w:val="1"/>
      <w:marLeft w:val="0"/>
      <w:marRight w:val="0"/>
      <w:marTop w:val="0"/>
      <w:marBottom w:val="0"/>
      <w:divBdr>
        <w:top w:val="none" w:sz="0" w:space="0" w:color="auto"/>
        <w:left w:val="none" w:sz="0" w:space="0" w:color="auto"/>
        <w:bottom w:val="none" w:sz="0" w:space="0" w:color="auto"/>
        <w:right w:val="none" w:sz="0" w:space="0" w:color="auto"/>
      </w:divBdr>
    </w:div>
    <w:div w:id="512111226">
      <w:bodyDiv w:val="1"/>
      <w:marLeft w:val="0"/>
      <w:marRight w:val="0"/>
      <w:marTop w:val="0"/>
      <w:marBottom w:val="0"/>
      <w:divBdr>
        <w:top w:val="none" w:sz="0" w:space="0" w:color="auto"/>
        <w:left w:val="none" w:sz="0" w:space="0" w:color="auto"/>
        <w:bottom w:val="none" w:sz="0" w:space="0" w:color="auto"/>
        <w:right w:val="none" w:sz="0" w:space="0" w:color="auto"/>
      </w:divBdr>
      <w:divsChild>
        <w:div w:id="1271739173">
          <w:marLeft w:val="0"/>
          <w:marRight w:val="0"/>
          <w:marTop w:val="0"/>
          <w:marBottom w:val="0"/>
          <w:divBdr>
            <w:top w:val="none" w:sz="0" w:space="0" w:color="auto"/>
            <w:left w:val="none" w:sz="0" w:space="0" w:color="auto"/>
            <w:bottom w:val="none" w:sz="0" w:space="0" w:color="auto"/>
            <w:right w:val="none" w:sz="0" w:space="0" w:color="auto"/>
          </w:divBdr>
          <w:divsChild>
            <w:div w:id="3366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460490">
      <w:bodyDiv w:val="1"/>
      <w:marLeft w:val="0"/>
      <w:marRight w:val="0"/>
      <w:marTop w:val="0"/>
      <w:marBottom w:val="0"/>
      <w:divBdr>
        <w:top w:val="none" w:sz="0" w:space="0" w:color="auto"/>
        <w:left w:val="none" w:sz="0" w:space="0" w:color="auto"/>
        <w:bottom w:val="none" w:sz="0" w:space="0" w:color="auto"/>
        <w:right w:val="none" w:sz="0" w:space="0" w:color="auto"/>
      </w:divBdr>
    </w:div>
    <w:div w:id="707876104">
      <w:bodyDiv w:val="1"/>
      <w:marLeft w:val="0"/>
      <w:marRight w:val="0"/>
      <w:marTop w:val="0"/>
      <w:marBottom w:val="0"/>
      <w:divBdr>
        <w:top w:val="none" w:sz="0" w:space="0" w:color="auto"/>
        <w:left w:val="none" w:sz="0" w:space="0" w:color="auto"/>
        <w:bottom w:val="none" w:sz="0" w:space="0" w:color="auto"/>
        <w:right w:val="none" w:sz="0" w:space="0" w:color="auto"/>
      </w:divBdr>
    </w:div>
    <w:div w:id="810253448">
      <w:bodyDiv w:val="1"/>
      <w:marLeft w:val="0"/>
      <w:marRight w:val="0"/>
      <w:marTop w:val="0"/>
      <w:marBottom w:val="0"/>
      <w:divBdr>
        <w:top w:val="none" w:sz="0" w:space="0" w:color="auto"/>
        <w:left w:val="none" w:sz="0" w:space="0" w:color="auto"/>
        <w:bottom w:val="none" w:sz="0" w:space="0" w:color="auto"/>
        <w:right w:val="none" w:sz="0" w:space="0" w:color="auto"/>
      </w:divBdr>
    </w:div>
    <w:div w:id="828902727">
      <w:bodyDiv w:val="1"/>
      <w:marLeft w:val="0"/>
      <w:marRight w:val="0"/>
      <w:marTop w:val="0"/>
      <w:marBottom w:val="0"/>
      <w:divBdr>
        <w:top w:val="none" w:sz="0" w:space="0" w:color="auto"/>
        <w:left w:val="none" w:sz="0" w:space="0" w:color="auto"/>
        <w:bottom w:val="none" w:sz="0" w:space="0" w:color="auto"/>
        <w:right w:val="none" w:sz="0" w:space="0" w:color="auto"/>
      </w:divBdr>
    </w:div>
    <w:div w:id="908805123">
      <w:bodyDiv w:val="1"/>
      <w:marLeft w:val="0"/>
      <w:marRight w:val="0"/>
      <w:marTop w:val="0"/>
      <w:marBottom w:val="0"/>
      <w:divBdr>
        <w:top w:val="none" w:sz="0" w:space="0" w:color="auto"/>
        <w:left w:val="none" w:sz="0" w:space="0" w:color="auto"/>
        <w:bottom w:val="none" w:sz="0" w:space="0" w:color="auto"/>
        <w:right w:val="none" w:sz="0" w:space="0" w:color="auto"/>
      </w:divBdr>
    </w:div>
    <w:div w:id="929506722">
      <w:bodyDiv w:val="1"/>
      <w:marLeft w:val="0"/>
      <w:marRight w:val="0"/>
      <w:marTop w:val="0"/>
      <w:marBottom w:val="0"/>
      <w:divBdr>
        <w:top w:val="none" w:sz="0" w:space="0" w:color="auto"/>
        <w:left w:val="none" w:sz="0" w:space="0" w:color="auto"/>
        <w:bottom w:val="none" w:sz="0" w:space="0" w:color="auto"/>
        <w:right w:val="none" w:sz="0" w:space="0" w:color="auto"/>
      </w:divBdr>
    </w:div>
    <w:div w:id="939992516">
      <w:bodyDiv w:val="1"/>
      <w:marLeft w:val="0"/>
      <w:marRight w:val="0"/>
      <w:marTop w:val="0"/>
      <w:marBottom w:val="0"/>
      <w:divBdr>
        <w:top w:val="none" w:sz="0" w:space="0" w:color="auto"/>
        <w:left w:val="none" w:sz="0" w:space="0" w:color="auto"/>
        <w:bottom w:val="none" w:sz="0" w:space="0" w:color="auto"/>
        <w:right w:val="none" w:sz="0" w:space="0" w:color="auto"/>
      </w:divBdr>
    </w:div>
    <w:div w:id="943154992">
      <w:bodyDiv w:val="1"/>
      <w:marLeft w:val="0"/>
      <w:marRight w:val="0"/>
      <w:marTop w:val="0"/>
      <w:marBottom w:val="0"/>
      <w:divBdr>
        <w:top w:val="none" w:sz="0" w:space="0" w:color="auto"/>
        <w:left w:val="none" w:sz="0" w:space="0" w:color="auto"/>
        <w:bottom w:val="none" w:sz="0" w:space="0" w:color="auto"/>
        <w:right w:val="none" w:sz="0" w:space="0" w:color="auto"/>
      </w:divBdr>
    </w:div>
    <w:div w:id="991638348">
      <w:bodyDiv w:val="1"/>
      <w:marLeft w:val="0"/>
      <w:marRight w:val="0"/>
      <w:marTop w:val="0"/>
      <w:marBottom w:val="0"/>
      <w:divBdr>
        <w:top w:val="none" w:sz="0" w:space="0" w:color="auto"/>
        <w:left w:val="none" w:sz="0" w:space="0" w:color="auto"/>
        <w:bottom w:val="none" w:sz="0" w:space="0" w:color="auto"/>
        <w:right w:val="none" w:sz="0" w:space="0" w:color="auto"/>
      </w:divBdr>
    </w:div>
    <w:div w:id="1102452979">
      <w:bodyDiv w:val="1"/>
      <w:marLeft w:val="0"/>
      <w:marRight w:val="0"/>
      <w:marTop w:val="0"/>
      <w:marBottom w:val="0"/>
      <w:divBdr>
        <w:top w:val="none" w:sz="0" w:space="0" w:color="auto"/>
        <w:left w:val="none" w:sz="0" w:space="0" w:color="auto"/>
        <w:bottom w:val="none" w:sz="0" w:space="0" w:color="auto"/>
        <w:right w:val="none" w:sz="0" w:space="0" w:color="auto"/>
      </w:divBdr>
    </w:div>
    <w:div w:id="1254626287">
      <w:bodyDiv w:val="1"/>
      <w:marLeft w:val="0"/>
      <w:marRight w:val="0"/>
      <w:marTop w:val="0"/>
      <w:marBottom w:val="0"/>
      <w:divBdr>
        <w:top w:val="none" w:sz="0" w:space="0" w:color="auto"/>
        <w:left w:val="none" w:sz="0" w:space="0" w:color="auto"/>
        <w:bottom w:val="none" w:sz="0" w:space="0" w:color="auto"/>
        <w:right w:val="none" w:sz="0" w:space="0" w:color="auto"/>
      </w:divBdr>
    </w:div>
    <w:div w:id="1292436955">
      <w:bodyDiv w:val="1"/>
      <w:marLeft w:val="0"/>
      <w:marRight w:val="0"/>
      <w:marTop w:val="0"/>
      <w:marBottom w:val="0"/>
      <w:divBdr>
        <w:top w:val="none" w:sz="0" w:space="0" w:color="auto"/>
        <w:left w:val="none" w:sz="0" w:space="0" w:color="auto"/>
        <w:bottom w:val="none" w:sz="0" w:space="0" w:color="auto"/>
        <w:right w:val="none" w:sz="0" w:space="0" w:color="auto"/>
      </w:divBdr>
    </w:div>
    <w:div w:id="1306160186">
      <w:bodyDiv w:val="1"/>
      <w:marLeft w:val="0"/>
      <w:marRight w:val="0"/>
      <w:marTop w:val="0"/>
      <w:marBottom w:val="0"/>
      <w:divBdr>
        <w:top w:val="none" w:sz="0" w:space="0" w:color="auto"/>
        <w:left w:val="none" w:sz="0" w:space="0" w:color="auto"/>
        <w:bottom w:val="none" w:sz="0" w:space="0" w:color="auto"/>
        <w:right w:val="none" w:sz="0" w:space="0" w:color="auto"/>
      </w:divBdr>
    </w:div>
    <w:div w:id="1312557361">
      <w:bodyDiv w:val="1"/>
      <w:marLeft w:val="0"/>
      <w:marRight w:val="0"/>
      <w:marTop w:val="0"/>
      <w:marBottom w:val="0"/>
      <w:divBdr>
        <w:top w:val="none" w:sz="0" w:space="0" w:color="auto"/>
        <w:left w:val="none" w:sz="0" w:space="0" w:color="auto"/>
        <w:bottom w:val="none" w:sz="0" w:space="0" w:color="auto"/>
        <w:right w:val="none" w:sz="0" w:space="0" w:color="auto"/>
      </w:divBdr>
    </w:div>
    <w:div w:id="1315140087">
      <w:bodyDiv w:val="1"/>
      <w:marLeft w:val="0"/>
      <w:marRight w:val="0"/>
      <w:marTop w:val="0"/>
      <w:marBottom w:val="0"/>
      <w:divBdr>
        <w:top w:val="none" w:sz="0" w:space="0" w:color="auto"/>
        <w:left w:val="none" w:sz="0" w:space="0" w:color="auto"/>
        <w:bottom w:val="none" w:sz="0" w:space="0" w:color="auto"/>
        <w:right w:val="none" w:sz="0" w:space="0" w:color="auto"/>
      </w:divBdr>
    </w:div>
    <w:div w:id="1332098788">
      <w:bodyDiv w:val="1"/>
      <w:marLeft w:val="0"/>
      <w:marRight w:val="0"/>
      <w:marTop w:val="0"/>
      <w:marBottom w:val="0"/>
      <w:divBdr>
        <w:top w:val="none" w:sz="0" w:space="0" w:color="auto"/>
        <w:left w:val="none" w:sz="0" w:space="0" w:color="auto"/>
        <w:bottom w:val="none" w:sz="0" w:space="0" w:color="auto"/>
        <w:right w:val="none" w:sz="0" w:space="0" w:color="auto"/>
      </w:divBdr>
    </w:div>
    <w:div w:id="1393307084">
      <w:bodyDiv w:val="1"/>
      <w:marLeft w:val="0"/>
      <w:marRight w:val="0"/>
      <w:marTop w:val="0"/>
      <w:marBottom w:val="0"/>
      <w:divBdr>
        <w:top w:val="none" w:sz="0" w:space="0" w:color="auto"/>
        <w:left w:val="none" w:sz="0" w:space="0" w:color="auto"/>
        <w:bottom w:val="none" w:sz="0" w:space="0" w:color="auto"/>
        <w:right w:val="none" w:sz="0" w:space="0" w:color="auto"/>
      </w:divBdr>
    </w:div>
    <w:div w:id="1480271990">
      <w:bodyDiv w:val="1"/>
      <w:marLeft w:val="0"/>
      <w:marRight w:val="0"/>
      <w:marTop w:val="0"/>
      <w:marBottom w:val="0"/>
      <w:divBdr>
        <w:top w:val="none" w:sz="0" w:space="0" w:color="auto"/>
        <w:left w:val="none" w:sz="0" w:space="0" w:color="auto"/>
        <w:bottom w:val="none" w:sz="0" w:space="0" w:color="auto"/>
        <w:right w:val="none" w:sz="0" w:space="0" w:color="auto"/>
      </w:divBdr>
    </w:div>
    <w:div w:id="1487043952">
      <w:bodyDiv w:val="1"/>
      <w:marLeft w:val="0"/>
      <w:marRight w:val="0"/>
      <w:marTop w:val="0"/>
      <w:marBottom w:val="0"/>
      <w:divBdr>
        <w:top w:val="none" w:sz="0" w:space="0" w:color="auto"/>
        <w:left w:val="none" w:sz="0" w:space="0" w:color="auto"/>
        <w:bottom w:val="none" w:sz="0" w:space="0" w:color="auto"/>
        <w:right w:val="none" w:sz="0" w:space="0" w:color="auto"/>
      </w:divBdr>
    </w:div>
    <w:div w:id="1522667023">
      <w:bodyDiv w:val="1"/>
      <w:marLeft w:val="0"/>
      <w:marRight w:val="0"/>
      <w:marTop w:val="0"/>
      <w:marBottom w:val="0"/>
      <w:divBdr>
        <w:top w:val="none" w:sz="0" w:space="0" w:color="auto"/>
        <w:left w:val="none" w:sz="0" w:space="0" w:color="auto"/>
        <w:bottom w:val="none" w:sz="0" w:space="0" w:color="auto"/>
        <w:right w:val="none" w:sz="0" w:space="0" w:color="auto"/>
      </w:divBdr>
    </w:div>
    <w:div w:id="1577939442">
      <w:bodyDiv w:val="1"/>
      <w:marLeft w:val="0"/>
      <w:marRight w:val="0"/>
      <w:marTop w:val="0"/>
      <w:marBottom w:val="0"/>
      <w:divBdr>
        <w:top w:val="none" w:sz="0" w:space="0" w:color="auto"/>
        <w:left w:val="none" w:sz="0" w:space="0" w:color="auto"/>
        <w:bottom w:val="none" w:sz="0" w:space="0" w:color="auto"/>
        <w:right w:val="none" w:sz="0" w:space="0" w:color="auto"/>
      </w:divBdr>
    </w:div>
    <w:div w:id="1579091233">
      <w:bodyDiv w:val="1"/>
      <w:marLeft w:val="0"/>
      <w:marRight w:val="0"/>
      <w:marTop w:val="0"/>
      <w:marBottom w:val="0"/>
      <w:divBdr>
        <w:top w:val="none" w:sz="0" w:space="0" w:color="auto"/>
        <w:left w:val="none" w:sz="0" w:space="0" w:color="auto"/>
        <w:bottom w:val="none" w:sz="0" w:space="0" w:color="auto"/>
        <w:right w:val="none" w:sz="0" w:space="0" w:color="auto"/>
      </w:divBdr>
    </w:div>
    <w:div w:id="1604455622">
      <w:bodyDiv w:val="1"/>
      <w:marLeft w:val="0"/>
      <w:marRight w:val="0"/>
      <w:marTop w:val="0"/>
      <w:marBottom w:val="0"/>
      <w:divBdr>
        <w:top w:val="none" w:sz="0" w:space="0" w:color="auto"/>
        <w:left w:val="none" w:sz="0" w:space="0" w:color="auto"/>
        <w:bottom w:val="none" w:sz="0" w:space="0" w:color="auto"/>
        <w:right w:val="none" w:sz="0" w:space="0" w:color="auto"/>
      </w:divBdr>
    </w:div>
    <w:div w:id="1611542828">
      <w:bodyDiv w:val="1"/>
      <w:marLeft w:val="0"/>
      <w:marRight w:val="0"/>
      <w:marTop w:val="0"/>
      <w:marBottom w:val="0"/>
      <w:divBdr>
        <w:top w:val="none" w:sz="0" w:space="0" w:color="auto"/>
        <w:left w:val="none" w:sz="0" w:space="0" w:color="auto"/>
        <w:bottom w:val="none" w:sz="0" w:space="0" w:color="auto"/>
        <w:right w:val="none" w:sz="0" w:space="0" w:color="auto"/>
      </w:divBdr>
      <w:divsChild>
        <w:div w:id="1298995668">
          <w:marLeft w:val="0"/>
          <w:marRight w:val="0"/>
          <w:marTop w:val="0"/>
          <w:marBottom w:val="0"/>
          <w:divBdr>
            <w:top w:val="none" w:sz="0" w:space="0" w:color="auto"/>
            <w:left w:val="none" w:sz="0" w:space="0" w:color="auto"/>
            <w:bottom w:val="none" w:sz="0" w:space="0" w:color="auto"/>
            <w:right w:val="none" w:sz="0" w:space="0" w:color="auto"/>
          </w:divBdr>
          <w:divsChild>
            <w:div w:id="20016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361901">
      <w:bodyDiv w:val="1"/>
      <w:marLeft w:val="0"/>
      <w:marRight w:val="0"/>
      <w:marTop w:val="0"/>
      <w:marBottom w:val="0"/>
      <w:divBdr>
        <w:top w:val="none" w:sz="0" w:space="0" w:color="auto"/>
        <w:left w:val="none" w:sz="0" w:space="0" w:color="auto"/>
        <w:bottom w:val="none" w:sz="0" w:space="0" w:color="auto"/>
        <w:right w:val="none" w:sz="0" w:space="0" w:color="auto"/>
      </w:divBdr>
    </w:div>
    <w:div w:id="1856381039">
      <w:bodyDiv w:val="1"/>
      <w:marLeft w:val="0"/>
      <w:marRight w:val="0"/>
      <w:marTop w:val="0"/>
      <w:marBottom w:val="0"/>
      <w:divBdr>
        <w:top w:val="none" w:sz="0" w:space="0" w:color="auto"/>
        <w:left w:val="none" w:sz="0" w:space="0" w:color="auto"/>
        <w:bottom w:val="none" w:sz="0" w:space="0" w:color="auto"/>
        <w:right w:val="none" w:sz="0" w:space="0" w:color="auto"/>
      </w:divBdr>
    </w:div>
    <w:div w:id="1868639428">
      <w:bodyDiv w:val="1"/>
      <w:marLeft w:val="0"/>
      <w:marRight w:val="0"/>
      <w:marTop w:val="0"/>
      <w:marBottom w:val="0"/>
      <w:divBdr>
        <w:top w:val="none" w:sz="0" w:space="0" w:color="auto"/>
        <w:left w:val="none" w:sz="0" w:space="0" w:color="auto"/>
        <w:bottom w:val="none" w:sz="0" w:space="0" w:color="auto"/>
        <w:right w:val="none" w:sz="0" w:space="0" w:color="auto"/>
      </w:divBdr>
    </w:div>
    <w:div w:id="1908294462">
      <w:bodyDiv w:val="1"/>
      <w:marLeft w:val="0"/>
      <w:marRight w:val="0"/>
      <w:marTop w:val="0"/>
      <w:marBottom w:val="0"/>
      <w:divBdr>
        <w:top w:val="none" w:sz="0" w:space="0" w:color="auto"/>
        <w:left w:val="none" w:sz="0" w:space="0" w:color="auto"/>
        <w:bottom w:val="none" w:sz="0" w:space="0" w:color="auto"/>
        <w:right w:val="none" w:sz="0" w:space="0" w:color="auto"/>
      </w:divBdr>
    </w:div>
    <w:div w:id="1926957010">
      <w:bodyDiv w:val="1"/>
      <w:marLeft w:val="0"/>
      <w:marRight w:val="0"/>
      <w:marTop w:val="0"/>
      <w:marBottom w:val="0"/>
      <w:divBdr>
        <w:top w:val="none" w:sz="0" w:space="0" w:color="auto"/>
        <w:left w:val="none" w:sz="0" w:space="0" w:color="auto"/>
        <w:bottom w:val="none" w:sz="0" w:space="0" w:color="auto"/>
        <w:right w:val="none" w:sz="0" w:space="0" w:color="auto"/>
      </w:divBdr>
    </w:div>
    <w:div w:id="1965889821">
      <w:bodyDiv w:val="1"/>
      <w:marLeft w:val="0"/>
      <w:marRight w:val="0"/>
      <w:marTop w:val="0"/>
      <w:marBottom w:val="0"/>
      <w:divBdr>
        <w:top w:val="none" w:sz="0" w:space="0" w:color="auto"/>
        <w:left w:val="none" w:sz="0" w:space="0" w:color="auto"/>
        <w:bottom w:val="none" w:sz="0" w:space="0" w:color="auto"/>
        <w:right w:val="none" w:sz="0" w:space="0" w:color="auto"/>
      </w:divBdr>
    </w:div>
    <w:div w:id="1979987828">
      <w:bodyDiv w:val="1"/>
      <w:marLeft w:val="0"/>
      <w:marRight w:val="0"/>
      <w:marTop w:val="0"/>
      <w:marBottom w:val="0"/>
      <w:divBdr>
        <w:top w:val="none" w:sz="0" w:space="0" w:color="auto"/>
        <w:left w:val="none" w:sz="0" w:space="0" w:color="auto"/>
        <w:bottom w:val="none" w:sz="0" w:space="0" w:color="auto"/>
        <w:right w:val="none" w:sz="0" w:space="0" w:color="auto"/>
      </w:divBdr>
    </w:div>
    <w:div w:id="213367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_rels/footnotes.xml.rels><?xml version="1.0" encoding="UTF-8" standalone="yes"?>
<Relationships xmlns="http://schemas.openxmlformats.org/package/2006/relationships"><Relationship Id="rId3" Type="http://schemas.openxmlformats.org/officeDocument/2006/relationships/hyperlink" Target="https://biobasedprocurement.eu/" TargetMode="External"/><Relationship Id="rId2" Type="http://schemas.openxmlformats.org/officeDocument/2006/relationships/hyperlink" Target="https://ec.europa.eu/growth/content/guidance-bio-based-products-procurement_bg" TargetMode="External"/><Relationship Id="rId1" Type="http://schemas.openxmlformats.org/officeDocument/2006/relationships/hyperlink" Target="http://s3platform.jrc.ec.europa.eu/s3-thematic-plat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2999DDF-CB3E-4D90-80D4-EC4111DDD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5235</Words>
  <Characters>32830</Characters>
  <Application>Microsoft Office Word</Application>
  <DocSecurity>0</DocSecurity>
  <Lines>596</Lines>
  <Paragraphs>113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2018-10-10T10:42:00Z</dcterms:created>
  <dcterms:modified xsi:type="dcterms:W3CDTF">2018-10-17T05:17:00Z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reated using">
    <vt:lpwstr>LW 6.0.1, Build 20180503</vt:lpwstr>
  </property>
  <property fmtid="{D5CDD505-2E9C-101B-9397-08002B2CF9AE}" pid="8" name="_DocHome">
    <vt:i4>1361646823</vt:i4>
  </property>
</Properties>
</file>