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209FE0-34E5-4C26-894A-588023FE6886" style="width:450.35pt;height:408.9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hd w:val="clear" w:color="auto" w:fill="FFFFFF"/>
        <w:jc w:val="center"/>
        <w:rPr>
          <w:b/>
          <w:noProof/>
        </w:rPr>
      </w:pPr>
      <w:bookmarkStart w:id="1" w:name="_GoBack"/>
      <w:bookmarkEnd w:id="1"/>
      <w:r>
        <w:rPr>
          <w:b/>
          <w:noProof/>
        </w:rPr>
        <w:lastRenderedPageBreak/>
        <w:t>Annex I – Trends and main cases by country</w:t>
      </w:r>
    </w:p>
    <w:p>
      <w:pPr>
        <w:jc w:val="center"/>
        <w:rPr>
          <w:noProof/>
        </w:rPr>
      </w:pPr>
      <w:r>
        <w:rPr>
          <w:noProof/>
        </w:rPr>
        <w:t>(By decreasing number of measures in force at the end of 2017)</w:t>
      </w:r>
    </w:p>
    <w:p>
      <w:pPr>
        <w:pStyle w:val="Heading1"/>
        <w:rPr>
          <w:noProof/>
        </w:rPr>
      </w:pPr>
      <w:r>
        <w:rPr>
          <w:noProof/>
        </w:rPr>
        <w:t>THE UNITED STATES OF AMERICA</w:t>
      </w:r>
    </w:p>
    <w:p>
      <w:pPr>
        <w:pStyle w:val="Heading2"/>
        <w:rPr>
          <w:noProof/>
        </w:rPr>
      </w:pPr>
      <w:r>
        <w:rPr>
          <w:noProof/>
        </w:rPr>
        <w:t>Overall trends</w:t>
      </w:r>
    </w:p>
    <w:p>
      <w:pPr>
        <w:rPr>
          <w:noProof/>
          <w:szCs w:val="24"/>
        </w:rPr>
      </w:pPr>
      <w:r>
        <w:rPr>
          <w:noProof/>
          <w:szCs w:val="24"/>
        </w:rPr>
        <w:t xml:space="preserve">The US strongly increased the number of investigations initiated against EU exports from 3 (2016) to 10 (2017). In 2017, the United States </w:t>
      </w:r>
      <w:r>
        <w:rPr>
          <w:b/>
          <w:noProof/>
          <w:szCs w:val="24"/>
        </w:rPr>
        <w:t>initiated</w:t>
      </w:r>
      <w:r>
        <w:rPr>
          <w:noProof/>
          <w:szCs w:val="24"/>
        </w:rPr>
        <w:t xml:space="preserve"> 6</w:t>
      </w:r>
      <w:r>
        <w:rPr>
          <w:b/>
          <w:noProof/>
          <w:szCs w:val="24"/>
        </w:rPr>
        <w:t xml:space="preserve"> AD and 2 AS </w:t>
      </w:r>
      <w:r>
        <w:rPr>
          <w:noProof/>
          <w:szCs w:val="24"/>
        </w:rPr>
        <w:t xml:space="preserve">investigations affecting directly EU exports and </w:t>
      </w:r>
      <w:r>
        <w:rPr>
          <w:b/>
          <w:noProof/>
          <w:szCs w:val="24"/>
        </w:rPr>
        <w:t>2 SFG investigations</w:t>
      </w:r>
      <w:r>
        <w:rPr>
          <w:noProof/>
          <w:szCs w:val="24"/>
        </w:rPr>
        <w:t>. 1 US AD investigation (out of the 3 initiated in 2017) was terminated without imposing measures, whereas definitive measures were imposed in 2 SFG investigations. In the remaining AD and AS investigations, preliminary measures were imposed. The latter investigations are still ongoing and will be finalised in 2018.</w:t>
      </w:r>
    </w:p>
    <w:p>
      <w:pPr>
        <w:rPr>
          <w:noProof/>
          <w:szCs w:val="24"/>
        </w:rPr>
      </w:pPr>
      <w:r>
        <w:rPr>
          <w:noProof/>
          <w:szCs w:val="24"/>
        </w:rPr>
        <w:t>In 2017,</w:t>
      </w:r>
      <w:r>
        <w:rPr>
          <w:b/>
          <w:noProof/>
          <w:szCs w:val="24"/>
        </w:rPr>
        <w:t xml:space="preserve"> definitive measures</w:t>
      </w:r>
      <w:r>
        <w:rPr>
          <w:noProof/>
          <w:szCs w:val="24"/>
        </w:rPr>
        <w:t xml:space="preserve"> were imposed in </w:t>
      </w:r>
      <w:r>
        <w:rPr>
          <w:b/>
          <w:noProof/>
          <w:szCs w:val="24"/>
        </w:rPr>
        <w:t>2 AD investigations</w:t>
      </w:r>
      <w:r>
        <w:rPr>
          <w:noProof/>
          <w:szCs w:val="24"/>
        </w:rPr>
        <w:t xml:space="preserve"> initiated in 2016. In addition, the United States extended existing </w:t>
      </w:r>
      <w:r>
        <w:rPr>
          <w:b/>
          <w:noProof/>
          <w:szCs w:val="24"/>
        </w:rPr>
        <w:t>AD</w:t>
      </w:r>
      <w:r>
        <w:rPr>
          <w:noProof/>
          <w:szCs w:val="24"/>
        </w:rPr>
        <w:t xml:space="preserve"> measures following </w:t>
      </w:r>
      <w:r>
        <w:rPr>
          <w:b/>
          <w:noProof/>
          <w:szCs w:val="24"/>
        </w:rPr>
        <w:t>2 expiry review</w:t>
      </w:r>
      <w:r>
        <w:rPr>
          <w:noProof/>
          <w:szCs w:val="24"/>
        </w:rPr>
        <w:t xml:space="preserve"> investigations, for an additional period of 5 years. At the end of 2017, the US had 23 measures in force affecting EU imports.</w:t>
      </w:r>
    </w:p>
    <w:p>
      <w:pPr>
        <w:pStyle w:val="Heading2"/>
        <w:rPr>
          <w:noProof/>
        </w:rPr>
      </w:pPr>
      <w:r>
        <w:rPr>
          <w:noProof/>
        </w:rPr>
        <w:t xml:space="preserve">Main cases </w:t>
      </w:r>
    </w:p>
    <w:p>
      <w:pPr>
        <w:rPr>
          <w:noProof/>
          <w:szCs w:val="24"/>
        </w:rPr>
      </w:pPr>
      <w:r>
        <w:rPr>
          <w:noProof/>
          <w:szCs w:val="24"/>
        </w:rPr>
        <w:t xml:space="preserve">Like in 2016, most of the US investigations against EU exports initiated in 2017 concerned </w:t>
      </w:r>
      <w:r>
        <w:rPr>
          <w:b/>
          <w:noProof/>
          <w:szCs w:val="24"/>
        </w:rPr>
        <w:t>steel products</w:t>
      </w:r>
      <w:r>
        <w:rPr>
          <w:noProof/>
          <w:szCs w:val="24"/>
        </w:rPr>
        <w:t xml:space="preserve"> (3 AD, 1 AS). The economic interest for these 4 steel cases altogether is around 535 million EUR of EU exports.</w:t>
      </w:r>
    </w:p>
    <w:p>
      <w:pPr>
        <w:rPr>
          <w:noProof/>
          <w:szCs w:val="24"/>
        </w:rPr>
      </w:pPr>
      <w:r>
        <w:rPr>
          <w:noProof/>
          <w:szCs w:val="24"/>
        </w:rPr>
        <w:t xml:space="preserve">Out of these, 4 (3 AD, 1 AS) new steel investigations concerned </w:t>
      </w:r>
      <w:r>
        <w:rPr>
          <w:b/>
          <w:noProof/>
          <w:szCs w:val="24"/>
        </w:rPr>
        <w:t>cold-drawn mechanical tubing</w:t>
      </w:r>
      <w:r>
        <w:rPr>
          <w:noProof/>
          <w:szCs w:val="24"/>
        </w:rPr>
        <w:t xml:space="preserve"> from Germany and Italy, </w:t>
      </w:r>
      <w:r>
        <w:rPr>
          <w:b/>
          <w:noProof/>
          <w:szCs w:val="24"/>
        </w:rPr>
        <w:t>forged steel fittings</w:t>
      </w:r>
      <w:r>
        <w:rPr>
          <w:noProof/>
          <w:szCs w:val="24"/>
        </w:rPr>
        <w:t xml:space="preserve"> from Italy, and </w:t>
      </w:r>
      <w:r>
        <w:rPr>
          <w:b/>
          <w:noProof/>
          <w:szCs w:val="24"/>
        </w:rPr>
        <w:t>carbon and alloy steel wire rod</w:t>
      </w:r>
      <w:r>
        <w:rPr>
          <w:noProof/>
          <w:szCs w:val="24"/>
        </w:rPr>
        <w:t xml:space="preserve"> from Italy (AD/AS), Spain and the United Kingdom. Preliminary measures have been imposed in all these investigations in 2017, which will be finalised in 2018.</w:t>
      </w:r>
    </w:p>
    <w:p>
      <w:pPr>
        <w:rPr>
          <w:noProof/>
          <w:szCs w:val="24"/>
        </w:rPr>
      </w:pPr>
      <w:r>
        <w:rPr>
          <w:noProof/>
          <w:szCs w:val="24"/>
        </w:rPr>
        <w:t xml:space="preserve">In 2017, the US imposed definitive AD measures on imports of </w:t>
      </w:r>
      <w:r>
        <w:rPr>
          <w:b/>
          <w:noProof/>
          <w:szCs w:val="24"/>
        </w:rPr>
        <w:t>carbon and alloy steel cut to length plate</w:t>
      </w:r>
      <w:r>
        <w:rPr>
          <w:noProof/>
          <w:szCs w:val="24"/>
        </w:rPr>
        <w:t xml:space="preserve"> from Austria, Belgium, France, Germany and Italy, and </w:t>
      </w:r>
      <w:r>
        <w:rPr>
          <w:b/>
          <w:noProof/>
          <w:szCs w:val="24"/>
        </w:rPr>
        <w:t>carbon and steel flanges</w:t>
      </w:r>
      <w:r>
        <w:rPr>
          <w:noProof/>
          <w:szCs w:val="24"/>
        </w:rPr>
        <w:t xml:space="preserve"> from Italy and Spain. Dumping margins determined in the context of the former investigation were artificially inflated for some EU exporters as a result of the application of the zeroing calculation methodology, in spite of the Commission's several technical and political interventions objecting to its use. The United States also extended AD measures for another 5 years with relation to imports of </w:t>
      </w:r>
      <w:r>
        <w:rPr>
          <w:b/>
          <w:noProof/>
          <w:szCs w:val="24"/>
        </w:rPr>
        <w:t>carbon and alloy seamless pipes</w:t>
      </w:r>
      <w:r>
        <w:rPr>
          <w:noProof/>
          <w:szCs w:val="24"/>
        </w:rPr>
        <w:t xml:space="preserve"> from Romania.</w:t>
      </w:r>
    </w:p>
    <w:p>
      <w:pPr>
        <w:rPr>
          <w:noProof/>
          <w:szCs w:val="24"/>
        </w:rPr>
      </w:pPr>
      <w:r>
        <w:rPr>
          <w:noProof/>
          <w:szCs w:val="24"/>
        </w:rPr>
        <w:t xml:space="preserve">In 2017, the United States also initiated 1 AD and 1 AS investigation concerning imports of </w:t>
      </w:r>
      <w:r>
        <w:rPr>
          <w:b/>
          <w:noProof/>
          <w:szCs w:val="24"/>
        </w:rPr>
        <w:t xml:space="preserve">Spanish ripe olives </w:t>
      </w:r>
      <w:r>
        <w:rPr>
          <w:noProof/>
          <w:szCs w:val="24"/>
        </w:rPr>
        <w:t>(economic interest is around 60 million EUR of Spanish exports). The AS investigation targeted several subsidy schemes granted by Spain and the EU, in particular EU Common Agricultural Policy (CAP) "green box" schemes such as the Basic Payment Scheme. As a result of the Commission's numerous technical and political interventions coordinated with Spain, the number of targeted schemes was reduced from 10 to 6. As far as targeted EU CAP schemes are concerned, the Commission considers them as non-distortive, non-specific and thus non-countervailable under WTO law. The Commission actively assisted the Spanish government and the affected Spanish producers from the very beginning of those investigations, and will continue doing so until they are finalised. Preliminary AS and AD measures were adopted in November 2017 and January 2018</w:t>
      </w:r>
      <w:r>
        <w:rPr>
          <w:noProof/>
        </w:rPr>
        <w:t>. Final injury determination was expected by July 2018</w:t>
      </w:r>
      <w:r>
        <w:rPr>
          <w:rStyle w:val="FootnoteReference"/>
          <w:noProof/>
        </w:rPr>
        <w:footnoteReference w:id="1"/>
      </w:r>
      <w:r>
        <w:rPr>
          <w:noProof/>
        </w:rPr>
        <w:t xml:space="preserve">. </w:t>
      </w:r>
    </w:p>
    <w:p>
      <w:pPr>
        <w:rPr>
          <w:noProof/>
          <w:szCs w:val="24"/>
        </w:rPr>
      </w:pPr>
      <w:r>
        <w:rPr>
          <w:noProof/>
          <w:szCs w:val="24"/>
        </w:rPr>
        <w:t xml:space="preserve">2017 was also marked by the initiation of 2 SFG investigations in the United States, concerning imports of </w:t>
      </w:r>
      <w:r>
        <w:rPr>
          <w:b/>
          <w:noProof/>
          <w:szCs w:val="24"/>
        </w:rPr>
        <w:t>crystalline silicon photovoltaic cells and modules</w:t>
      </w:r>
      <w:r>
        <w:rPr>
          <w:noProof/>
          <w:szCs w:val="24"/>
        </w:rPr>
        <w:t xml:space="preserve"> and </w:t>
      </w:r>
      <w:r>
        <w:rPr>
          <w:b/>
          <w:noProof/>
          <w:szCs w:val="24"/>
        </w:rPr>
        <w:t>large residential washers</w:t>
      </w:r>
      <w:r>
        <w:rPr>
          <w:noProof/>
          <w:szCs w:val="24"/>
        </w:rPr>
        <w:t>. These were the first SFG investigations initiated by the United States since more than a decade. The choice of instrument is however questionable since the allegedly problematic surge of imports originated from a limited number of Asian countries only. In fact, the United States should have used other more targeted instruments, such as AD and/or AS, in order to address those imports and avoid creating collateral damage to fair imports, which were not at the root of the problem. Definitive measures were imposed in both investigations in February 2018.</w:t>
      </w:r>
    </w:p>
    <w:p>
      <w:pPr>
        <w:pStyle w:val="Heading1"/>
        <w:rPr>
          <w:noProof/>
        </w:rPr>
      </w:pPr>
      <w:r>
        <w:rPr>
          <w:noProof/>
        </w:rPr>
        <w:t>INDIA</w:t>
      </w:r>
    </w:p>
    <w:p>
      <w:pPr>
        <w:pStyle w:val="Heading2"/>
        <w:rPr>
          <w:noProof/>
        </w:rPr>
      </w:pPr>
      <w:r>
        <w:rPr>
          <w:noProof/>
        </w:rPr>
        <w:t xml:space="preserve">Overall trends </w:t>
      </w:r>
    </w:p>
    <w:p>
      <w:pPr>
        <w:rPr>
          <w:noProof/>
          <w:szCs w:val="24"/>
        </w:rPr>
      </w:pPr>
      <w:r>
        <w:rPr>
          <w:noProof/>
          <w:szCs w:val="24"/>
        </w:rPr>
        <w:t xml:space="preserve">Even though the total number of measures in force has decreased as compared to 2016 (24), India is still an active user of TDIs, with 21 measures (19 AD and 2 SFG) in force at the end of 2017. India </w:t>
      </w:r>
      <w:r>
        <w:rPr>
          <w:bCs/>
          <w:noProof/>
          <w:szCs w:val="24"/>
        </w:rPr>
        <w:t>initiated</w:t>
      </w:r>
      <w:r>
        <w:rPr>
          <w:b/>
          <w:bCs/>
          <w:noProof/>
          <w:szCs w:val="24"/>
        </w:rPr>
        <w:t xml:space="preserve"> 3 new AD and 1 SFG </w:t>
      </w:r>
      <w:r>
        <w:rPr>
          <w:noProof/>
          <w:szCs w:val="24"/>
        </w:rPr>
        <w:t xml:space="preserve">investigations concerning EU exports. It also initiated </w:t>
      </w:r>
      <w:r>
        <w:rPr>
          <w:b/>
          <w:bCs/>
          <w:noProof/>
          <w:szCs w:val="24"/>
        </w:rPr>
        <w:t>2 expiry review investigations</w:t>
      </w:r>
      <w:r>
        <w:rPr>
          <w:noProof/>
          <w:szCs w:val="24"/>
        </w:rPr>
        <w:t xml:space="preserve"> and </w:t>
      </w:r>
      <w:r>
        <w:rPr>
          <w:b/>
          <w:bCs/>
          <w:noProof/>
          <w:szCs w:val="24"/>
        </w:rPr>
        <w:t>1 mid-term review investigation</w:t>
      </w:r>
      <w:r>
        <w:rPr>
          <w:noProof/>
          <w:szCs w:val="24"/>
        </w:rPr>
        <w:t>.</w:t>
      </w:r>
    </w:p>
    <w:p>
      <w:pPr>
        <w:rPr>
          <w:noProof/>
          <w:szCs w:val="24"/>
        </w:rPr>
      </w:pPr>
      <w:r>
        <w:rPr>
          <w:noProof/>
          <w:szCs w:val="24"/>
        </w:rPr>
        <w:t xml:space="preserve">India </w:t>
      </w:r>
      <w:r>
        <w:rPr>
          <w:bCs/>
          <w:noProof/>
          <w:szCs w:val="24"/>
        </w:rPr>
        <w:t>imposed</w:t>
      </w:r>
      <w:r>
        <w:rPr>
          <w:b/>
          <w:bCs/>
          <w:noProof/>
          <w:szCs w:val="24"/>
        </w:rPr>
        <w:t xml:space="preserve"> definitive AD duties in 4 cases </w:t>
      </w:r>
      <w:r>
        <w:rPr>
          <w:noProof/>
          <w:szCs w:val="24"/>
        </w:rPr>
        <w:t xml:space="preserve">and </w:t>
      </w:r>
      <w:r>
        <w:rPr>
          <w:b/>
          <w:bCs/>
          <w:noProof/>
          <w:szCs w:val="24"/>
        </w:rPr>
        <w:t>prolonged AD</w:t>
      </w:r>
      <w:r>
        <w:rPr>
          <w:noProof/>
          <w:szCs w:val="24"/>
        </w:rPr>
        <w:t xml:space="preserve"> </w:t>
      </w:r>
      <w:r>
        <w:rPr>
          <w:b/>
          <w:bCs/>
          <w:noProof/>
          <w:szCs w:val="24"/>
        </w:rPr>
        <w:t>duties</w:t>
      </w:r>
      <w:r>
        <w:rPr>
          <w:noProof/>
          <w:szCs w:val="24"/>
        </w:rPr>
        <w:t xml:space="preserve"> following a review investigation. It also </w:t>
      </w:r>
      <w:r>
        <w:rPr>
          <w:b/>
          <w:bCs/>
          <w:noProof/>
          <w:szCs w:val="24"/>
        </w:rPr>
        <w:t>extended the AD duty in force</w:t>
      </w:r>
      <w:r>
        <w:rPr>
          <w:noProof/>
          <w:szCs w:val="24"/>
        </w:rPr>
        <w:t xml:space="preserve"> to a slightly modified product following an </w:t>
      </w:r>
      <w:r>
        <w:rPr>
          <w:b/>
          <w:bCs/>
          <w:noProof/>
          <w:szCs w:val="24"/>
        </w:rPr>
        <w:t>anti-circumvention</w:t>
      </w:r>
      <w:r>
        <w:rPr>
          <w:noProof/>
          <w:szCs w:val="24"/>
        </w:rPr>
        <w:t xml:space="preserve"> </w:t>
      </w:r>
      <w:r>
        <w:rPr>
          <w:b/>
          <w:bCs/>
          <w:noProof/>
          <w:szCs w:val="24"/>
        </w:rPr>
        <w:t>investigation</w:t>
      </w:r>
      <w:r>
        <w:rPr>
          <w:iCs/>
          <w:noProof/>
          <w:szCs w:val="24"/>
        </w:rPr>
        <w:t>.</w:t>
      </w:r>
    </w:p>
    <w:p>
      <w:pPr>
        <w:rPr>
          <w:b/>
          <w:bCs/>
          <w:noProof/>
          <w:szCs w:val="24"/>
        </w:rPr>
      </w:pPr>
      <w:r>
        <w:rPr>
          <w:noProof/>
          <w:szCs w:val="24"/>
        </w:rPr>
        <w:t xml:space="preserve">In January 2018, India also initiated </w:t>
      </w:r>
      <w:r>
        <w:rPr>
          <w:b/>
          <w:noProof/>
          <w:szCs w:val="24"/>
        </w:rPr>
        <w:t>2 new AD</w:t>
      </w:r>
      <w:r>
        <w:rPr>
          <w:noProof/>
          <w:szCs w:val="24"/>
        </w:rPr>
        <w:t xml:space="preserve"> investigations.</w:t>
      </w:r>
    </w:p>
    <w:p>
      <w:pPr>
        <w:pStyle w:val="Heading2"/>
        <w:rPr>
          <w:noProof/>
        </w:rPr>
      </w:pPr>
      <w:r>
        <w:rPr>
          <w:noProof/>
        </w:rPr>
        <w:t xml:space="preserve">Main cases </w:t>
      </w:r>
    </w:p>
    <w:p>
      <w:pPr>
        <w:rPr>
          <w:noProof/>
          <w:szCs w:val="24"/>
        </w:rPr>
      </w:pPr>
      <w:r>
        <w:rPr>
          <w:noProof/>
          <w:szCs w:val="24"/>
        </w:rPr>
        <w:t xml:space="preserve">The AD investigation on imports of </w:t>
      </w:r>
      <w:r>
        <w:rPr>
          <w:b/>
          <w:noProof/>
          <w:szCs w:val="24"/>
        </w:rPr>
        <w:t>wooden flooring</w:t>
      </w:r>
      <w:r>
        <w:rPr>
          <w:noProof/>
          <w:szCs w:val="24"/>
        </w:rPr>
        <w:t xml:space="preserve"> from the EU was initiated in February 2017 (EU economic interest of around 3 million EUR). The Commission, in close cooperation with Member States and industry, intervened with a written submission at initiation and in the public hearing. The main issues raised by the Commission include: unmotivated confidentiality of some data, inconclusive injury picture and lack of causal link, inappropriate cumulation of high-priced EU imports with low-priced imports from other countries. In February 2018 the Indian authorities disclosed their final determination, and the Commission issued a second written submission in response. Indian authorities recommended the imposition of definitive AD measures, except for 2 cooperating EU exporting producers, which were found not to have caused material injury to the Indian industry.</w:t>
      </w:r>
    </w:p>
    <w:p>
      <w:pPr>
        <w:rPr>
          <w:noProof/>
          <w:color w:val="000000"/>
          <w:szCs w:val="24"/>
        </w:rPr>
      </w:pPr>
      <w:r>
        <w:rPr>
          <w:noProof/>
          <w:color w:val="000000"/>
          <w:szCs w:val="24"/>
        </w:rPr>
        <w:t xml:space="preserve">The expiry review of the AD duties on </w:t>
      </w:r>
      <w:r>
        <w:rPr>
          <w:b/>
          <w:noProof/>
          <w:color w:val="000000"/>
          <w:szCs w:val="24"/>
        </w:rPr>
        <w:t>melamine</w:t>
      </w:r>
      <w:r>
        <w:rPr>
          <w:noProof/>
          <w:color w:val="000000"/>
          <w:szCs w:val="24"/>
        </w:rPr>
        <w:t xml:space="preserve"> was initiated in September 2017 (EU exports worth around 4,5 million EUR). The Commission submitted that there was no continuation/recurrence of injury as the domestic industry was highly profitable and running at almost full capacity. The argument was upheld by Indian authorities, who terminated the </w:t>
      </w:r>
      <w:r>
        <w:rPr>
          <w:noProof/>
          <w:szCs w:val="24"/>
        </w:rPr>
        <w:t xml:space="preserve">investigation and the measures </w:t>
      </w:r>
      <w:r>
        <w:rPr>
          <w:noProof/>
          <w:color w:val="000000"/>
          <w:szCs w:val="24"/>
        </w:rPr>
        <w:t>in February 2018.</w:t>
      </w:r>
    </w:p>
    <w:p>
      <w:pPr>
        <w:rPr>
          <w:noProof/>
          <w:szCs w:val="24"/>
        </w:rPr>
      </w:pPr>
      <w:r>
        <w:rPr>
          <w:noProof/>
          <w:szCs w:val="24"/>
        </w:rPr>
        <w:t xml:space="preserve">The AD investigation on imports of </w:t>
      </w:r>
      <w:r>
        <w:rPr>
          <w:b/>
          <w:noProof/>
          <w:szCs w:val="24"/>
        </w:rPr>
        <w:t>polyamide yarns</w:t>
      </w:r>
      <w:r>
        <w:rPr>
          <w:noProof/>
          <w:szCs w:val="24"/>
        </w:rPr>
        <w:t xml:space="preserve"> was initiated in August 2017 (EU economic interest of around 13.5 million EUR). The Commission has been in close contact with the industry since initiation and has filed a written submission asking for de-cumulation of EU imports (as these did not increase and are not causing injury). The case is still ongoing and the Commission is following closely.</w:t>
      </w:r>
    </w:p>
    <w:p>
      <w:pPr>
        <w:rPr>
          <w:noProof/>
          <w:szCs w:val="24"/>
        </w:rPr>
      </w:pPr>
      <w:r>
        <w:rPr>
          <w:noProof/>
          <w:szCs w:val="24"/>
        </w:rPr>
        <w:t xml:space="preserve">The AD investigation on imports of </w:t>
      </w:r>
      <w:r>
        <w:rPr>
          <w:b/>
          <w:noProof/>
          <w:szCs w:val="24"/>
        </w:rPr>
        <w:t>acrylic fibre</w:t>
      </w:r>
      <w:r>
        <w:rPr>
          <w:noProof/>
          <w:szCs w:val="24"/>
        </w:rPr>
        <w:t xml:space="preserve"> was initiated in April 2017 (EU economic interest of around 7 million EUR). The Commission has intervened at initiation with a written submission, addressing notably the injury situation experienced by the domestic industry and the inappropriate cumulation of EU imports with other low-priced imports. The case is still ongoing.</w:t>
      </w:r>
    </w:p>
    <w:p>
      <w:pPr>
        <w:rPr>
          <w:noProof/>
        </w:rPr>
      </w:pPr>
      <w:r>
        <w:rPr>
          <w:noProof/>
        </w:rPr>
        <w:t xml:space="preserve">The Commission has also intervened in the expiry review investigations on </w:t>
      </w:r>
      <w:r>
        <w:rPr>
          <w:b/>
          <w:bCs/>
          <w:noProof/>
        </w:rPr>
        <w:t>sodium nitrite</w:t>
      </w:r>
      <w:r>
        <w:rPr>
          <w:noProof/>
        </w:rPr>
        <w:t>, which is still ongoing.</w:t>
      </w:r>
    </w:p>
    <w:p>
      <w:pPr>
        <w:rPr>
          <w:noProof/>
          <w:szCs w:val="24"/>
        </w:rPr>
      </w:pPr>
      <w:r>
        <w:rPr>
          <w:iCs/>
          <w:noProof/>
          <w:szCs w:val="24"/>
        </w:rPr>
        <w:t xml:space="preserve">Written interventions were also made in the expiry review investigation on </w:t>
      </w:r>
      <w:r>
        <w:rPr>
          <w:b/>
          <w:iCs/>
          <w:noProof/>
          <w:szCs w:val="24"/>
        </w:rPr>
        <w:t>rubber chemicals</w:t>
      </w:r>
      <w:r>
        <w:rPr>
          <w:iCs/>
          <w:noProof/>
          <w:szCs w:val="24"/>
        </w:rPr>
        <w:t xml:space="preserve"> and in the </w:t>
      </w:r>
      <w:r>
        <w:rPr>
          <w:bCs/>
          <w:noProof/>
          <w:szCs w:val="24"/>
        </w:rPr>
        <w:t>anti-circumvention</w:t>
      </w:r>
      <w:r>
        <w:rPr>
          <w:iCs/>
          <w:noProof/>
          <w:szCs w:val="24"/>
        </w:rPr>
        <w:t xml:space="preserve"> investigation on </w:t>
      </w:r>
      <w:r>
        <w:rPr>
          <w:b/>
          <w:iCs/>
          <w:noProof/>
          <w:szCs w:val="24"/>
        </w:rPr>
        <w:t>cold rolled flat steel</w:t>
      </w:r>
      <w:r>
        <w:rPr>
          <w:iCs/>
          <w:noProof/>
          <w:szCs w:val="24"/>
        </w:rPr>
        <w:t xml:space="preserve"> (measures imposed in both cases).</w:t>
      </w:r>
      <w:r>
        <w:rPr>
          <w:noProof/>
          <w:szCs w:val="24"/>
        </w:rPr>
        <w:t xml:space="preserve"> </w:t>
      </w:r>
    </w:p>
    <w:p>
      <w:pPr>
        <w:rPr>
          <w:noProof/>
        </w:rPr>
      </w:pPr>
      <w:r>
        <w:rPr>
          <w:noProof/>
        </w:rPr>
        <w:t xml:space="preserve">In 2017, Indian authorities initiated an expiry review of the AD measures on imports of </w:t>
      </w:r>
      <w:r>
        <w:rPr>
          <w:b/>
          <w:noProof/>
        </w:rPr>
        <w:t>soda ash</w:t>
      </w:r>
      <w:r>
        <w:rPr>
          <w:noProof/>
        </w:rPr>
        <w:t xml:space="preserve"> (EU economic interest 1.3 million EUR in 2016). However, the 2015 mid-term review determined in July 2017 that AD duties were no longer warranted. As a result, the 2017 expiry review investigation was annulled and AD duties were terminated with immediate effect. </w:t>
      </w:r>
    </w:p>
    <w:p>
      <w:pPr>
        <w:pStyle w:val="Heading1"/>
        <w:rPr>
          <w:noProof/>
        </w:rPr>
      </w:pPr>
      <w:r>
        <w:rPr>
          <w:noProof/>
        </w:rPr>
        <w:t xml:space="preserve">CHINA </w:t>
      </w:r>
    </w:p>
    <w:p>
      <w:pPr>
        <w:pStyle w:val="Heading2"/>
        <w:rPr>
          <w:noProof/>
        </w:rPr>
      </w:pPr>
      <w:r>
        <w:rPr>
          <w:noProof/>
        </w:rPr>
        <w:t xml:space="preserve">Overall trends </w:t>
      </w:r>
    </w:p>
    <w:p>
      <w:pPr>
        <w:autoSpaceDE w:val="0"/>
        <w:autoSpaceDN w:val="0"/>
        <w:adjustRightInd w:val="0"/>
        <w:spacing w:before="0"/>
        <w:rPr>
          <w:noProof/>
        </w:rPr>
      </w:pPr>
      <w:r>
        <w:rPr>
          <w:noProof/>
        </w:rPr>
        <w:t>In 2017, China's Trade defence activity was above average in number of imposition of measures, but was lower than average in terms of initiations.</w:t>
      </w:r>
    </w:p>
    <w:p>
      <w:pPr>
        <w:autoSpaceDE w:val="0"/>
        <w:autoSpaceDN w:val="0"/>
        <w:adjustRightInd w:val="0"/>
        <w:spacing w:before="0"/>
        <w:rPr>
          <w:noProof/>
        </w:rPr>
      </w:pPr>
      <w:r>
        <w:rPr>
          <w:noProof/>
        </w:rPr>
        <w:t xml:space="preserve">In 2017, China initiated only </w:t>
      </w:r>
      <w:r>
        <w:rPr>
          <w:b/>
          <w:noProof/>
        </w:rPr>
        <w:t>1 new AD case, 1 expiry review and 1 interim review.</w:t>
      </w:r>
    </w:p>
    <w:p>
      <w:pPr>
        <w:autoSpaceDE w:val="0"/>
        <w:autoSpaceDN w:val="0"/>
        <w:adjustRightInd w:val="0"/>
        <w:spacing w:before="0"/>
        <w:rPr>
          <w:b/>
          <w:noProof/>
        </w:rPr>
      </w:pPr>
      <w:r>
        <w:rPr>
          <w:noProof/>
        </w:rPr>
        <w:t xml:space="preserve">In 2017, China </w:t>
      </w:r>
      <w:r>
        <w:rPr>
          <w:b/>
          <w:noProof/>
        </w:rPr>
        <w:t>imposed 1 SFG measure, extended 7 existing AD and AS measures and lowered the AD duty of 1 EU exporter further to an interim review.</w:t>
      </w:r>
    </w:p>
    <w:p>
      <w:pPr>
        <w:autoSpaceDE w:val="0"/>
        <w:autoSpaceDN w:val="0"/>
        <w:adjustRightInd w:val="0"/>
        <w:spacing w:before="0"/>
        <w:rPr>
          <w:noProof/>
        </w:rPr>
      </w:pPr>
      <w:r>
        <w:rPr>
          <w:noProof/>
        </w:rPr>
        <w:t>The total number of measures in force at the end of 2017 is 20 as compared to 19 in 2016.</w:t>
      </w:r>
    </w:p>
    <w:p>
      <w:pPr>
        <w:pStyle w:val="Heading2"/>
        <w:rPr>
          <w:noProof/>
        </w:rPr>
      </w:pPr>
      <w:r>
        <w:rPr>
          <w:noProof/>
        </w:rPr>
        <w:t xml:space="preserve">Main cases </w:t>
      </w:r>
    </w:p>
    <w:p>
      <w:pPr>
        <w:autoSpaceDE w:val="0"/>
        <w:autoSpaceDN w:val="0"/>
        <w:adjustRightInd w:val="0"/>
        <w:spacing w:before="0"/>
        <w:rPr>
          <w:noProof/>
        </w:rPr>
      </w:pPr>
      <w:r>
        <w:rPr>
          <w:noProof/>
        </w:rPr>
        <w:t>In</w:t>
      </w:r>
      <w:r>
        <w:rPr>
          <w:b/>
          <w:noProof/>
        </w:rPr>
        <w:t xml:space="preserve"> </w:t>
      </w:r>
      <w:r>
        <w:rPr>
          <w:noProof/>
        </w:rPr>
        <w:t xml:space="preserve">May 2017, China imposed definitive SFG measures for 3 years on imports of </w:t>
      </w:r>
      <w:r>
        <w:rPr>
          <w:b/>
          <w:noProof/>
        </w:rPr>
        <w:t>sugar</w:t>
      </w:r>
      <w:r>
        <w:rPr>
          <w:noProof/>
        </w:rPr>
        <w:t xml:space="preserve"> in the form of </w:t>
      </w:r>
      <w:r>
        <w:rPr>
          <w:i/>
          <w:noProof/>
        </w:rPr>
        <w:t>ad valorem</w:t>
      </w:r>
      <w:r>
        <w:rPr>
          <w:noProof/>
        </w:rPr>
        <w:t xml:space="preserve"> duties (45% the first year, 40% the second year and 35% the third year). This is the first time in 15 years that China imposed SFG measures. Although EU exports of sugar to China are negligible, the Commission followed the case attentively for systemic reasons and also because, with the end of the EU sugar quota regime on 30 September 2017, the EU is interested in keeping export markets open.</w:t>
      </w:r>
    </w:p>
    <w:p>
      <w:pPr>
        <w:autoSpaceDE w:val="0"/>
        <w:autoSpaceDN w:val="0"/>
        <w:adjustRightInd w:val="0"/>
        <w:spacing w:before="0"/>
        <w:rPr>
          <w:noProof/>
        </w:rPr>
      </w:pPr>
      <w:r>
        <w:rPr>
          <w:noProof/>
        </w:rPr>
        <w:t>In May 2017, China extended by 18 months the existing AD and AS measures on imports of polysilicon from the EU (annual exports to China worth around 600 million EUR). The measures for the sole German exporter take the form of a price undertaking, which remains unchanged.</w:t>
      </w:r>
    </w:p>
    <w:p>
      <w:pPr>
        <w:autoSpaceDE w:val="0"/>
        <w:autoSpaceDN w:val="0"/>
        <w:adjustRightInd w:val="0"/>
        <w:spacing w:before="0"/>
        <w:rPr>
          <w:noProof/>
        </w:rPr>
      </w:pPr>
      <w:r>
        <w:rPr>
          <w:noProof/>
        </w:rPr>
        <w:t xml:space="preserve">In September 2017, China extended for 5 years the existing AS measures on imports of </w:t>
      </w:r>
      <w:r>
        <w:rPr>
          <w:b/>
          <w:noProof/>
        </w:rPr>
        <w:t>potato starch</w:t>
      </w:r>
      <w:r>
        <w:rPr>
          <w:noProof/>
        </w:rPr>
        <w:t xml:space="preserve"> originating in the EU (AS duties in force range between 7.5% and 12.4%, parallel AD duties also in force range between 12.6% and 56.7%). The EU economic interest is around 10 million EUR of EU exports in 2017. Although the Commission, the Member States, 1 exporter and the industry federation fully cooperated in the investigation and provided ample evidence that countervailable subsidisation had been discontinued, China, on the contrary, considered that countervailable subsidisation was still in place, and was likely to continue to cause injury. </w:t>
      </w:r>
    </w:p>
    <w:p>
      <w:pPr>
        <w:autoSpaceDE w:val="0"/>
        <w:autoSpaceDN w:val="0"/>
        <w:adjustRightInd w:val="0"/>
        <w:spacing w:before="0"/>
        <w:rPr>
          <w:noProof/>
        </w:rPr>
      </w:pPr>
      <w:r>
        <w:rPr>
          <w:noProof/>
        </w:rPr>
        <w:t xml:space="preserve">In August 2017, China initiated 1 AD investigation against imports of </w:t>
      </w:r>
      <w:r>
        <w:rPr>
          <w:b/>
          <w:noProof/>
        </w:rPr>
        <w:t>halogenated butyl rubber</w:t>
      </w:r>
      <w:r>
        <w:rPr>
          <w:noProof/>
        </w:rPr>
        <w:t xml:space="preserve"> originating in the EU. The Commission is actively supporting the 2 EU exporting producers, which are cooperating in the Chinese investigation, notably by means of a submission pointing to the weaknesses of the injury and causality picture emerging from the petition. P</w:t>
      </w:r>
      <w:r>
        <w:rPr>
          <w:noProof/>
          <w:szCs w:val="24"/>
        </w:rPr>
        <w:t>rovisional determination is expected in 2018</w:t>
      </w:r>
      <w:r>
        <w:rPr>
          <w:noProof/>
        </w:rPr>
        <w:t>.</w:t>
      </w:r>
    </w:p>
    <w:p>
      <w:pPr>
        <w:rPr>
          <w:noProof/>
          <w:color w:val="1F497D"/>
        </w:rPr>
      </w:pPr>
    </w:p>
    <w:p>
      <w:pPr>
        <w:pStyle w:val="Heading1"/>
        <w:rPr>
          <w:noProof/>
        </w:rPr>
      </w:pPr>
      <w:r>
        <w:rPr>
          <w:noProof/>
        </w:rPr>
        <w:t>BRAZIL</w:t>
      </w:r>
    </w:p>
    <w:p>
      <w:pPr>
        <w:pStyle w:val="Heading2"/>
        <w:rPr>
          <w:noProof/>
        </w:rPr>
      </w:pPr>
      <w:r>
        <w:rPr>
          <w:noProof/>
        </w:rPr>
        <w:t xml:space="preserve">Overall trends </w:t>
      </w:r>
    </w:p>
    <w:p>
      <w:pPr>
        <w:pStyle w:val="Default"/>
        <w:spacing w:after="120"/>
        <w:jc w:val="both"/>
        <w:rPr>
          <w:noProof/>
          <w:color w:val="auto"/>
        </w:rPr>
      </w:pPr>
      <w:r>
        <w:rPr>
          <w:noProof/>
          <w:color w:val="auto"/>
        </w:rPr>
        <w:t>Brazil's 2017 trade defence activity against EU exports was slightly less vigorous than in the recent past. However, Brazil is the fourth largest user of the TDI by the number of measures in force against EU exports (16 measures in 2017).</w:t>
      </w:r>
    </w:p>
    <w:p>
      <w:pPr>
        <w:pStyle w:val="Default"/>
        <w:spacing w:after="120"/>
        <w:jc w:val="both"/>
        <w:rPr>
          <w:noProof/>
          <w:color w:val="auto"/>
        </w:rPr>
      </w:pPr>
      <w:r>
        <w:rPr>
          <w:noProof/>
          <w:color w:val="auto"/>
        </w:rPr>
        <w:t xml:space="preserve">In 2017, Brazil </w:t>
      </w:r>
      <w:r>
        <w:rPr>
          <w:b/>
          <w:noProof/>
          <w:color w:val="auto"/>
        </w:rPr>
        <w:t>initiated</w:t>
      </w:r>
      <w:r>
        <w:rPr>
          <w:noProof/>
          <w:color w:val="auto"/>
        </w:rPr>
        <w:t xml:space="preserve"> </w:t>
      </w:r>
      <w:r>
        <w:rPr>
          <w:b/>
          <w:noProof/>
          <w:color w:val="auto"/>
        </w:rPr>
        <w:t>1</w:t>
      </w:r>
      <w:r>
        <w:rPr>
          <w:b/>
          <w:bCs/>
          <w:noProof/>
          <w:color w:val="auto"/>
        </w:rPr>
        <w:t xml:space="preserve"> new investigation</w:t>
      </w:r>
      <w:r>
        <w:rPr>
          <w:bCs/>
          <w:noProof/>
          <w:color w:val="auto"/>
        </w:rPr>
        <w:t xml:space="preserve"> </w:t>
      </w:r>
      <w:r>
        <w:rPr>
          <w:noProof/>
          <w:color w:val="auto"/>
        </w:rPr>
        <w:t xml:space="preserve">and </w:t>
      </w:r>
      <w:r>
        <w:rPr>
          <w:b/>
          <w:bCs/>
          <w:noProof/>
          <w:color w:val="auto"/>
        </w:rPr>
        <w:t>imposed 1 definitive AD measure</w:t>
      </w:r>
      <w:r>
        <w:rPr>
          <w:noProof/>
          <w:color w:val="auto"/>
        </w:rPr>
        <w:t xml:space="preserve">. It is also noteworthy that 1 AD measure imposed in 2015 was </w:t>
      </w:r>
      <w:r>
        <w:rPr>
          <w:b/>
          <w:bCs/>
          <w:noProof/>
          <w:color w:val="auto"/>
        </w:rPr>
        <w:t>terminated</w:t>
      </w:r>
      <w:r>
        <w:rPr>
          <w:bCs/>
          <w:noProof/>
          <w:color w:val="auto"/>
        </w:rPr>
        <w:t>, following a 2-year suspension.</w:t>
      </w:r>
      <w:r>
        <w:rPr>
          <w:noProof/>
          <w:color w:val="auto"/>
        </w:rPr>
        <w:t xml:space="preserve"> </w:t>
      </w:r>
    </w:p>
    <w:p>
      <w:pPr>
        <w:pStyle w:val="Heading2"/>
        <w:numPr>
          <w:ilvl w:val="1"/>
          <w:numId w:val="36"/>
        </w:numPr>
        <w:rPr>
          <w:noProof/>
        </w:rPr>
      </w:pPr>
      <w:r>
        <w:rPr>
          <w:noProof/>
        </w:rPr>
        <w:t xml:space="preserve">Main cases </w:t>
      </w:r>
    </w:p>
    <w:p>
      <w:pPr>
        <w:rPr>
          <w:noProof/>
        </w:rPr>
      </w:pPr>
      <w:r>
        <w:rPr>
          <w:noProof/>
        </w:rPr>
        <w:t xml:space="preserve">The Commission closely monitored the different measures or investigations on-going in 2017. In particular, it actively intervened in the AD investigation on imports of </w:t>
      </w:r>
      <w:r>
        <w:rPr>
          <w:b/>
          <w:bCs/>
          <w:noProof/>
        </w:rPr>
        <w:t xml:space="preserve">frozen potatoes </w:t>
      </w:r>
      <w:r>
        <w:rPr>
          <w:noProof/>
        </w:rPr>
        <w:t xml:space="preserve">from Belgium, France, Germany and the Netherlands given the economic relevance of the Brazilian market for the EU industry (EU exports of 97 million EUR in 2014). Measures were imposed in January 2017, despite several Commission interventions in close coordination with EU exporters, industry associations and the Member States affected. </w:t>
      </w:r>
    </w:p>
    <w:p>
      <w:pPr>
        <w:rPr>
          <w:noProof/>
        </w:rPr>
      </w:pPr>
      <w:r>
        <w:rPr>
          <w:noProof/>
        </w:rPr>
        <w:t xml:space="preserve">The AD investigation on imports of </w:t>
      </w:r>
      <w:r>
        <w:rPr>
          <w:b/>
          <w:bCs/>
          <w:noProof/>
        </w:rPr>
        <w:t xml:space="preserve">X-ray dental machines </w:t>
      </w:r>
      <w:r>
        <w:rPr>
          <w:bCs/>
          <w:noProof/>
        </w:rPr>
        <w:t xml:space="preserve">(EU economic interest is 4 million EUR) </w:t>
      </w:r>
      <w:r>
        <w:rPr>
          <w:noProof/>
        </w:rPr>
        <w:t>from Germany was terminated in February 2017 without measures since Brazil considered that there was no injury to the domestic industry. The collaboration between the industry and the Commission was key for the positive conclusion of this case.</w:t>
      </w:r>
    </w:p>
    <w:p>
      <w:pPr>
        <w:rPr>
          <w:noProof/>
        </w:rPr>
      </w:pPr>
      <w:r>
        <w:rPr>
          <w:noProof/>
        </w:rPr>
        <w:t xml:space="preserve">Brazil also initiated in April the expiry review on </w:t>
      </w:r>
      <w:r>
        <w:rPr>
          <w:b/>
          <w:noProof/>
        </w:rPr>
        <w:t>light weight paper</w:t>
      </w:r>
      <w:r>
        <w:rPr>
          <w:noProof/>
        </w:rPr>
        <w:t xml:space="preserve"> </w:t>
      </w:r>
      <w:r>
        <w:rPr>
          <w:bCs/>
          <w:noProof/>
        </w:rPr>
        <w:t>(EU economic interest is 8 million EUR)</w:t>
      </w:r>
      <w:r>
        <w:rPr>
          <w:b/>
          <w:bCs/>
          <w:noProof/>
        </w:rPr>
        <w:t xml:space="preserve"> </w:t>
      </w:r>
      <w:r>
        <w:rPr>
          <w:noProof/>
        </w:rPr>
        <w:t xml:space="preserve">from Finland, Sweden, Belgium, and Germany and concluded in August the review on </w:t>
      </w:r>
      <w:r>
        <w:rPr>
          <w:b/>
          <w:noProof/>
        </w:rPr>
        <w:t>seamless steel pipes</w:t>
      </w:r>
      <w:r>
        <w:rPr>
          <w:noProof/>
        </w:rPr>
        <w:t xml:space="preserve"> </w:t>
      </w:r>
      <w:r>
        <w:rPr>
          <w:bCs/>
          <w:noProof/>
        </w:rPr>
        <w:t>(EU economic interest is 1.5 million EUR)</w:t>
      </w:r>
      <w:r>
        <w:rPr>
          <w:b/>
          <w:bCs/>
          <w:noProof/>
        </w:rPr>
        <w:t xml:space="preserve"> </w:t>
      </w:r>
      <w:r>
        <w:rPr>
          <w:noProof/>
        </w:rPr>
        <w:t>from Romania where measures were extended.</w:t>
      </w:r>
    </w:p>
    <w:p>
      <w:pPr>
        <w:rPr>
          <w:noProof/>
        </w:rPr>
      </w:pPr>
      <w:r>
        <w:rPr>
          <w:noProof/>
        </w:rPr>
        <w:t xml:space="preserve">Finally, the AD measures against </w:t>
      </w:r>
      <w:r>
        <w:rPr>
          <w:b/>
          <w:noProof/>
        </w:rPr>
        <w:t>E-SBR (synthetic rubber)</w:t>
      </w:r>
      <w:r>
        <w:rPr>
          <w:noProof/>
        </w:rPr>
        <w:t xml:space="preserve"> that were imposed and immediately suspended in 2015 were finally terminated in November 2017 on public interest grounds. In collaboration with the EU industry and Member States, the Commission made numerous representations, pointing notably to the fact that EU exports were not the cause of injury to the domestic industry. This has been confirmed by the fact that during the above-mentioned 2-year suspension of measures, the domestic industry has however managed to increase its market share. EU exports to Brazil amounted to 60 million EUR in 2016.</w:t>
      </w:r>
    </w:p>
    <w:p>
      <w:pPr>
        <w:pStyle w:val="Heading1"/>
        <w:rPr>
          <w:noProof/>
        </w:rPr>
      </w:pPr>
      <w:r>
        <w:rPr>
          <w:noProof/>
        </w:rPr>
        <w:t>TURKEY</w:t>
      </w:r>
    </w:p>
    <w:p>
      <w:pPr>
        <w:pStyle w:val="Heading2"/>
        <w:rPr>
          <w:noProof/>
        </w:rPr>
      </w:pPr>
      <w:r>
        <w:rPr>
          <w:noProof/>
        </w:rPr>
        <w:t xml:space="preserve">Overall trends </w:t>
      </w:r>
    </w:p>
    <w:p>
      <w:pPr>
        <w:rPr>
          <w:noProof/>
        </w:rPr>
      </w:pPr>
      <w:r>
        <w:rPr>
          <w:noProof/>
        </w:rPr>
        <w:t xml:space="preserve">In 2017, Turkey initiated </w:t>
      </w:r>
      <w:r>
        <w:rPr>
          <w:b/>
          <w:noProof/>
        </w:rPr>
        <w:t>2 new SFG</w:t>
      </w:r>
      <w:r>
        <w:rPr>
          <w:noProof/>
        </w:rPr>
        <w:t xml:space="preserve"> investigations and a review of a </w:t>
      </w:r>
      <w:r>
        <w:rPr>
          <w:b/>
          <w:noProof/>
        </w:rPr>
        <w:t>SFG</w:t>
      </w:r>
      <w:r>
        <w:rPr>
          <w:noProof/>
        </w:rPr>
        <w:t xml:space="preserve"> measure in force. 1 newly initiated </w:t>
      </w:r>
      <w:r>
        <w:rPr>
          <w:b/>
          <w:noProof/>
        </w:rPr>
        <w:t>SFG</w:t>
      </w:r>
      <w:r>
        <w:rPr>
          <w:noProof/>
        </w:rPr>
        <w:t xml:space="preserve"> investigation has been terminated, without imposition of measures. In addition, in 2017, Turkey launched </w:t>
      </w:r>
      <w:r>
        <w:rPr>
          <w:b/>
          <w:noProof/>
        </w:rPr>
        <w:t>2 new AD investigations</w:t>
      </w:r>
      <w:r>
        <w:rPr>
          <w:noProof/>
        </w:rPr>
        <w:t xml:space="preserve">, and initiated </w:t>
      </w:r>
      <w:r>
        <w:rPr>
          <w:b/>
          <w:noProof/>
        </w:rPr>
        <w:t>1 expiry review of AD measures</w:t>
      </w:r>
      <w:r>
        <w:rPr>
          <w:noProof/>
        </w:rPr>
        <w:t xml:space="preserve">. In 2017, Turkey imposed </w:t>
      </w:r>
      <w:r>
        <w:rPr>
          <w:b/>
          <w:noProof/>
        </w:rPr>
        <w:t>2 AD</w:t>
      </w:r>
      <w:r>
        <w:rPr>
          <w:noProof/>
        </w:rPr>
        <w:t xml:space="preserve"> measures, and</w:t>
      </w:r>
      <w:r>
        <w:rPr>
          <w:b/>
          <w:noProof/>
        </w:rPr>
        <w:t xml:space="preserve"> </w:t>
      </w:r>
      <w:r>
        <w:rPr>
          <w:noProof/>
        </w:rPr>
        <w:t xml:space="preserve">concluded </w:t>
      </w:r>
      <w:r>
        <w:rPr>
          <w:b/>
          <w:noProof/>
        </w:rPr>
        <w:t>1 anti-circumvention</w:t>
      </w:r>
      <w:r>
        <w:rPr>
          <w:noProof/>
        </w:rPr>
        <w:t xml:space="preserve"> investigation. </w:t>
      </w:r>
    </w:p>
    <w:p>
      <w:pPr>
        <w:rPr>
          <w:noProof/>
        </w:rPr>
      </w:pPr>
      <w:r>
        <w:rPr>
          <w:noProof/>
        </w:rPr>
        <w:t xml:space="preserve">It is also noteworthy that due to the political situation, the annual meeting of the EU-Turkey </w:t>
      </w:r>
      <w:r>
        <w:rPr>
          <w:b/>
          <w:noProof/>
        </w:rPr>
        <w:t>bilateral trade defence dialogue</w:t>
      </w:r>
      <w:r>
        <w:rPr>
          <w:noProof/>
        </w:rPr>
        <w:t xml:space="preserve"> was not held in 2017.</w:t>
      </w:r>
    </w:p>
    <w:p>
      <w:pPr>
        <w:rPr>
          <w:noProof/>
        </w:rPr>
      </w:pPr>
    </w:p>
    <w:p>
      <w:pPr>
        <w:pStyle w:val="Heading2"/>
        <w:rPr>
          <w:noProof/>
        </w:rPr>
      </w:pPr>
      <w:r>
        <w:rPr>
          <w:noProof/>
        </w:rPr>
        <w:t xml:space="preserve">Main cases </w:t>
      </w:r>
    </w:p>
    <w:p>
      <w:pPr>
        <w:rPr>
          <w:noProof/>
        </w:rPr>
      </w:pPr>
      <w:r>
        <w:rPr>
          <w:noProof/>
        </w:rPr>
        <w:t xml:space="preserve">In April 2017, Turkey initiated a SFG investigation concerning imports of </w:t>
      </w:r>
      <w:r>
        <w:rPr>
          <w:b/>
          <w:noProof/>
        </w:rPr>
        <w:t>tyres</w:t>
      </w:r>
      <w:r>
        <w:rPr>
          <w:noProof/>
        </w:rPr>
        <w:t xml:space="preserve"> (passenger vehicle, bus, truck). The EU economic interest was significant since EU exports amounted to 450-500 million EUR. The Commission, alongside the industry, intervened in the proceeding, via submissions and participation in a hearing. In addition, the issue was raised during the EU-Turkey Joint Committee in May 2017 and at political level by the Commissioner. The main problematic issues in this case were no unforeseen development, no qualified increase of imports and absence of injury. Early January 2018, Turkey terminated the investigation without imposing any measures.</w:t>
      </w:r>
    </w:p>
    <w:p>
      <w:pPr>
        <w:rPr>
          <w:noProof/>
        </w:rPr>
      </w:pPr>
      <w:r>
        <w:rPr>
          <w:noProof/>
        </w:rPr>
        <w:t xml:space="preserve">In 2017, Turkey launched 2 new </w:t>
      </w:r>
      <w:r>
        <w:rPr>
          <w:b/>
          <w:noProof/>
        </w:rPr>
        <w:t xml:space="preserve">AD </w:t>
      </w:r>
      <w:r>
        <w:rPr>
          <w:noProof/>
        </w:rPr>
        <w:t xml:space="preserve">investigations on chemical products </w:t>
      </w:r>
      <w:r>
        <w:rPr>
          <w:b/>
          <w:noProof/>
        </w:rPr>
        <w:t>sodium percarbonate</w:t>
      </w:r>
      <w:r>
        <w:rPr>
          <w:noProof/>
        </w:rPr>
        <w:t xml:space="preserve"> and </w:t>
      </w:r>
      <w:r>
        <w:rPr>
          <w:b/>
          <w:noProof/>
        </w:rPr>
        <w:t>terephtalic acid</w:t>
      </w:r>
      <w:r>
        <w:rPr>
          <w:noProof/>
        </w:rPr>
        <w:t xml:space="preserve"> and initiated an expiry review of AD measures imposed in 2006 concerning </w:t>
      </w:r>
      <w:r>
        <w:rPr>
          <w:b/>
          <w:noProof/>
        </w:rPr>
        <w:t>pipe fittings</w:t>
      </w:r>
      <w:r>
        <w:rPr>
          <w:noProof/>
        </w:rPr>
        <w:t xml:space="preserve">. In 2017, Turkey adopted AD measures on imports of </w:t>
      </w:r>
      <w:r>
        <w:rPr>
          <w:b/>
          <w:noProof/>
        </w:rPr>
        <w:t>tubes and pipes of refined copper</w:t>
      </w:r>
      <w:r>
        <w:rPr>
          <w:noProof/>
        </w:rPr>
        <w:t xml:space="preserve">. Turkey concluded an anti-circumvention investigation concerning imports of </w:t>
      </w:r>
      <w:r>
        <w:rPr>
          <w:b/>
          <w:noProof/>
        </w:rPr>
        <w:t>hinges</w:t>
      </w:r>
      <w:r>
        <w:rPr>
          <w:noProof/>
        </w:rPr>
        <w:t xml:space="preserve"> and imposed duties on hinges by extending the measures to Spain, Italy and Greece.</w:t>
      </w:r>
    </w:p>
    <w:p>
      <w:pPr>
        <w:pStyle w:val="Heading1"/>
        <w:rPr>
          <w:noProof/>
        </w:rPr>
      </w:pPr>
      <w:r>
        <w:rPr>
          <w:noProof/>
        </w:rPr>
        <w:t>AUSTRALIA</w:t>
      </w:r>
    </w:p>
    <w:p>
      <w:pPr>
        <w:pStyle w:val="Heading2"/>
        <w:rPr>
          <w:noProof/>
        </w:rPr>
      </w:pPr>
      <w:r>
        <w:rPr>
          <w:noProof/>
        </w:rPr>
        <w:t xml:space="preserve">Overall trends </w:t>
      </w:r>
    </w:p>
    <w:p>
      <w:pPr>
        <w:pStyle w:val="Default"/>
        <w:spacing w:after="120"/>
        <w:jc w:val="both"/>
        <w:rPr>
          <w:noProof/>
          <w:color w:val="auto"/>
        </w:rPr>
      </w:pPr>
      <w:r>
        <w:rPr>
          <w:noProof/>
          <w:color w:val="auto"/>
        </w:rPr>
        <w:t xml:space="preserve">Australia is a moderate user of TDI, and this trend did not change in 2017. The country initiated </w:t>
      </w:r>
      <w:r>
        <w:rPr>
          <w:b/>
          <w:noProof/>
          <w:color w:val="auto"/>
        </w:rPr>
        <w:t xml:space="preserve">1 new AD </w:t>
      </w:r>
      <w:r>
        <w:rPr>
          <w:b/>
          <w:bCs/>
          <w:noProof/>
          <w:color w:val="auto"/>
        </w:rPr>
        <w:t>investigation</w:t>
      </w:r>
      <w:r>
        <w:rPr>
          <w:bCs/>
          <w:noProof/>
          <w:color w:val="auto"/>
        </w:rPr>
        <w:t xml:space="preserve">, which resulted in the imposition of </w:t>
      </w:r>
      <w:r>
        <w:rPr>
          <w:b/>
          <w:bCs/>
          <w:noProof/>
          <w:color w:val="auto"/>
        </w:rPr>
        <w:t>provisional measures</w:t>
      </w:r>
      <w:r>
        <w:rPr>
          <w:bCs/>
          <w:noProof/>
          <w:color w:val="auto"/>
        </w:rPr>
        <w:t xml:space="preserve"> and concluded </w:t>
      </w:r>
      <w:r>
        <w:rPr>
          <w:b/>
          <w:bCs/>
          <w:noProof/>
          <w:color w:val="auto"/>
        </w:rPr>
        <w:t>1 AD</w:t>
      </w:r>
      <w:r>
        <w:rPr>
          <w:bCs/>
          <w:noProof/>
          <w:color w:val="auto"/>
        </w:rPr>
        <w:t xml:space="preserve"> </w:t>
      </w:r>
      <w:r>
        <w:rPr>
          <w:b/>
          <w:bCs/>
          <w:noProof/>
          <w:color w:val="auto"/>
        </w:rPr>
        <w:t>expiry review</w:t>
      </w:r>
      <w:r>
        <w:rPr>
          <w:noProof/>
          <w:color w:val="auto"/>
        </w:rPr>
        <w:t xml:space="preserve">. </w:t>
      </w:r>
      <w:r>
        <w:rPr>
          <w:bCs/>
          <w:noProof/>
          <w:color w:val="auto"/>
        </w:rPr>
        <w:t xml:space="preserve">At the end of the year there were </w:t>
      </w:r>
      <w:r>
        <w:rPr>
          <w:b/>
          <w:bCs/>
          <w:noProof/>
          <w:color w:val="auto"/>
        </w:rPr>
        <w:t>7 AD measures in force</w:t>
      </w:r>
      <w:r>
        <w:rPr>
          <w:bCs/>
          <w:noProof/>
          <w:color w:val="auto"/>
        </w:rPr>
        <w:t xml:space="preserve"> affecting EU exports, just one more than the year before.</w:t>
      </w:r>
    </w:p>
    <w:p>
      <w:pPr>
        <w:pStyle w:val="Heading2"/>
        <w:rPr>
          <w:noProof/>
        </w:rPr>
      </w:pPr>
      <w:r>
        <w:rPr>
          <w:noProof/>
        </w:rPr>
        <w:t xml:space="preserve">Main cases </w:t>
      </w:r>
    </w:p>
    <w:p>
      <w:pPr>
        <w:rPr>
          <w:noProof/>
        </w:rPr>
      </w:pPr>
      <w:r>
        <w:rPr>
          <w:noProof/>
          <w:szCs w:val="24"/>
        </w:rPr>
        <w:t xml:space="preserve">In the case regarding </w:t>
      </w:r>
      <w:r>
        <w:rPr>
          <w:b/>
          <w:noProof/>
          <w:szCs w:val="24"/>
        </w:rPr>
        <w:t>processed tomatoes</w:t>
      </w:r>
      <w:r>
        <w:rPr>
          <w:noProof/>
          <w:szCs w:val="24"/>
        </w:rPr>
        <w:t xml:space="preserve"> from Italy (EU exports worth around 44 million EUR in 2015), measures were imposed in 2016, against the 2 main Italian exporters representing around 45% of EU exports to Australia. However, the case was appealed and reviewed by the Anti-Dumping Review Panel (ADRP) since the Italian exporters did not agree on a cost adjustment made by Australia to reflect the EU agricultural payments to tomato growers in the dumping margin. The conclusions of this administrative review were disclosed in January 2017. The ADRP recognized that the EU-decoupled income support to tomato growers in Italy did not have a distortive effect on the price of tomatoes purchased by the 2 Italian exporters concerned, and therefore on the export price of Italian canned tomatoes. The dumping margins for the 2 exporting producers were adjusted downwards, resulting in zero or low duties.</w:t>
      </w:r>
    </w:p>
    <w:p>
      <w:pPr>
        <w:rPr>
          <w:noProof/>
          <w:szCs w:val="24"/>
        </w:rPr>
      </w:pPr>
      <w:r>
        <w:rPr>
          <w:noProof/>
          <w:szCs w:val="24"/>
        </w:rPr>
        <w:t>These conclusions were also applied to the 2016 interim review of measures imposed to the remaining Italian exporters, and therefore no cost adjustment was made in the dumping margin calculation. The case was challenged again and Australia initiated another administrative review to re-assess the cost adjustment and other issues. In February 2018, the ADRP was consistent with its previous conclusion according to which the cost adjustment was not warranted. The Commission intervened technically and politically at all stages of the above procedures.</w:t>
      </w:r>
    </w:p>
    <w:p>
      <w:pPr>
        <w:rPr>
          <w:noProof/>
          <w:szCs w:val="24"/>
        </w:rPr>
      </w:pPr>
      <w:r>
        <w:rPr>
          <w:noProof/>
          <w:szCs w:val="24"/>
        </w:rPr>
        <w:t xml:space="preserve">The Commission also intervened in the AD investigation concerning </w:t>
      </w:r>
      <w:r>
        <w:rPr>
          <w:b/>
          <w:bCs/>
          <w:noProof/>
          <w:szCs w:val="24"/>
        </w:rPr>
        <w:t xml:space="preserve">steel reinforcing bars </w:t>
      </w:r>
      <w:r>
        <w:rPr>
          <w:noProof/>
          <w:szCs w:val="24"/>
        </w:rPr>
        <w:t>from Spain (EU exports worth around 46 million EUR in 2016). This is the second case against exports from Spain of this particular product, after initial duties were removed following an administrative review of the first case. Provisional measures on EU exports were imposed in November 2017.</w:t>
      </w:r>
    </w:p>
    <w:p>
      <w:pPr>
        <w:pStyle w:val="Heading1"/>
        <w:rPr>
          <w:noProof/>
        </w:rPr>
      </w:pPr>
      <w:r>
        <w:rPr>
          <w:noProof/>
        </w:rPr>
        <w:t>CANADA</w:t>
      </w:r>
    </w:p>
    <w:p>
      <w:pPr>
        <w:pStyle w:val="Heading2"/>
        <w:rPr>
          <w:noProof/>
        </w:rPr>
      </w:pPr>
      <w:r>
        <w:rPr>
          <w:noProof/>
        </w:rPr>
        <w:t xml:space="preserve">Overall trends </w:t>
      </w:r>
    </w:p>
    <w:p>
      <w:pPr>
        <w:rPr>
          <w:noProof/>
        </w:rPr>
      </w:pPr>
      <w:r>
        <w:rPr>
          <w:noProof/>
        </w:rPr>
        <w:t xml:space="preserve">Canada is a moderate user of TDI. It has </w:t>
      </w:r>
      <w:r>
        <w:rPr>
          <w:b/>
          <w:noProof/>
        </w:rPr>
        <w:t>6 AD</w:t>
      </w:r>
      <w:r>
        <w:rPr>
          <w:noProof/>
        </w:rPr>
        <w:t xml:space="preserve"> and </w:t>
      </w:r>
      <w:r>
        <w:rPr>
          <w:b/>
          <w:noProof/>
        </w:rPr>
        <w:t>1 AS</w:t>
      </w:r>
      <w:r>
        <w:rPr>
          <w:noProof/>
        </w:rPr>
        <w:t xml:space="preserve"> measure in force against the EU in 2017. It has not initiated any new investigation in 2017 but has imposed </w:t>
      </w:r>
      <w:r>
        <w:rPr>
          <w:b/>
          <w:noProof/>
        </w:rPr>
        <w:t>2 new AD measures</w:t>
      </w:r>
      <w:r>
        <w:rPr>
          <w:noProof/>
        </w:rPr>
        <w:t xml:space="preserve">. </w:t>
      </w:r>
    </w:p>
    <w:p>
      <w:pPr>
        <w:pStyle w:val="Heading2"/>
        <w:rPr>
          <w:noProof/>
        </w:rPr>
      </w:pPr>
      <w:r>
        <w:rPr>
          <w:noProof/>
        </w:rPr>
        <w:t xml:space="preserve">Main cases </w:t>
      </w:r>
    </w:p>
    <w:p>
      <w:pPr>
        <w:rPr>
          <w:noProof/>
        </w:rPr>
      </w:pPr>
      <w:r>
        <w:rPr>
          <w:noProof/>
        </w:rPr>
        <w:t xml:space="preserve">The AD investigation concerning </w:t>
      </w:r>
      <w:r>
        <w:rPr>
          <w:b/>
          <w:noProof/>
        </w:rPr>
        <w:t>certain concrete reinforcing bars</w:t>
      </w:r>
      <w:r>
        <w:rPr>
          <w:noProof/>
        </w:rPr>
        <w:t xml:space="preserve"> has been initiated in August 2016 (economic interest around 90 million EUR). The Spanish industry, mainly affected, has cooperated in the investigation. The Commission has made submissions raising the main issues of concern, in particular: the injury and causality analysis was not convincing, and the imports from countries concerned, merely replaced imports from other third countries. Despite the Commission’s interventions, definitive measures were imposed in May 2017. </w:t>
      </w:r>
    </w:p>
    <w:p>
      <w:pPr>
        <w:rPr>
          <w:noProof/>
        </w:rPr>
      </w:pPr>
      <w:r>
        <w:rPr>
          <w:noProof/>
        </w:rPr>
        <w:t xml:space="preserve">The AD investigation concerning imports of </w:t>
      </w:r>
      <w:r>
        <w:rPr>
          <w:b/>
          <w:noProof/>
        </w:rPr>
        <w:t>fabricated industrial steel components</w:t>
      </w:r>
      <w:r>
        <w:rPr>
          <w:noProof/>
        </w:rPr>
        <w:t xml:space="preserve"> has been initiated in September 2016 (economic interest around 130 million EUR). The main issue in this case was that imports from Spain and the UK have been </w:t>
      </w:r>
      <w:r>
        <w:rPr>
          <w:i/>
          <w:noProof/>
        </w:rPr>
        <w:t>de-minimis</w:t>
      </w:r>
      <w:r>
        <w:rPr>
          <w:noProof/>
        </w:rPr>
        <w:t xml:space="preserve"> in 2015 and 2016. However, in order to include imports from these countries in the investigation, the Canadian authorities decided to use an extremely long investigation period of 2 and half years. The Commission has contested this practice in submissions, during the public hearing and also in the anti-dumping committee in Geneva in October 2016. In view of these efforts, the investigation regarding the UK has been terminated, but definitive measures regarding imports from Spain were imposed in May 2017.</w:t>
      </w:r>
    </w:p>
    <w:p>
      <w:pPr>
        <w:rPr>
          <w:noProof/>
        </w:rPr>
      </w:pPr>
    </w:p>
    <w:p>
      <w:pPr>
        <w:pStyle w:val="Heading1"/>
        <w:rPr>
          <w:noProof/>
        </w:rPr>
      </w:pPr>
      <w:r>
        <w:rPr>
          <w:noProof/>
        </w:rPr>
        <w:t>MEXICO</w:t>
      </w:r>
    </w:p>
    <w:p>
      <w:pPr>
        <w:pStyle w:val="Heading2"/>
        <w:rPr>
          <w:noProof/>
        </w:rPr>
      </w:pPr>
      <w:r>
        <w:rPr>
          <w:noProof/>
        </w:rPr>
        <w:t xml:space="preserve">Overall trends </w:t>
      </w:r>
    </w:p>
    <w:p>
      <w:pPr>
        <w:pStyle w:val="Default"/>
        <w:spacing w:after="120"/>
        <w:jc w:val="both"/>
        <w:rPr>
          <w:noProof/>
          <w:color w:val="auto"/>
        </w:rPr>
      </w:pPr>
      <w:r>
        <w:rPr>
          <w:noProof/>
          <w:color w:val="auto"/>
        </w:rPr>
        <w:t xml:space="preserve">The use by Mexico of trade defence instruments against the EU remains stable. </w:t>
      </w:r>
      <w:r>
        <w:rPr>
          <w:bCs/>
          <w:noProof/>
          <w:color w:val="auto"/>
        </w:rPr>
        <w:t>At the end of 2017, Mexico had</w:t>
      </w:r>
      <w:r>
        <w:rPr>
          <w:b/>
          <w:bCs/>
          <w:noProof/>
          <w:color w:val="auto"/>
        </w:rPr>
        <w:t xml:space="preserve"> 7 AD measures in force </w:t>
      </w:r>
      <w:r>
        <w:rPr>
          <w:bCs/>
          <w:noProof/>
          <w:color w:val="auto"/>
        </w:rPr>
        <w:t>affecting EU interests, just 1 more than the previous year. All measures concern</w:t>
      </w:r>
      <w:r>
        <w:rPr>
          <w:noProof/>
          <w:color w:val="auto"/>
        </w:rPr>
        <w:t xml:space="preserve"> </w:t>
      </w:r>
      <w:r>
        <w:rPr>
          <w:bCs/>
          <w:noProof/>
          <w:color w:val="auto"/>
        </w:rPr>
        <w:t>steel products</w:t>
      </w:r>
      <w:r>
        <w:rPr>
          <w:noProof/>
          <w:color w:val="auto"/>
        </w:rPr>
        <w:t>.</w:t>
      </w:r>
    </w:p>
    <w:p>
      <w:pPr>
        <w:pStyle w:val="Default"/>
        <w:spacing w:after="120"/>
        <w:jc w:val="both"/>
        <w:rPr>
          <w:noProof/>
          <w:color w:val="auto"/>
        </w:rPr>
      </w:pPr>
      <w:r>
        <w:rPr>
          <w:noProof/>
          <w:color w:val="auto"/>
        </w:rPr>
        <w:t xml:space="preserve">In 2017, Mexico initiated </w:t>
      </w:r>
      <w:r>
        <w:rPr>
          <w:b/>
          <w:noProof/>
          <w:color w:val="auto"/>
        </w:rPr>
        <w:t>2</w:t>
      </w:r>
      <w:r>
        <w:rPr>
          <w:b/>
          <w:bCs/>
          <w:noProof/>
          <w:color w:val="auto"/>
        </w:rPr>
        <w:t xml:space="preserve"> new AD investigations</w:t>
      </w:r>
      <w:r>
        <w:rPr>
          <w:noProof/>
          <w:color w:val="auto"/>
        </w:rPr>
        <w:t xml:space="preserve">. It also </w:t>
      </w:r>
      <w:r>
        <w:rPr>
          <w:b/>
          <w:bCs/>
          <w:noProof/>
          <w:color w:val="auto"/>
        </w:rPr>
        <w:t xml:space="preserve">imposed 1 provisional AD measure </w:t>
      </w:r>
      <w:r>
        <w:rPr>
          <w:bCs/>
          <w:noProof/>
          <w:color w:val="auto"/>
        </w:rPr>
        <w:t xml:space="preserve">and </w:t>
      </w:r>
      <w:r>
        <w:rPr>
          <w:b/>
          <w:bCs/>
          <w:noProof/>
          <w:color w:val="auto"/>
        </w:rPr>
        <w:t>terminated 1 AD measure</w:t>
      </w:r>
      <w:r>
        <w:rPr>
          <w:bCs/>
          <w:noProof/>
          <w:color w:val="auto"/>
        </w:rPr>
        <w:t>, following an expiry review.</w:t>
      </w:r>
    </w:p>
    <w:p>
      <w:pPr>
        <w:pStyle w:val="Heading2"/>
        <w:numPr>
          <w:ilvl w:val="1"/>
          <w:numId w:val="37"/>
        </w:numPr>
        <w:rPr>
          <w:noProof/>
        </w:rPr>
      </w:pPr>
      <w:r>
        <w:rPr>
          <w:noProof/>
        </w:rPr>
        <w:t xml:space="preserve">Main cases </w:t>
      </w:r>
    </w:p>
    <w:p>
      <w:pPr>
        <w:rPr>
          <w:noProof/>
        </w:rPr>
      </w:pPr>
      <w:r>
        <w:rPr>
          <w:noProof/>
        </w:rPr>
        <w:t xml:space="preserve">Regarding the investigation on </w:t>
      </w:r>
      <w:r>
        <w:rPr>
          <w:b/>
          <w:noProof/>
        </w:rPr>
        <w:t>carbon steel pipes</w:t>
      </w:r>
      <w:r>
        <w:rPr>
          <w:noProof/>
        </w:rPr>
        <w:t xml:space="preserve"> from Spain, the Commission, in coordination with the Spanish authorities submitted comments at initiation and provisional stage. Despite the above, Mexico imposed provisional measures upon Spanish exports in August 2017. The final outcome of the investigation will be known in 2018. EU exports to Mexico amount to around 2 million EUR.</w:t>
      </w:r>
    </w:p>
    <w:p>
      <w:pPr>
        <w:rPr>
          <w:noProof/>
        </w:rPr>
      </w:pPr>
      <w:r>
        <w:rPr>
          <w:noProof/>
        </w:rPr>
        <w:t xml:space="preserve">The 2 new investigations, </w:t>
      </w:r>
      <w:r>
        <w:rPr>
          <w:b/>
          <w:noProof/>
        </w:rPr>
        <w:t xml:space="preserve">steel plate </w:t>
      </w:r>
      <w:r>
        <w:rPr>
          <w:noProof/>
        </w:rPr>
        <w:t xml:space="preserve">from Italy and </w:t>
      </w:r>
      <w:r>
        <w:rPr>
          <w:b/>
          <w:noProof/>
        </w:rPr>
        <w:t>synthetic rubber</w:t>
      </w:r>
      <w:r>
        <w:rPr>
          <w:noProof/>
        </w:rPr>
        <w:t xml:space="preserve"> from Poland, are still at initiation stage. Comments were submitted by the Commission concerning the former case. As of 31December 2017, there is still no decision regarding provisional measures for any of the 2 investigations. EU exports to Mexico amount to around 21 million EUR and 2 million EUR respectively.</w:t>
      </w:r>
    </w:p>
    <w:p>
      <w:pPr>
        <w:rPr>
          <w:noProof/>
        </w:rPr>
      </w:pPr>
      <w:r>
        <w:rPr>
          <w:noProof/>
        </w:rPr>
        <w:t xml:space="preserve">In February 2017, Mexico initiated a review of AD measures on imports of </w:t>
      </w:r>
      <w:r>
        <w:rPr>
          <w:b/>
          <w:noProof/>
        </w:rPr>
        <w:t>graphite electrodes</w:t>
      </w:r>
      <w:r>
        <w:rPr>
          <w:noProof/>
        </w:rPr>
        <w:t xml:space="preserve"> from China and the UK (under measures after a circumvention investigation). The EU economic interest was marginal. Measures were terminated in January 2018.  </w:t>
      </w:r>
    </w:p>
    <w:p>
      <w:pPr>
        <w:rPr>
          <w:noProof/>
        </w:rPr>
      </w:pPr>
    </w:p>
    <w:p>
      <w:pPr>
        <w:pStyle w:val="Heading1"/>
        <w:rPr>
          <w:noProof/>
        </w:rPr>
      </w:pPr>
      <w:r>
        <w:rPr>
          <w:noProof/>
        </w:rPr>
        <w:t>MOROCCO</w:t>
      </w:r>
    </w:p>
    <w:p>
      <w:pPr>
        <w:pStyle w:val="Heading2"/>
        <w:rPr>
          <w:noProof/>
        </w:rPr>
      </w:pPr>
      <w:r>
        <w:rPr>
          <w:noProof/>
        </w:rPr>
        <w:t xml:space="preserve">Overall trends </w:t>
      </w:r>
    </w:p>
    <w:p>
      <w:pPr>
        <w:autoSpaceDE w:val="0"/>
        <w:autoSpaceDN w:val="0"/>
        <w:adjustRightInd w:val="0"/>
        <w:rPr>
          <w:noProof/>
          <w:sz w:val="23"/>
          <w:szCs w:val="23"/>
          <w:lang w:eastAsia="en-US"/>
        </w:rPr>
      </w:pPr>
      <w:r>
        <w:rPr>
          <w:noProof/>
          <w:sz w:val="23"/>
          <w:szCs w:val="23"/>
          <w:lang w:eastAsia="en-US"/>
        </w:rPr>
        <w:t xml:space="preserve">In the course of 2017, Morocco's TDI activity has decreased as compared to previous years as it did not initiate any new investigation. In January 2017, it </w:t>
      </w:r>
      <w:r>
        <w:rPr>
          <w:bCs/>
          <w:noProof/>
          <w:sz w:val="23"/>
          <w:szCs w:val="23"/>
          <w:lang w:eastAsia="en-US"/>
        </w:rPr>
        <w:t xml:space="preserve">imposed </w:t>
      </w:r>
      <w:r>
        <w:rPr>
          <w:b/>
          <w:bCs/>
          <w:noProof/>
          <w:sz w:val="23"/>
          <w:szCs w:val="23"/>
          <w:lang w:eastAsia="en-US"/>
        </w:rPr>
        <w:t xml:space="preserve">1 SFG </w:t>
      </w:r>
      <w:r>
        <w:rPr>
          <w:noProof/>
          <w:sz w:val="23"/>
          <w:szCs w:val="23"/>
          <w:lang w:eastAsia="en-US"/>
        </w:rPr>
        <w:t xml:space="preserve">measure. It terminated </w:t>
      </w:r>
      <w:r>
        <w:rPr>
          <w:b/>
          <w:noProof/>
          <w:sz w:val="23"/>
          <w:szCs w:val="23"/>
          <w:lang w:eastAsia="en-US"/>
        </w:rPr>
        <w:t>1 AD investigation</w:t>
      </w:r>
      <w:r>
        <w:rPr>
          <w:noProof/>
          <w:sz w:val="23"/>
          <w:szCs w:val="23"/>
          <w:lang w:eastAsia="en-US"/>
        </w:rPr>
        <w:t xml:space="preserve"> without imposition of measures (see below) . At the end of 2017, Morocco had </w:t>
      </w:r>
      <w:r>
        <w:rPr>
          <w:b/>
          <w:noProof/>
          <w:sz w:val="23"/>
          <w:szCs w:val="23"/>
          <w:lang w:eastAsia="en-US"/>
        </w:rPr>
        <w:t>4 AD</w:t>
      </w:r>
      <w:r>
        <w:rPr>
          <w:noProof/>
          <w:sz w:val="23"/>
          <w:szCs w:val="23"/>
          <w:lang w:eastAsia="en-US"/>
        </w:rPr>
        <w:t xml:space="preserve"> and </w:t>
      </w:r>
      <w:r>
        <w:rPr>
          <w:b/>
          <w:noProof/>
          <w:sz w:val="23"/>
          <w:szCs w:val="23"/>
          <w:lang w:eastAsia="en-US"/>
        </w:rPr>
        <w:t>3 SFG</w:t>
      </w:r>
      <w:r>
        <w:rPr>
          <w:noProof/>
          <w:sz w:val="23"/>
          <w:szCs w:val="23"/>
          <w:lang w:eastAsia="en-US"/>
        </w:rPr>
        <w:t xml:space="preserve"> measures against the EU in force. </w:t>
      </w:r>
    </w:p>
    <w:p>
      <w:pPr>
        <w:pStyle w:val="Heading2"/>
        <w:rPr>
          <w:noProof/>
        </w:rPr>
      </w:pPr>
      <w:r>
        <w:rPr>
          <w:noProof/>
        </w:rPr>
        <w:t xml:space="preserve">Main cases </w:t>
      </w:r>
    </w:p>
    <w:p>
      <w:pPr>
        <w:autoSpaceDE w:val="0"/>
        <w:autoSpaceDN w:val="0"/>
        <w:adjustRightInd w:val="0"/>
        <w:rPr>
          <w:noProof/>
          <w:sz w:val="23"/>
          <w:szCs w:val="23"/>
        </w:rPr>
      </w:pPr>
      <w:r>
        <w:rPr>
          <w:noProof/>
          <w:sz w:val="23"/>
          <w:szCs w:val="23"/>
          <w:lang w:eastAsia="en-US"/>
        </w:rPr>
        <w:t xml:space="preserve">The AD investigation concerning </w:t>
      </w:r>
      <w:r>
        <w:rPr>
          <w:b/>
          <w:noProof/>
          <w:sz w:val="23"/>
          <w:szCs w:val="23"/>
          <w:lang w:eastAsia="en-US"/>
        </w:rPr>
        <w:t>ceramic tiles</w:t>
      </w:r>
      <w:r>
        <w:rPr>
          <w:noProof/>
          <w:sz w:val="23"/>
          <w:szCs w:val="23"/>
          <w:lang w:eastAsia="en-US"/>
        </w:rPr>
        <w:t xml:space="preserve"> from Spain was initiated in January 2016 (EU economic interest around 70 million EUR). The Spanish industry targeted by this investigation was very concerned. The Commission made several submissions in cooperation with the industry, and closely followed the case. The Commission pointed notably to the following weaknesses of the investigation: absence of injury, presence of other factors breaking the causal link between dumping and injury (notably imports from China and Egypt, increase in production costs and unused production capacity). Thanks to the coordinated efforts of the industry, Spain and the Commission, the investigation was concluded without the imposition of measures in November 2017. </w:t>
      </w:r>
    </w:p>
    <w:p>
      <w:pPr>
        <w:rPr>
          <w:noProof/>
        </w:rPr>
      </w:pPr>
    </w:p>
    <w:p>
      <w:pPr>
        <w:pStyle w:val="Heading1"/>
        <w:rPr>
          <w:noProof/>
        </w:rPr>
      </w:pPr>
      <w:r>
        <w:rPr>
          <w:noProof/>
        </w:rPr>
        <w:t>ARGENTINA</w:t>
      </w:r>
    </w:p>
    <w:p>
      <w:pPr>
        <w:rPr>
          <w:noProof/>
        </w:rPr>
      </w:pPr>
      <w:r>
        <w:rPr>
          <w:noProof/>
        </w:rPr>
        <w:t xml:space="preserve">Argentina </w:t>
      </w:r>
      <w:r>
        <w:rPr>
          <w:b/>
          <w:noProof/>
        </w:rPr>
        <w:t>did not</w:t>
      </w:r>
      <w:r>
        <w:rPr>
          <w:noProof/>
        </w:rPr>
        <w:t xml:space="preserve"> </w:t>
      </w:r>
      <w:r>
        <w:rPr>
          <w:b/>
          <w:bCs/>
          <w:noProof/>
        </w:rPr>
        <w:t xml:space="preserve">impose any new measure </w:t>
      </w:r>
      <w:r>
        <w:rPr>
          <w:noProof/>
        </w:rPr>
        <w:t xml:space="preserve">on EU exports in 2017. It </w:t>
      </w:r>
      <w:r>
        <w:rPr>
          <w:bCs/>
          <w:noProof/>
        </w:rPr>
        <w:t xml:space="preserve">initiated </w:t>
      </w:r>
      <w:r>
        <w:rPr>
          <w:noProof/>
        </w:rPr>
        <w:t xml:space="preserve">1 AD expiry review on </w:t>
      </w:r>
      <w:r>
        <w:rPr>
          <w:b/>
          <w:bCs/>
          <w:noProof/>
        </w:rPr>
        <w:t xml:space="preserve">coated paper </w:t>
      </w:r>
      <w:r>
        <w:rPr>
          <w:bCs/>
          <w:noProof/>
        </w:rPr>
        <w:t>(EU economic interest around 55 million EUR)</w:t>
      </w:r>
      <w:r>
        <w:rPr>
          <w:b/>
          <w:bCs/>
          <w:noProof/>
        </w:rPr>
        <w:t xml:space="preserve"> </w:t>
      </w:r>
      <w:r>
        <w:rPr>
          <w:noProof/>
        </w:rPr>
        <w:t xml:space="preserve">from Austria and Finland and also an </w:t>
      </w:r>
      <w:r>
        <w:rPr>
          <w:bCs/>
          <w:noProof/>
        </w:rPr>
        <w:t>anti-circumvention investigation</w:t>
      </w:r>
      <w:r>
        <w:rPr>
          <w:b/>
          <w:bCs/>
          <w:noProof/>
        </w:rPr>
        <w:t xml:space="preserve"> </w:t>
      </w:r>
      <w:r>
        <w:rPr>
          <w:noProof/>
        </w:rPr>
        <w:t xml:space="preserve">against imports of </w:t>
      </w:r>
      <w:r>
        <w:rPr>
          <w:b/>
          <w:noProof/>
        </w:rPr>
        <w:t>certain spanners</w:t>
      </w:r>
      <w:r>
        <w:rPr>
          <w:noProof/>
        </w:rPr>
        <w:t xml:space="preserve"> from Spain </w:t>
      </w:r>
      <w:r>
        <w:rPr>
          <w:bCs/>
          <w:noProof/>
        </w:rPr>
        <w:t>(EU economic interest is marginal)</w:t>
      </w:r>
      <w:r>
        <w:rPr>
          <w:noProof/>
        </w:rPr>
        <w:t xml:space="preserve">. Argentina also concluded the expiry review </w:t>
      </w:r>
      <w:r>
        <w:rPr>
          <w:bCs/>
          <w:noProof/>
        </w:rPr>
        <w:t>on</w:t>
      </w:r>
      <w:r>
        <w:rPr>
          <w:b/>
          <w:bCs/>
          <w:noProof/>
        </w:rPr>
        <w:t xml:space="preserve"> straight handsaw blades </w:t>
      </w:r>
      <w:r>
        <w:rPr>
          <w:bCs/>
          <w:noProof/>
        </w:rPr>
        <w:t>from Sweden, (EU economic interest is marginal) and t</w:t>
      </w:r>
      <w:r>
        <w:rPr>
          <w:noProof/>
        </w:rPr>
        <w:t xml:space="preserve">he anti-circumvention investigation against imports of </w:t>
      </w:r>
      <w:r>
        <w:rPr>
          <w:b/>
          <w:bCs/>
          <w:noProof/>
        </w:rPr>
        <w:t xml:space="preserve">coated paper </w:t>
      </w:r>
      <w:r>
        <w:rPr>
          <w:noProof/>
        </w:rPr>
        <w:t xml:space="preserve">from Austria </w:t>
      </w:r>
      <w:r>
        <w:rPr>
          <w:bCs/>
          <w:noProof/>
        </w:rPr>
        <w:t>(EU economic interest around 1.4 million EUR)</w:t>
      </w:r>
      <w:r>
        <w:rPr>
          <w:noProof/>
        </w:rPr>
        <w:t>. In both cases, measures were maintained.</w:t>
      </w:r>
    </w:p>
    <w:p>
      <w:pPr>
        <w:pStyle w:val="Heading1"/>
        <w:rPr>
          <w:noProof/>
        </w:rPr>
      </w:pPr>
      <w:r>
        <w:rPr>
          <w:noProof/>
        </w:rPr>
        <w:t>INDONESIA</w:t>
      </w:r>
    </w:p>
    <w:p>
      <w:pPr>
        <w:pStyle w:val="Default"/>
        <w:jc w:val="both"/>
        <w:rPr>
          <w:noProof/>
        </w:rPr>
      </w:pPr>
      <w:r>
        <w:rPr>
          <w:noProof/>
        </w:rPr>
        <w:t xml:space="preserve">While Indonesia has no </w:t>
      </w:r>
      <w:r>
        <w:rPr>
          <w:b/>
          <w:noProof/>
        </w:rPr>
        <w:t>AD nor AS measures in place</w:t>
      </w:r>
      <w:r>
        <w:rPr>
          <w:noProof/>
        </w:rPr>
        <w:t xml:space="preserve"> regarding the EU, in recent years it has been a relatively intensive user of the </w:t>
      </w:r>
      <w:r>
        <w:rPr>
          <w:b/>
          <w:noProof/>
        </w:rPr>
        <w:t>SFG instrument</w:t>
      </w:r>
      <w:r>
        <w:rPr>
          <w:noProof/>
        </w:rPr>
        <w:t xml:space="preserve">, mainly as a result of increased imports from China linked to the entry into force of the ASEAN-China FTA. On 31 December 2017, there were 4 Indonesian SFG measures in force. In all of these 4 cases the EU economic interest is rather limited. SFG measures on </w:t>
      </w:r>
      <w:r>
        <w:rPr>
          <w:b/>
          <w:noProof/>
        </w:rPr>
        <w:t>casing and tubing</w:t>
      </w:r>
      <w:r>
        <w:rPr>
          <w:noProof/>
        </w:rPr>
        <w:t xml:space="preserve"> expired in August 2017, and SFG measures on </w:t>
      </w:r>
      <w:r>
        <w:rPr>
          <w:b/>
          <w:noProof/>
        </w:rPr>
        <w:t>wheat flour</w:t>
      </w:r>
      <w:r>
        <w:rPr>
          <w:noProof/>
        </w:rPr>
        <w:t xml:space="preserve"> imposed since 2012 expired in December 2017. On 21January 2018, Indonesia extended the SFG measures on </w:t>
      </w:r>
      <w:r>
        <w:rPr>
          <w:b/>
          <w:noProof/>
        </w:rPr>
        <w:t>I and H Sections of other alloy steel</w:t>
      </w:r>
      <w:r>
        <w:rPr>
          <w:noProof/>
        </w:rPr>
        <w:t xml:space="preserve"> for another 3 years.</w:t>
      </w:r>
    </w:p>
    <w:p>
      <w:pPr>
        <w:rPr>
          <w:noProof/>
        </w:rPr>
      </w:pPr>
    </w:p>
    <w:p>
      <w:pPr>
        <w:pStyle w:val="Heading1"/>
        <w:rPr>
          <w:noProof/>
        </w:rPr>
      </w:pPr>
      <w:r>
        <w:rPr>
          <w:noProof/>
        </w:rPr>
        <w:t>SOUTH AFRICA</w:t>
      </w:r>
    </w:p>
    <w:p>
      <w:pPr>
        <w:pStyle w:val="Heading2"/>
        <w:rPr>
          <w:noProof/>
        </w:rPr>
      </w:pPr>
      <w:r>
        <w:rPr>
          <w:noProof/>
        </w:rPr>
        <w:t xml:space="preserve">Overall trends </w:t>
      </w:r>
    </w:p>
    <w:p>
      <w:pPr>
        <w:rPr>
          <w:noProof/>
        </w:rPr>
      </w:pPr>
      <w:r>
        <w:rPr>
          <w:noProof/>
        </w:rPr>
        <w:t xml:space="preserve">South-Africa has been relatively quiet in terms of trade defence in 2017. South-Africa has not initiated any new investigation this year. 1 </w:t>
      </w:r>
      <w:r>
        <w:rPr>
          <w:b/>
          <w:noProof/>
        </w:rPr>
        <w:t>SFG</w:t>
      </w:r>
      <w:r>
        <w:rPr>
          <w:noProof/>
        </w:rPr>
        <w:t xml:space="preserve"> investigation led to measures, while another one was terminated without measures. 1 </w:t>
      </w:r>
      <w:r>
        <w:rPr>
          <w:b/>
          <w:noProof/>
        </w:rPr>
        <w:t>bilateral SFG</w:t>
      </w:r>
      <w:r>
        <w:rPr>
          <w:noProof/>
        </w:rPr>
        <w:t xml:space="preserve"> investigation is still going in 2017 (see below).</w:t>
      </w:r>
    </w:p>
    <w:p>
      <w:pPr>
        <w:pStyle w:val="Heading2"/>
        <w:rPr>
          <w:noProof/>
        </w:rPr>
      </w:pPr>
      <w:r>
        <w:rPr>
          <w:noProof/>
        </w:rPr>
        <w:t xml:space="preserve">Main cases </w:t>
      </w:r>
    </w:p>
    <w:p>
      <w:pPr>
        <w:rPr>
          <w:noProof/>
        </w:rPr>
      </w:pPr>
      <w:r>
        <w:rPr>
          <w:noProof/>
        </w:rPr>
        <w:t>The bilateral</w:t>
      </w:r>
      <w:r>
        <w:rPr>
          <w:i/>
          <w:noProof/>
        </w:rPr>
        <w:t xml:space="preserve"> </w:t>
      </w:r>
      <w:r>
        <w:rPr>
          <w:noProof/>
        </w:rPr>
        <w:t>SFG investigation on imports of</w:t>
      </w:r>
      <w:r>
        <w:rPr>
          <w:b/>
          <w:noProof/>
        </w:rPr>
        <w:t xml:space="preserve"> frozen bone in chicken parts</w:t>
      </w:r>
      <w:r>
        <w:rPr>
          <w:noProof/>
        </w:rPr>
        <w:t xml:space="preserve"> (EU exports worth 200 million EUR in 2016) under the European Partnership agreement (EPA) was initiated by South Africa in February 2016. It should be noted that bilateral SFG is hardly used as an instrument. At the end of 2017, the investigating authority of the South-African Customs Union (SACU) has recommended the imposition of measures. Nevertheless, the South-African Minister of Trade has not taken a decision yet. The Commission has very actively followed the file and intervened at all instances in the procedure and pointed out the many flaws of the investigation. The mandatory consultation process under the EPA is currently still ongoing and the Commission continues discussions with SACU in order to avoid any unwarranted measures.  </w:t>
      </w:r>
    </w:p>
    <w:p>
      <w:pPr>
        <w:pStyle w:val="Heading1"/>
        <w:rPr>
          <w:noProof/>
        </w:rPr>
      </w:pPr>
      <w:r>
        <w:rPr>
          <w:noProof/>
        </w:rPr>
        <w:t>THAILAND</w:t>
      </w:r>
    </w:p>
    <w:p>
      <w:pPr>
        <w:rPr>
          <w:noProof/>
        </w:rPr>
      </w:pPr>
      <w:r>
        <w:rPr>
          <w:noProof/>
        </w:rPr>
        <w:t xml:space="preserve">On 31December 2017, Thailand had </w:t>
      </w:r>
      <w:r>
        <w:rPr>
          <w:b/>
          <w:noProof/>
        </w:rPr>
        <w:t>3 SFG</w:t>
      </w:r>
      <w:r>
        <w:rPr>
          <w:noProof/>
        </w:rPr>
        <w:t xml:space="preserve"> measures in place, none of which entailing significant EU economic interest. For one of these, </w:t>
      </w:r>
      <w:r>
        <w:rPr>
          <w:b/>
          <w:noProof/>
        </w:rPr>
        <w:t>hot rolled H-beam</w:t>
      </w:r>
      <w:r>
        <w:rPr>
          <w:noProof/>
        </w:rPr>
        <w:t>, definitive SFG measures valid for 2 years were imposed in January 2017.</w:t>
      </w:r>
    </w:p>
    <w:p>
      <w:pPr>
        <w:pStyle w:val="Heading1"/>
        <w:rPr>
          <w:noProof/>
        </w:rPr>
      </w:pPr>
      <w:r>
        <w:rPr>
          <w:noProof/>
        </w:rPr>
        <w:t>VIETNAM</w:t>
      </w:r>
    </w:p>
    <w:p>
      <w:pPr>
        <w:pStyle w:val="Heading2"/>
        <w:rPr>
          <w:noProof/>
        </w:rPr>
      </w:pPr>
      <w:r>
        <w:rPr>
          <w:noProof/>
        </w:rPr>
        <w:t xml:space="preserve">Overall trends </w:t>
      </w:r>
    </w:p>
    <w:p>
      <w:pPr>
        <w:rPr>
          <w:caps/>
          <w:noProof/>
        </w:rPr>
      </w:pPr>
      <w:r>
        <w:rPr>
          <w:noProof/>
        </w:rPr>
        <w:t xml:space="preserve">Like many other fellow ASEAN countries, Vietnam maintains </w:t>
      </w:r>
      <w:r>
        <w:rPr>
          <w:b/>
          <w:noProof/>
        </w:rPr>
        <w:t>no AD or AS measures</w:t>
      </w:r>
      <w:r>
        <w:rPr>
          <w:noProof/>
        </w:rPr>
        <w:t xml:space="preserve"> against the EU, and rather relies exclusively on </w:t>
      </w:r>
      <w:r>
        <w:rPr>
          <w:b/>
          <w:noProof/>
        </w:rPr>
        <w:t>SFG</w:t>
      </w:r>
      <w:r>
        <w:rPr>
          <w:noProof/>
        </w:rPr>
        <w:t xml:space="preserve"> measures. As of 31December 2017, Vietnam has </w:t>
      </w:r>
      <w:r>
        <w:rPr>
          <w:b/>
          <w:noProof/>
        </w:rPr>
        <w:t xml:space="preserve">4 SFG </w:t>
      </w:r>
      <w:r>
        <w:rPr>
          <w:noProof/>
        </w:rPr>
        <w:t>measures in force. 2017 was yet another relatively busy year, as Vietnam initiated and imposed provisional measures in 1 SFG case and imposed definitive measures in another SFG case. In all 4 SFG cases but the one detailed below (fertilizers), the EU economic interest is limited.</w:t>
      </w:r>
    </w:p>
    <w:p>
      <w:pPr>
        <w:pStyle w:val="Heading2"/>
        <w:rPr>
          <w:noProof/>
        </w:rPr>
      </w:pPr>
      <w:r>
        <w:rPr>
          <w:noProof/>
        </w:rPr>
        <w:t xml:space="preserve">Main cases </w:t>
      </w:r>
    </w:p>
    <w:p>
      <w:pPr>
        <w:rPr>
          <w:noProof/>
        </w:rPr>
      </w:pPr>
      <w:r>
        <w:rPr>
          <w:noProof/>
        </w:rPr>
        <w:t xml:space="preserve">The SFG investigation on imports of </w:t>
      </w:r>
      <w:r>
        <w:rPr>
          <w:b/>
          <w:noProof/>
        </w:rPr>
        <w:t>fertilizers</w:t>
      </w:r>
      <w:r>
        <w:rPr>
          <w:noProof/>
        </w:rPr>
        <w:t xml:space="preserve"> was initiated in May 2017 (EU exports amounted to around 2.5 million EUR in 2016) In view of the systemic concerns, the Commission participated in a hearing and submitted comments in the framework of the investigation. In particular, the Commission commented on the inappropriateness of the choice of instrument as China alone represents 84% of imports. SFG measures systemically cause collateral damage, to non-injurious imports such as EU imports representing 0.4% of total imports in this case. The Commission also pointed to the weaknesses of the investigation (no surge of imports, no causal link, insufficient analysis other factors, absence of undercutting). </w:t>
      </w:r>
    </w:p>
    <w:p>
      <w:pPr>
        <w:rPr>
          <w:noProof/>
        </w:rPr>
      </w:pPr>
    </w:p>
    <w:p>
      <w:pPr>
        <w:pStyle w:val="Heading1"/>
        <w:rPr>
          <w:rFonts w:asciiTheme="minorHAnsi" w:hAnsiTheme="minorHAnsi" w:cs="Arial"/>
          <w:noProof/>
          <w:sz w:val="20"/>
        </w:rPr>
      </w:pPr>
      <w:r>
        <w:rPr>
          <w:noProof/>
        </w:rPr>
        <w:t>MALAYSIA</w:t>
      </w:r>
    </w:p>
    <w:p>
      <w:pPr>
        <w:rPr>
          <w:noProof/>
        </w:rPr>
      </w:pPr>
      <w:r>
        <w:rPr>
          <w:noProof/>
        </w:rPr>
        <w:t xml:space="preserve">At the end of 2017, Malaysia has </w:t>
      </w:r>
      <w:r>
        <w:rPr>
          <w:b/>
          <w:noProof/>
        </w:rPr>
        <w:t>3 SFG</w:t>
      </w:r>
      <w:r>
        <w:rPr>
          <w:noProof/>
        </w:rPr>
        <w:t xml:space="preserve"> measures in place of which 2 were imposed in April 2017 (concerning </w:t>
      </w:r>
      <w:r>
        <w:rPr>
          <w:b/>
          <w:noProof/>
        </w:rPr>
        <w:t>steel wire rods and deformed bar in coils</w:t>
      </w:r>
      <w:r>
        <w:rPr>
          <w:noProof/>
        </w:rPr>
        <w:t xml:space="preserve"> and </w:t>
      </w:r>
      <w:r>
        <w:rPr>
          <w:b/>
          <w:noProof/>
        </w:rPr>
        <w:t>steel concrete reinforcing bars</w:t>
      </w:r>
      <w:r>
        <w:rPr>
          <w:noProof/>
        </w:rPr>
        <w:t>)</w:t>
      </w:r>
      <w:r>
        <w:rPr>
          <w:b/>
          <w:noProof/>
        </w:rPr>
        <w:t xml:space="preserve">. </w:t>
      </w:r>
      <w:r>
        <w:rPr>
          <w:noProof/>
        </w:rPr>
        <w:t xml:space="preserve">EU economic interest is limited in all 3 cases. </w:t>
      </w:r>
    </w:p>
    <w:p>
      <w:pPr>
        <w:pStyle w:val="Heading1"/>
        <w:rPr>
          <w:rFonts w:asciiTheme="minorHAnsi" w:hAnsiTheme="minorHAnsi" w:cs="Arial"/>
          <w:noProof/>
          <w:sz w:val="20"/>
        </w:rPr>
      </w:pPr>
      <w:r>
        <w:rPr>
          <w:noProof/>
        </w:rPr>
        <w:t>THE PHILIPPINES</w:t>
      </w:r>
    </w:p>
    <w:p>
      <w:pPr>
        <w:rPr>
          <w:noProof/>
        </w:rPr>
      </w:pPr>
      <w:r>
        <w:rPr>
          <w:noProof/>
        </w:rPr>
        <w:t xml:space="preserve">At the end of 2017, the Philippines maintain </w:t>
      </w:r>
      <w:r>
        <w:rPr>
          <w:b/>
          <w:noProof/>
        </w:rPr>
        <w:t>3 SFG measures</w:t>
      </w:r>
      <w:r>
        <w:rPr>
          <w:noProof/>
        </w:rPr>
        <w:t xml:space="preserve"> in force of which only one entails some EU economic interest: </w:t>
      </w:r>
      <w:r>
        <w:rPr>
          <w:b/>
          <w:noProof/>
        </w:rPr>
        <w:t>newsprint</w:t>
      </w:r>
      <w:r>
        <w:rPr>
          <w:noProof/>
        </w:rPr>
        <w:t>. SFG measures on newsprint, which were drastically reduced after the successful EU intervention in 2015, are due to expire in April 2018.</w:t>
      </w:r>
    </w:p>
    <w:p>
      <w:pPr>
        <w:pStyle w:val="Heading1"/>
        <w:rPr>
          <w:noProof/>
        </w:rPr>
      </w:pPr>
      <w:r>
        <w:rPr>
          <w:noProof/>
        </w:rPr>
        <w:t xml:space="preserve">SOUTH-KOREA </w:t>
      </w:r>
    </w:p>
    <w:p>
      <w:pPr>
        <w:rPr>
          <w:noProof/>
        </w:rPr>
      </w:pPr>
      <w:r>
        <w:rPr>
          <w:noProof/>
        </w:rPr>
        <w:t xml:space="preserve">Korea is not a frequent user of TDIs. Korea maintains </w:t>
      </w:r>
      <w:r>
        <w:rPr>
          <w:b/>
          <w:noProof/>
        </w:rPr>
        <w:t>2 AD measures</w:t>
      </w:r>
      <w:r>
        <w:rPr>
          <w:noProof/>
        </w:rPr>
        <w:t xml:space="preserve">, namely on </w:t>
      </w:r>
      <w:r>
        <w:rPr>
          <w:b/>
          <w:noProof/>
        </w:rPr>
        <w:t>butyl glycol ether</w:t>
      </w:r>
      <w:r>
        <w:rPr>
          <w:noProof/>
        </w:rPr>
        <w:t xml:space="preserve"> (against France only) and on </w:t>
      </w:r>
      <w:r>
        <w:rPr>
          <w:b/>
          <w:noProof/>
        </w:rPr>
        <w:t>stainless steel</w:t>
      </w:r>
      <w:r>
        <w:rPr>
          <w:noProof/>
        </w:rPr>
        <w:t xml:space="preserve"> (against Spain only). In July 2017, Korea initiated an </w:t>
      </w:r>
      <w:r>
        <w:rPr>
          <w:b/>
          <w:noProof/>
        </w:rPr>
        <w:t>AD investigation</w:t>
      </w:r>
      <w:r>
        <w:rPr>
          <w:noProof/>
        </w:rPr>
        <w:t xml:space="preserve"> on </w:t>
      </w:r>
      <w:r>
        <w:rPr>
          <w:b/>
          <w:noProof/>
        </w:rPr>
        <w:t>coated paper</w:t>
      </w:r>
      <w:r>
        <w:rPr>
          <w:noProof/>
        </w:rPr>
        <w:t xml:space="preserve"> against Finland only. There is a strong likelihood that the latter case was initiated in retaliation against the EU thermal paper case targeting Korean exports in 2016, as the Korean exporter subject to EU measures is the complainant in the Korean case. In all 3 AD cases, the EU economic interest is limited.</w:t>
      </w:r>
    </w:p>
    <w:p>
      <w:pPr>
        <w:pStyle w:val="Heading1"/>
        <w:rPr>
          <w:noProof/>
        </w:rPr>
      </w:pPr>
      <w:r>
        <w:rPr>
          <w:noProof/>
        </w:rPr>
        <w:t>EURASIAN ECONOMIC UNION (Belarus, Kazakhstan, Russia, Armenia and Kyrgyz Republic)</w:t>
      </w:r>
      <w:r>
        <w:rPr>
          <w:noProof/>
          <w:vertAlign w:val="superscript"/>
        </w:rPr>
        <w:footnoteReference w:id="2"/>
      </w:r>
      <w:r>
        <w:rPr>
          <w:noProof/>
        </w:rPr>
        <w:t xml:space="preserve"> </w:t>
      </w:r>
    </w:p>
    <w:p>
      <w:pPr>
        <w:pStyle w:val="Heading2"/>
        <w:rPr>
          <w:noProof/>
        </w:rPr>
      </w:pPr>
      <w:r>
        <w:rPr>
          <w:noProof/>
        </w:rPr>
        <w:t xml:space="preserve">Overall trends </w:t>
      </w:r>
    </w:p>
    <w:p>
      <w:pPr>
        <w:autoSpaceDE w:val="0"/>
        <w:autoSpaceDN w:val="0"/>
        <w:adjustRightInd w:val="0"/>
        <w:rPr>
          <w:noProof/>
          <w:szCs w:val="24"/>
          <w:lang w:eastAsia="en-US"/>
        </w:rPr>
      </w:pPr>
      <w:r>
        <w:rPr>
          <w:noProof/>
          <w:szCs w:val="24"/>
          <w:lang w:eastAsia="en-US"/>
        </w:rPr>
        <w:t xml:space="preserve">The Eurasian Economic Union (EAEU) is an infrequent user of TDIs. In 2017, the EAEU started 1 new </w:t>
      </w:r>
      <w:r>
        <w:rPr>
          <w:b/>
          <w:noProof/>
          <w:szCs w:val="24"/>
          <w:lang w:eastAsia="en-US"/>
        </w:rPr>
        <w:t>AD</w:t>
      </w:r>
      <w:r>
        <w:rPr>
          <w:noProof/>
          <w:szCs w:val="24"/>
          <w:lang w:eastAsia="en-US"/>
        </w:rPr>
        <w:t xml:space="preserve"> investigation (see below). As concerns existing measures, the EAEU has only 1 </w:t>
      </w:r>
      <w:r>
        <w:rPr>
          <w:b/>
          <w:noProof/>
          <w:szCs w:val="24"/>
          <w:lang w:eastAsia="en-US"/>
        </w:rPr>
        <w:t>AD</w:t>
      </w:r>
      <w:r>
        <w:rPr>
          <w:noProof/>
          <w:szCs w:val="24"/>
          <w:lang w:eastAsia="en-US"/>
        </w:rPr>
        <w:t xml:space="preserve"> measure in force affecting EU interests.</w:t>
      </w:r>
    </w:p>
    <w:p>
      <w:pPr>
        <w:pStyle w:val="Heading2"/>
        <w:rPr>
          <w:noProof/>
        </w:rPr>
      </w:pPr>
      <w:r>
        <w:rPr>
          <w:noProof/>
        </w:rPr>
        <w:t xml:space="preserve">Main cases </w:t>
      </w:r>
    </w:p>
    <w:p>
      <w:pPr>
        <w:rPr>
          <w:noProof/>
          <w:szCs w:val="24"/>
          <w:lang w:eastAsia="en-US"/>
        </w:rPr>
      </w:pPr>
      <w:r>
        <w:rPr>
          <w:noProof/>
          <w:szCs w:val="24"/>
          <w:lang w:eastAsia="en-US"/>
        </w:rPr>
        <w:t xml:space="preserve">On 16 January 2017, the EAEU started a new </w:t>
      </w:r>
      <w:r>
        <w:rPr>
          <w:b/>
          <w:noProof/>
          <w:szCs w:val="24"/>
          <w:lang w:eastAsia="en-US"/>
        </w:rPr>
        <w:t>AD</w:t>
      </w:r>
      <w:r>
        <w:rPr>
          <w:noProof/>
          <w:szCs w:val="24"/>
          <w:lang w:eastAsia="en-US"/>
        </w:rPr>
        <w:t xml:space="preserve"> investigation against imports of </w:t>
      </w:r>
      <w:r>
        <w:rPr>
          <w:b/>
          <w:noProof/>
          <w:szCs w:val="24"/>
          <w:lang w:eastAsia="en-US"/>
        </w:rPr>
        <w:t>herbicides</w:t>
      </w:r>
      <w:r>
        <w:rPr>
          <w:noProof/>
          <w:szCs w:val="24"/>
          <w:lang w:eastAsia="en-US"/>
        </w:rPr>
        <w:t xml:space="preserve">. The EU intervened very actively in the case, given the important EU economic interest (122 million EUR) pointing notably to factual mistakes and legal flaws of the preliminary findings.. In particular, the Commission raised strong doubts regarding the scope of the investigation (Chinese imports are not covered although they slightly exceed EU imports, the product definition, the non-existence of injury to the EAEU producers and the existence of other causal factors.  The investigation is still ongoing and a decision is expected in the course of 2018. </w:t>
      </w:r>
    </w:p>
    <w:p>
      <w:pPr>
        <w:pStyle w:val="Heading1"/>
        <w:rPr>
          <w:rFonts w:asciiTheme="minorHAnsi" w:hAnsiTheme="minorHAnsi" w:cs="Arial"/>
          <w:noProof/>
          <w:sz w:val="20"/>
        </w:rPr>
      </w:pPr>
      <w:r>
        <w:rPr>
          <w:noProof/>
        </w:rPr>
        <w:t>UKRAINE</w:t>
      </w:r>
    </w:p>
    <w:p>
      <w:pPr>
        <w:autoSpaceDE w:val="0"/>
        <w:autoSpaceDN w:val="0"/>
        <w:adjustRightInd w:val="0"/>
        <w:rPr>
          <w:noProof/>
          <w:sz w:val="23"/>
          <w:szCs w:val="23"/>
          <w:lang w:eastAsia="en-US"/>
        </w:rPr>
      </w:pPr>
      <w:r>
        <w:rPr>
          <w:noProof/>
          <w:sz w:val="23"/>
          <w:szCs w:val="23"/>
          <w:lang w:eastAsia="en-US"/>
        </w:rPr>
        <w:t xml:space="preserve">Ukraine continued to be an infrequent user of the safeguard instrument in 2017. In August 2017, Ukraine initiated </w:t>
      </w:r>
      <w:r>
        <w:rPr>
          <w:b/>
          <w:noProof/>
          <w:sz w:val="23"/>
          <w:szCs w:val="23"/>
          <w:lang w:eastAsia="en-US"/>
        </w:rPr>
        <w:t>1 new SFG investigation.</w:t>
      </w:r>
      <w:r>
        <w:rPr>
          <w:noProof/>
          <w:sz w:val="23"/>
          <w:szCs w:val="23"/>
          <w:lang w:eastAsia="en-US"/>
        </w:rPr>
        <w:t xml:space="preserve"> The Commission did not actively intervene given the modest EU economic interest.</w:t>
      </w:r>
    </w:p>
    <w:p>
      <w:pPr>
        <w:rPr>
          <w:noProof/>
          <w:sz w:val="23"/>
          <w:szCs w:val="23"/>
          <w:lang w:eastAsia="en-US"/>
        </w:rPr>
      </w:pPr>
      <w:r>
        <w:rPr>
          <w:noProof/>
          <w:sz w:val="23"/>
          <w:szCs w:val="23"/>
          <w:lang w:eastAsia="en-US"/>
        </w:rPr>
        <w:t xml:space="preserve">In the course of 2017, </w:t>
      </w:r>
      <w:r>
        <w:rPr>
          <w:bCs/>
          <w:noProof/>
          <w:sz w:val="23"/>
          <w:szCs w:val="23"/>
          <w:lang w:eastAsia="en-US"/>
        </w:rPr>
        <w:t>the</w:t>
      </w:r>
      <w:r>
        <w:rPr>
          <w:b/>
          <w:bCs/>
          <w:noProof/>
          <w:sz w:val="23"/>
          <w:szCs w:val="23"/>
          <w:lang w:eastAsia="en-US"/>
        </w:rPr>
        <w:t xml:space="preserve"> AD</w:t>
      </w:r>
      <w:r>
        <w:rPr>
          <w:bCs/>
          <w:noProof/>
          <w:sz w:val="23"/>
          <w:szCs w:val="23"/>
          <w:lang w:eastAsia="en-US"/>
        </w:rPr>
        <w:t xml:space="preserve"> measure</w:t>
      </w:r>
      <w:r>
        <w:rPr>
          <w:b/>
          <w:bCs/>
          <w:noProof/>
          <w:sz w:val="23"/>
          <w:szCs w:val="23"/>
          <w:lang w:eastAsia="en-US"/>
        </w:rPr>
        <w:t xml:space="preserve"> </w:t>
      </w:r>
      <w:r>
        <w:rPr>
          <w:noProof/>
          <w:sz w:val="23"/>
          <w:szCs w:val="23"/>
          <w:lang w:eastAsia="en-US"/>
        </w:rPr>
        <w:t xml:space="preserve">on </w:t>
      </w:r>
      <w:r>
        <w:rPr>
          <w:b/>
          <w:noProof/>
          <w:sz w:val="23"/>
          <w:szCs w:val="23"/>
          <w:lang w:eastAsia="en-US"/>
        </w:rPr>
        <w:t>float glass</w:t>
      </w:r>
      <w:r>
        <w:rPr>
          <w:noProof/>
          <w:sz w:val="23"/>
          <w:szCs w:val="23"/>
          <w:lang w:eastAsia="en-US"/>
        </w:rPr>
        <w:t xml:space="preserve"> lapsed, and Ukraine terminated the expiry review of the existing SFG measures on imports of </w:t>
      </w:r>
      <w:r>
        <w:rPr>
          <w:b/>
          <w:bCs/>
          <w:noProof/>
          <w:sz w:val="23"/>
          <w:szCs w:val="23"/>
          <w:lang w:eastAsia="en-US"/>
        </w:rPr>
        <w:t>porcelain tableware and kitchenware</w:t>
      </w:r>
      <w:r>
        <w:rPr>
          <w:bCs/>
          <w:noProof/>
          <w:sz w:val="23"/>
          <w:szCs w:val="23"/>
          <w:lang w:eastAsia="en-US"/>
        </w:rPr>
        <w:t xml:space="preserve"> without extending the original measures</w:t>
      </w:r>
      <w:r>
        <w:rPr>
          <w:noProof/>
          <w:sz w:val="23"/>
          <w:szCs w:val="23"/>
          <w:lang w:eastAsia="en-US"/>
        </w:rPr>
        <w:t xml:space="preserve">. In the latter case, the EU economic interest was around 6 million EUR and the Commission actively intervened with the investigating authorities, submitting comments and attending the hearing.  </w:t>
      </w:r>
    </w:p>
    <w:p>
      <w:pPr>
        <w:autoSpaceDE w:val="0"/>
        <w:autoSpaceDN w:val="0"/>
        <w:adjustRightInd w:val="0"/>
        <w:rPr>
          <w:noProof/>
          <w:sz w:val="23"/>
          <w:szCs w:val="23"/>
          <w:lang w:eastAsia="en-US"/>
        </w:rPr>
      </w:pPr>
      <w:r>
        <w:rPr>
          <w:noProof/>
          <w:sz w:val="23"/>
          <w:szCs w:val="23"/>
          <w:lang w:eastAsia="en-US"/>
        </w:rPr>
        <w:t>Thus, at the end of 2017, there was only 1</w:t>
      </w:r>
      <w:r>
        <w:rPr>
          <w:bCs/>
          <w:noProof/>
          <w:sz w:val="23"/>
          <w:szCs w:val="23"/>
          <w:lang w:eastAsia="en-US"/>
        </w:rPr>
        <w:t xml:space="preserve"> Ukrainian measure in force left</w:t>
      </w:r>
      <w:r>
        <w:rPr>
          <w:noProof/>
          <w:sz w:val="23"/>
          <w:szCs w:val="23"/>
          <w:lang w:eastAsia="en-US"/>
        </w:rPr>
        <w:t xml:space="preserve">, namely the </w:t>
      </w:r>
      <w:r>
        <w:rPr>
          <w:bCs/>
          <w:noProof/>
          <w:sz w:val="23"/>
          <w:szCs w:val="23"/>
          <w:lang w:eastAsia="en-US"/>
        </w:rPr>
        <w:t>SFG measure</w:t>
      </w:r>
      <w:r>
        <w:rPr>
          <w:b/>
          <w:bCs/>
          <w:noProof/>
          <w:sz w:val="23"/>
          <w:szCs w:val="23"/>
          <w:lang w:eastAsia="en-US"/>
        </w:rPr>
        <w:t xml:space="preserve"> </w:t>
      </w:r>
      <w:r>
        <w:rPr>
          <w:noProof/>
          <w:sz w:val="23"/>
          <w:szCs w:val="23"/>
          <w:lang w:eastAsia="en-US"/>
        </w:rPr>
        <w:t xml:space="preserve">on </w:t>
      </w:r>
      <w:r>
        <w:rPr>
          <w:b/>
          <w:noProof/>
          <w:sz w:val="23"/>
          <w:szCs w:val="23"/>
          <w:lang w:eastAsia="en-US"/>
        </w:rPr>
        <w:t>flexible porous plates, blocks and sheets of polyurethane foam</w:t>
      </w:r>
      <w:r>
        <w:rPr>
          <w:noProof/>
          <w:sz w:val="23"/>
          <w:szCs w:val="23"/>
          <w:lang w:eastAsia="en-US"/>
        </w:rPr>
        <w:t xml:space="preserve">. </w:t>
      </w:r>
    </w:p>
    <w:p>
      <w:pPr>
        <w:pStyle w:val="Heading1"/>
        <w:rPr>
          <w:noProof/>
        </w:rPr>
      </w:pPr>
      <w:r>
        <w:rPr>
          <w:noProof/>
        </w:rPr>
        <w:t>NEW ZEALAND</w:t>
      </w:r>
    </w:p>
    <w:p>
      <w:pPr>
        <w:rPr>
          <w:noProof/>
          <w:color w:val="FF0000"/>
        </w:rPr>
      </w:pPr>
      <w:r>
        <w:rPr>
          <w:noProof/>
        </w:rPr>
        <w:t xml:space="preserve">In March 2017, New Zealand </w:t>
      </w:r>
      <w:r>
        <w:rPr>
          <w:b/>
          <w:bCs/>
          <w:noProof/>
        </w:rPr>
        <w:t xml:space="preserve">terminated the AD measures </w:t>
      </w:r>
      <w:r>
        <w:rPr>
          <w:noProof/>
        </w:rPr>
        <w:t xml:space="preserve">on imports of </w:t>
      </w:r>
      <w:r>
        <w:rPr>
          <w:b/>
          <w:bCs/>
          <w:noProof/>
        </w:rPr>
        <w:t xml:space="preserve">preserved peaches </w:t>
      </w:r>
      <w:r>
        <w:rPr>
          <w:noProof/>
        </w:rPr>
        <w:t>from Spain further to an expiry review initiated in 2016 (EU economic interest is limited). F</w:t>
      </w:r>
      <w:r>
        <w:rPr>
          <w:noProof/>
          <w:szCs w:val="24"/>
          <w:lang w:val="en-US"/>
        </w:rPr>
        <w:t xml:space="preserve">ollowing interventions from the Commission, </w:t>
      </w:r>
      <w:r>
        <w:rPr>
          <w:noProof/>
        </w:rPr>
        <w:t>New Zealand concluded that injury to the domestic industry was unlikely to continue or recur should AD measures be allowed to lapse.</w:t>
      </w:r>
      <w:r>
        <w:rPr>
          <w:noProof/>
          <w:highlight w:val="yellow"/>
        </w:rPr>
        <w:t xml:space="preserve"> </w:t>
      </w:r>
    </w:p>
    <w:p>
      <w:pPr>
        <w:autoSpaceDE w:val="0"/>
        <w:autoSpaceDN w:val="0"/>
        <w:adjustRightInd w:val="0"/>
        <w:spacing w:after="0"/>
        <w:rPr>
          <w:noProof/>
        </w:rPr>
      </w:pPr>
      <w:r>
        <w:rPr>
          <w:b/>
          <w:bCs/>
          <w:noProof/>
        </w:rPr>
        <w:t xml:space="preserve">Canned peaches </w:t>
      </w:r>
      <w:r>
        <w:rPr>
          <w:noProof/>
        </w:rPr>
        <w:t>from Greece are still subject to AD measures until 2020.</w:t>
      </w:r>
    </w:p>
    <w:p>
      <w:pPr>
        <w:pStyle w:val="Heading1"/>
        <w:rPr>
          <w:noProof/>
        </w:rPr>
      </w:pPr>
      <w:r>
        <w:rPr>
          <w:noProof/>
        </w:rPr>
        <w:t>LEBANON</w:t>
      </w:r>
    </w:p>
    <w:p>
      <w:pPr>
        <w:rPr>
          <w:noProof/>
        </w:rPr>
      </w:pPr>
      <w:r>
        <w:rPr>
          <w:noProof/>
        </w:rPr>
        <w:t xml:space="preserve">Lebanon is a sporadic user of TDIs. It has only </w:t>
      </w:r>
      <w:r>
        <w:rPr>
          <w:b/>
          <w:noProof/>
        </w:rPr>
        <w:t>1 SFG</w:t>
      </w:r>
      <w:r>
        <w:rPr>
          <w:noProof/>
        </w:rPr>
        <w:t xml:space="preserve"> measure on </w:t>
      </w:r>
      <w:r>
        <w:rPr>
          <w:b/>
          <w:noProof/>
        </w:rPr>
        <w:t>sunflower and soya oil</w:t>
      </w:r>
      <w:r>
        <w:rPr>
          <w:noProof/>
        </w:rPr>
        <w:t xml:space="preserve"> in place since May 2016. The measure is applied for 4 years. The EU economic interest is less than 10 million EUR, with exports mainly from France and Hungary.</w:t>
      </w:r>
    </w:p>
    <w:p>
      <w:pPr>
        <w:pStyle w:val="Heading1"/>
        <w:rPr>
          <w:noProof/>
        </w:rPr>
      </w:pPr>
      <w:r>
        <w:rPr>
          <w:noProof/>
        </w:rPr>
        <w:t>JORDAN</w:t>
      </w:r>
    </w:p>
    <w:p>
      <w:pPr>
        <w:rPr>
          <w:noProof/>
        </w:rPr>
      </w:pPr>
      <w:r>
        <w:rPr>
          <w:noProof/>
        </w:rPr>
        <w:t xml:space="preserve">Jordan uses TDI instruments only occasionally. In May 2017, definitive </w:t>
      </w:r>
      <w:r>
        <w:rPr>
          <w:b/>
          <w:noProof/>
        </w:rPr>
        <w:t>SFG</w:t>
      </w:r>
      <w:r>
        <w:rPr>
          <w:noProof/>
        </w:rPr>
        <w:t xml:space="preserve"> measures were imposed for 3 years on imports of </w:t>
      </w:r>
      <w:r>
        <w:rPr>
          <w:b/>
          <w:noProof/>
        </w:rPr>
        <w:t>aluminium bars, rods and profiles</w:t>
      </w:r>
      <w:r>
        <w:rPr>
          <w:noProof/>
        </w:rPr>
        <w:t>. The EU economic interest is limited.</w:t>
      </w:r>
    </w:p>
    <w:p>
      <w:pPr>
        <w:pStyle w:val="Heading1"/>
        <w:rPr>
          <w:noProof/>
        </w:rPr>
      </w:pPr>
      <w:r>
        <w:rPr>
          <w:noProof/>
        </w:rPr>
        <w:t>GULF COOPERATION COUNCIL ('GCC')</w:t>
      </w:r>
    </w:p>
    <w:p>
      <w:pPr>
        <w:pStyle w:val="Heading2"/>
        <w:rPr>
          <w:noProof/>
        </w:rPr>
      </w:pPr>
      <w:r>
        <w:rPr>
          <w:noProof/>
        </w:rPr>
        <w:t>Overall trends</w:t>
      </w:r>
    </w:p>
    <w:p>
      <w:pPr>
        <w:rPr>
          <w:noProof/>
        </w:rPr>
      </w:pPr>
      <w:r>
        <w:rPr>
          <w:noProof/>
        </w:rPr>
        <w:t xml:space="preserve">A slight rise of TDI activity is observed in the GCC, which, otherwise, is not a major user of TDIs. The GCC initiated </w:t>
      </w:r>
      <w:r>
        <w:rPr>
          <w:b/>
          <w:noProof/>
        </w:rPr>
        <w:t>2 SFG</w:t>
      </w:r>
      <w:r>
        <w:rPr>
          <w:noProof/>
        </w:rPr>
        <w:t xml:space="preserve"> investigations in 2016, 1 </w:t>
      </w:r>
      <w:r>
        <w:rPr>
          <w:b/>
          <w:noProof/>
        </w:rPr>
        <w:t>SFG</w:t>
      </w:r>
      <w:r>
        <w:rPr>
          <w:noProof/>
        </w:rPr>
        <w:t xml:space="preserve"> investigation in 2017 (see below) and </w:t>
      </w:r>
      <w:r>
        <w:rPr>
          <w:b/>
          <w:noProof/>
        </w:rPr>
        <w:t>1 AD</w:t>
      </w:r>
      <w:r>
        <w:rPr>
          <w:noProof/>
        </w:rPr>
        <w:t xml:space="preserve"> investigation in 2017. </w:t>
      </w:r>
    </w:p>
    <w:p>
      <w:pPr>
        <w:pStyle w:val="Heading2"/>
        <w:rPr>
          <w:noProof/>
        </w:rPr>
      </w:pPr>
      <w:r>
        <w:rPr>
          <w:noProof/>
        </w:rPr>
        <w:t>Main cases</w:t>
      </w:r>
    </w:p>
    <w:p>
      <w:pPr>
        <w:rPr>
          <w:noProof/>
        </w:rPr>
      </w:pPr>
      <w:r>
        <w:rPr>
          <w:noProof/>
        </w:rPr>
        <w:t xml:space="preserve">In the SFG investigation concerning imports of </w:t>
      </w:r>
      <w:r>
        <w:rPr>
          <w:b/>
          <w:noProof/>
        </w:rPr>
        <w:t>flat rolled products of iron or non-alloy steel</w:t>
      </w:r>
      <w:r>
        <w:rPr>
          <w:noProof/>
        </w:rPr>
        <w:t xml:space="preserve"> (EU economic interest around 40 million EUR), the imposition of definitive SFG duties for 3 years was proposed in June 2017.The entry into force is pending the approval by the Ministerial Committee. The Commission intervened on systemic issues, in particular the doubtful injury and causal link analysis. </w:t>
      </w:r>
    </w:p>
    <w:p>
      <w:pPr>
        <w:rPr>
          <w:noProof/>
        </w:rPr>
      </w:pPr>
      <w:r>
        <w:rPr>
          <w:noProof/>
        </w:rPr>
        <w:t xml:space="preserve">The SFG investigation concerning imports of </w:t>
      </w:r>
      <w:r>
        <w:rPr>
          <w:b/>
          <w:noProof/>
        </w:rPr>
        <w:t>ferro-silico manganese</w:t>
      </w:r>
      <w:r>
        <w:rPr>
          <w:noProof/>
        </w:rPr>
        <w:t xml:space="preserve"> (EU economic interest around 1 million EUR), was terminated in May 2017. The investigating authority concluded that the serious injury suffered by the GCC industry is due to other factors than the increase in imports. The Commission intervened to underline systemic issues, in particular the lack of a meaningful non-confidential version of the complaint and the unconvincing injury and causal link analysis, including the absence of any price analysis.</w:t>
      </w:r>
    </w:p>
    <w:p>
      <w:pPr>
        <w:rPr>
          <w:noProof/>
        </w:rPr>
      </w:pPr>
      <w:r>
        <w:rPr>
          <w:noProof/>
        </w:rPr>
        <w:t xml:space="preserve">In July 2017, the GCC initiated an AD investigation concerning imports of </w:t>
      </w:r>
      <w:r>
        <w:rPr>
          <w:b/>
          <w:noProof/>
        </w:rPr>
        <w:t>uncoated paper and paperboard (Kraft liner or Fluting or Test liner), in rolls or sheets (containerboard)</w:t>
      </w:r>
      <w:r>
        <w:rPr>
          <w:noProof/>
        </w:rPr>
        <w:t xml:space="preserve">, originating in Spain, Italy and Poland (EU economic interest of more than 100 million EUR). The Commission is closely following the case, made a submission and participated in a hearing in February 2018. </w:t>
      </w:r>
    </w:p>
    <w:p>
      <w:pPr>
        <w:rPr>
          <w:noProof/>
        </w:rPr>
      </w:pPr>
      <w:r>
        <w:rPr>
          <w:noProof/>
        </w:rPr>
        <w:t xml:space="preserve">In September 2017, the GCC initiated a safeguard investigation on imports of </w:t>
      </w:r>
      <w:r>
        <w:rPr>
          <w:b/>
          <w:noProof/>
        </w:rPr>
        <w:t>prepared additives for cements, mortars or concretes (chemical plasticizers)</w:t>
      </w:r>
      <w:r>
        <w:rPr>
          <w:noProof/>
        </w:rPr>
        <w:t xml:space="preserve">(EU economic interest around 10 million EUR). The Commission registered as interested party and will continue to monitor the case. </w:t>
      </w:r>
    </w:p>
    <w:p>
      <w:pPr>
        <w:pStyle w:val="Heading1"/>
        <w:rPr>
          <w:noProof/>
        </w:rPr>
      </w:pPr>
      <w:r>
        <w:rPr>
          <w:noProof/>
        </w:rPr>
        <w:t>ISRAEL</w:t>
      </w:r>
    </w:p>
    <w:p>
      <w:pPr>
        <w:pStyle w:val="Heading2"/>
        <w:rPr>
          <w:noProof/>
        </w:rPr>
      </w:pPr>
      <w:r>
        <w:rPr>
          <w:noProof/>
        </w:rPr>
        <w:t xml:space="preserve">Overall trends </w:t>
      </w:r>
    </w:p>
    <w:p>
      <w:pPr>
        <w:rPr>
          <w:noProof/>
        </w:rPr>
      </w:pPr>
      <w:r>
        <w:rPr>
          <w:noProof/>
        </w:rPr>
        <w:t xml:space="preserve">Israel is not a regular user of TDIs. In 2017 it </w:t>
      </w:r>
      <w:r>
        <w:rPr>
          <w:bCs/>
          <w:noProof/>
        </w:rPr>
        <w:t xml:space="preserve">initiated </w:t>
      </w:r>
      <w:r>
        <w:rPr>
          <w:b/>
          <w:bCs/>
          <w:noProof/>
        </w:rPr>
        <w:t xml:space="preserve">1 AD </w:t>
      </w:r>
      <w:r>
        <w:rPr>
          <w:bCs/>
          <w:noProof/>
        </w:rPr>
        <w:t>investigation</w:t>
      </w:r>
      <w:r>
        <w:rPr>
          <w:noProof/>
        </w:rPr>
        <w:t xml:space="preserve"> and </w:t>
      </w:r>
      <w:r>
        <w:rPr>
          <w:bCs/>
          <w:noProof/>
        </w:rPr>
        <w:t xml:space="preserve">terminated </w:t>
      </w:r>
      <w:r>
        <w:rPr>
          <w:b/>
          <w:bCs/>
          <w:noProof/>
        </w:rPr>
        <w:t xml:space="preserve">1 AD </w:t>
      </w:r>
      <w:r>
        <w:rPr>
          <w:bCs/>
          <w:noProof/>
        </w:rPr>
        <w:t xml:space="preserve">investigation without measures </w:t>
      </w:r>
      <w:r>
        <w:rPr>
          <w:iCs/>
          <w:noProof/>
        </w:rPr>
        <w:t>(see below)</w:t>
      </w:r>
      <w:r>
        <w:rPr>
          <w:noProof/>
        </w:rPr>
        <w:t xml:space="preserve">. </w:t>
      </w:r>
    </w:p>
    <w:p>
      <w:pPr>
        <w:pStyle w:val="Heading2"/>
        <w:rPr>
          <w:noProof/>
        </w:rPr>
      </w:pPr>
      <w:r>
        <w:rPr>
          <w:noProof/>
        </w:rPr>
        <w:t xml:space="preserve">Main cases </w:t>
      </w:r>
    </w:p>
    <w:p>
      <w:pPr>
        <w:rPr>
          <w:noProof/>
          <w:sz w:val="23"/>
          <w:szCs w:val="23"/>
        </w:rPr>
      </w:pPr>
      <w:r>
        <w:rPr>
          <w:noProof/>
          <w:sz w:val="23"/>
          <w:szCs w:val="23"/>
        </w:rPr>
        <w:t xml:space="preserve">The AD investigation on imports of </w:t>
      </w:r>
      <w:r>
        <w:rPr>
          <w:b/>
          <w:bCs/>
          <w:noProof/>
          <w:sz w:val="23"/>
          <w:szCs w:val="23"/>
        </w:rPr>
        <w:t xml:space="preserve">Cocoa spread </w:t>
      </w:r>
      <w:r>
        <w:rPr>
          <w:noProof/>
          <w:sz w:val="23"/>
          <w:szCs w:val="23"/>
        </w:rPr>
        <w:t xml:space="preserve">was initiated in September 2016 (EU economic interest around € 50 million). The Commission, in close cooperation with the affected companies, has intervened strongly since the beginning (written submission and public hearing). The main issues outlined include the unreasoned confidentiality treatment accorded to some data and a doubtful analysis of injury and causality. As a result, in January 2018 the investigation was </w:t>
      </w:r>
      <w:r>
        <w:rPr>
          <w:b/>
          <w:bCs/>
          <w:noProof/>
          <w:sz w:val="23"/>
          <w:szCs w:val="23"/>
        </w:rPr>
        <w:t>terminated without measures</w:t>
      </w:r>
      <w:r>
        <w:rPr>
          <w:noProof/>
          <w:sz w:val="23"/>
          <w:szCs w:val="23"/>
        </w:rPr>
        <w:t>.</w:t>
      </w:r>
    </w:p>
    <w:p>
      <w:pPr>
        <w:pStyle w:val="Heading1"/>
        <w:rPr>
          <w:noProof/>
        </w:rPr>
      </w:pPr>
      <w:r>
        <w:rPr>
          <w:noProof/>
        </w:rPr>
        <w:t>EGYPT</w:t>
      </w:r>
    </w:p>
    <w:p>
      <w:pPr>
        <w:rPr>
          <w:noProof/>
          <w:sz w:val="23"/>
          <w:szCs w:val="23"/>
        </w:rPr>
      </w:pPr>
      <w:r>
        <w:rPr>
          <w:noProof/>
          <w:sz w:val="23"/>
          <w:szCs w:val="23"/>
        </w:rPr>
        <w:t xml:space="preserve">Egypt is not a regular user of TDI instruments. At the end of 2017, there were </w:t>
      </w:r>
      <w:r>
        <w:rPr>
          <w:b/>
          <w:noProof/>
          <w:sz w:val="23"/>
          <w:szCs w:val="23"/>
        </w:rPr>
        <w:t>no more measures</w:t>
      </w:r>
      <w:r>
        <w:rPr>
          <w:noProof/>
          <w:sz w:val="23"/>
          <w:szCs w:val="23"/>
        </w:rPr>
        <w:t xml:space="preserve"> in force affecting the EU. The </w:t>
      </w:r>
      <w:r>
        <w:rPr>
          <w:b/>
          <w:noProof/>
          <w:sz w:val="23"/>
          <w:szCs w:val="23"/>
        </w:rPr>
        <w:t>SFG</w:t>
      </w:r>
      <w:r>
        <w:rPr>
          <w:noProof/>
          <w:sz w:val="23"/>
          <w:szCs w:val="23"/>
        </w:rPr>
        <w:t xml:space="preserve"> duties on </w:t>
      </w:r>
      <w:r>
        <w:rPr>
          <w:b/>
          <w:noProof/>
          <w:sz w:val="23"/>
          <w:szCs w:val="23"/>
        </w:rPr>
        <w:t>steel rebar</w:t>
      </w:r>
      <w:r>
        <w:rPr>
          <w:noProof/>
          <w:sz w:val="23"/>
          <w:szCs w:val="23"/>
        </w:rPr>
        <w:t xml:space="preserve"> were terminated in June 2017, upon a request from the domestic industry. EU economic interest was less than 10 million EUR. In 2017, the </w:t>
      </w:r>
      <w:r>
        <w:rPr>
          <w:b/>
          <w:noProof/>
          <w:sz w:val="23"/>
          <w:szCs w:val="23"/>
        </w:rPr>
        <w:t>AD</w:t>
      </w:r>
      <w:r>
        <w:rPr>
          <w:noProof/>
          <w:sz w:val="23"/>
          <w:szCs w:val="23"/>
        </w:rPr>
        <w:t xml:space="preserve"> investigation on imports of </w:t>
      </w:r>
      <w:r>
        <w:rPr>
          <w:b/>
          <w:noProof/>
          <w:sz w:val="23"/>
          <w:szCs w:val="23"/>
        </w:rPr>
        <w:t>flat rolled steel</w:t>
      </w:r>
      <w:r>
        <w:rPr>
          <w:noProof/>
          <w:sz w:val="23"/>
          <w:szCs w:val="23"/>
        </w:rPr>
        <w:t xml:space="preserve"> from Belgium initiated in August 2016 (EU economic interest is around 30 million EUR) was terminated on public interest grounds without imposing duties. The Commission made a submission at initiation stage in October 2016.</w:t>
      </w:r>
    </w:p>
    <w:p>
      <w:pPr>
        <w:pStyle w:val="Heading1"/>
        <w:rPr>
          <w:noProof/>
        </w:rPr>
      </w:pPr>
      <w:r>
        <w:rPr>
          <w:noProof/>
        </w:rPr>
        <w:t>COLOMBIA</w:t>
      </w:r>
    </w:p>
    <w:p>
      <w:pPr>
        <w:pStyle w:val="Default"/>
        <w:spacing w:after="120"/>
        <w:jc w:val="both"/>
        <w:rPr>
          <w:noProof/>
          <w:color w:val="auto"/>
        </w:rPr>
      </w:pPr>
      <w:r>
        <w:rPr>
          <w:noProof/>
        </w:rPr>
        <w:t xml:space="preserve">Colombia has no TDI measures in place affecting the EU. However, in 2017, Colombia initiated </w:t>
      </w:r>
      <w:r>
        <w:rPr>
          <w:b/>
          <w:noProof/>
        </w:rPr>
        <w:t>1 new AD investigation</w:t>
      </w:r>
      <w:r>
        <w:rPr>
          <w:noProof/>
        </w:rPr>
        <w:t xml:space="preserve"> on imports of </w:t>
      </w:r>
      <w:r>
        <w:rPr>
          <w:b/>
          <w:noProof/>
        </w:rPr>
        <w:t>processed frozen fries</w:t>
      </w:r>
      <w:r>
        <w:rPr>
          <w:noProof/>
        </w:rPr>
        <w:t xml:space="preserve"> from Belgium, the Netherlands and Germany.</w:t>
      </w:r>
      <w:r>
        <w:rPr>
          <w:noProof/>
          <w:color w:val="auto"/>
        </w:rPr>
        <w:t xml:space="preserve"> The economic interest of the case is 23 million EUR. The Commission is following closely this case as this is the third case against EU exports of frozen fries (after Brazil and South Africa) and that other countries may decide to follow suit. The EU industry is interested in the case and the Commission has intervened at technical and political level since the investigation suffers from important flaws. At the end of 2017, no provisional measures had been imposed yet, and a decision is expected in 2018.</w:t>
      </w:r>
    </w:p>
    <w:p>
      <w:pPr>
        <w:rPr>
          <w:noProof/>
        </w:rPr>
      </w:pPr>
    </w:p>
    <w:p>
      <w:pPr>
        <w:rPr>
          <w:noProof/>
        </w:rPr>
      </w:pPr>
    </w:p>
    <w:p>
      <w:pPr>
        <w:jc w:val="center"/>
        <w:rPr>
          <w:noProof/>
        </w:rPr>
      </w:pPr>
    </w:p>
    <w:p>
      <w:pPr>
        <w:jc w:val="center"/>
        <w:rPr>
          <w:noProof/>
        </w:rPr>
      </w:pPr>
    </w:p>
    <w:p>
      <w:pPr>
        <w:jc w:val="center"/>
        <w:rPr>
          <w:noProof/>
        </w:rPr>
      </w:pPr>
    </w:p>
    <w:p>
      <w:pPr>
        <w:jc w:val="center"/>
        <w:rPr>
          <w:noProof/>
        </w:rPr>
      </w:pPr>
    </w:p>
    <w:p>
      <w:pPr>
        <w:jc w:val="center"/>
        <w:rPr>
          <w:b/>
          <w:noProof/>
          <w:lang w:eastAsia="en-US"/>
        </w:rPr>
      </w:pPr>
      <w:r>
        <w:rPr>
          <w:b/>
          <w:noProof/>
          <w:lang w:eastAsia="en-US"/>
        </w:rPr>
        <w:t>Annex II – Measures in force at the end of 2015, 2016 and 2017</w:t>
      </w:r>
    </w:p>
    <w:tbl>
      <w:tblPr>
        <w:tblW w:w="8800" w:type="dxa"/>
        <w:tblInd w:w="93" w:type="dxa"/>
        <w:tblLook w:val="04A0" w:firstRow="1" w:lastRow="0" w:firstColumn="1" w:lastColumn="0" w:noHBand="0" w:noVBand="1"/>
      </w:tblPr>
      <w:tblGrid>
        <w:gridCol w:w="2667"/>
        <w:gridCol w:w="572"/>
        <w:gridCol w:w="572"/>
        <w:gridCol w:w="572"/>
        <w:gridCol w:w="572"/>
        <w:gridCol w:w="572"/>
        <w:gridCol w:w="572"/>
        <w:gridCol w:w="572"/>
        <w:gridCol w:w="572"/>
        <w:gridCol w:w="572"/>
        <w:gridCol w:w="572"/>
        <w:gridCol w:w="572"/>
        <w:gridCol w:w="572"/>
      </w:tblGrid>
      <w:tr>
        <w:trPr>
          <w:trHeight w:val="270"/>
        </w:trPr>
        <w:tc>
          <w:tcPr>
            <w:tcW w:w="8800" w:type="dxa"/>
            <w:gridSpan w:val="13"/>
            <w:tcBorders>
              <w:top w:val="single" w:sz="8" w:space="0" w:color="auto"/>
              <w:left w:val="single" w:sz="8" w:space="0" w:color="auto"/>
              <w:bottom w:val="nil"/>
              <w:right w:val="single" w:sz="8" w:space="0" w:color="000000"/>
            </w:tcBorders>
            <w:shd w:val="clear" w:color="auto" w:fill="auto"/>
            <w:noWrap/>
            <w:vAlign w:val="bottom"/>
            <w:hideMark/>
          </w:tcPr>
          <w:p>
            <w:pPr>
              <w:spacing w:before="0" w:after="0"/>
              <w:jc w:val="center"/>
              <w:rPr>
                <w:rFonts w:ascii="Arial" w:hAnsi="Arial" w:cs="Arial"/>
                <w:b/>
                <w:bCs/>
                <w:noProof/>
                <w:sz w:val="16"/>
                <w:szCs w:val="16"/>
              </w:rPr>
            </w:pPr>
            <w:r>
              <w:rPr>
                <w:rFonts w:ascii="Arial" w:hAnsi="Arial" w:cs="Arial"/>
                <w:b/>
                <w:bCs/>
                <w:noProof/>
                <w:sz w:val="16"/>
                <w:szCs w:val="16"/>
              </w:rPr>
              <w:t>Measures in force at the end of 2015, 2016 and 2017</w:t>
            </w:r>
          </w:p>
        </w:tc>
      </w:tr>
      <w:tr>
        <w:trPr>
          <w:trHeight w:val="270"/>
        </w:trPr>
        <w:tc>
          <w:tcPr>
            <w:tcW w:w="26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country</w:t>
            </w:r>
          </w:p>
        </w:tc>
        <w:tc>
          <w:tcPr>
            <w:tcW w:w="1534" w:type="dxa"/>
            <w:gridSpan w:val="3"/>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AD</w:t>
            </w:r>
          </w:p>
        </w:tc>
        <w:tc>
          <w:tcPr>
            <w:tcW w:w="1533" w:type="dxa"/>
            <w:gridSpan w:val="3"/>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CVD</w:t>
            </w:r>
          </w:p>
        </w:tc>
        <w:tc>
          <w:tcPr>
            <w:tcW w:w="1533" w:type="dxa"/>
            <w:gridSpan w:val="3"/>
            <w:tcBorders>
              <w:top w:val="single" w:sz="8" w:space="0" w:color="auto"/>
              <w:left w:val="nil"/>
              <w:bottom w:val="single" w:sz="8" w:space="0" w:color="auto"/>
              <w:right w:val="single" w:sz="4"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SG</w:t>
            </w:r>
          </w:p>
        </w:tc>
        <w:tc>
          <w:tcPr>
            <w:tcW w:w="1533"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TOTAL</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 </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Argentina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Australia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Belarus</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Brazil</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16</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16</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16</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15</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16</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Canada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Chile</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China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17</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17</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17</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20</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Colombia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Costa Rica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Dominican Republic</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Ecuador</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Egypt</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Eurasian Economic Union</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India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15</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24</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21</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Indonesia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Japan</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Jordan</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Kazakhstan</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Korea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Lebanon</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Malaysia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Mexico</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Morocco</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New Zealand</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Pakistan</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Philippines</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South Africa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Thailand</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Turkey</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12</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Ukraine</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USA</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16</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18</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21</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26</w:t>
            </w:r>
          </w:p>
        </w:tc>
      </w:tr>
      <w:tr>
        <w:trPr>
          <w:trHeight w:val="270"/>
        </w:trPr>
        <w:tc>
          <w:tcPr>
            <w:tcW w:w="2667"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Vietnam</w:t>
            </w:r>
          </w:p>
        </w:tc>
        <w:tc>
          <w:tcPr>
            <w:tcW w:w="51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r>
      <w:tr>
        <w:trPr>
          <w:trHeight w:val="270"/>
        </w:trPr>
        <w:tc>
          <w:tcPr>
            <w:tcW w:w="2667" w:type="dxa"/>
            <w:tcBorders>
              <w:top w:val="nil"/>
              <w:left w:val="single" w:sz="8" w:space="0" w:color="auto"/>
              <w:bottom w:val="nil"/>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Zambia</w:t>
            </w:r>
          </w:p>
        </w:tc>
        <w:tc>
          <w:tcPr>
            <w:tcW w:w="512" w:type="dxa"/>
            <w:tcBorders>
              <w:top w:val="nil"/>
              <w:left w:val="single" w:sz="8" w:space="0" w:color="auto"/>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667" w:type="dxa"/>
            <w:tcBorders>
              <w:top w:val="single" w:sz="8" w:space="0" w:color="auto"/>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TOTAL</w:t>
            </w:r>
          </w:p>
        </w:tc>
        <w:tc>
          <w:tcPr>
            <w:tcW w:w="5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108</w:t>
            </w:r>
          </w:p>
        </w:tc>
        <w:tc>
          <w:tcPr>
            <w:tcW w:w="511" w:type="dxa"/>
            <w:tcBorders>
              <w:top w:val="single" w:sz="8" w:space="0" w:color="auto"/>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116</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125</w:t>
            </w:r>
          </w:p>
        </w:tc>
        <w:tc>
          <w:tcPr>
            <w:tcW w:w="511" w:type="dxa"/>
            <w:tcBorders>
              <w:top w:val="single" w:sz="8" w:space="0" w:color="auto"/>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5</w:t>
            </w:r>
          </w:p>
        </w:tc>
        <w:tc>
          <w:tcPr>
            <w:tcW w:w="511"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5</w:t>
            </w:r>
          </w:p>
        </w:tc>
        <w:tc>
          <w:tcPr>
            <w:tcW w:w="511" w:type="dxa"/>
            <w:tcBorders>
              <w:top w:val="single" w:sz="8" w:space="0" w:color="auto"/>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7</w:t>
            </w:r>
          </w:p>
        </w:tc>
        <w:tc>
          <w:tcPr>
            <w:tcW w:w="511"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38</w:t>
            </w:r>
          </w:p>
        </w:tc>
        <w:tc>
          <w:tcPr>
            <w:tcW w:w="511" w:type="dxa"/>
            <w:tcBorders>
              <w:top w:val="single" w:sz="8" w:space="0" w:color="auto"/>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35</w:t>
            </w:r>
          </w:p>
        </w:tc>
        <w:tc>
          <w:tcPr>
            <w:tcW w:w="511"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30</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150</w:t>
            </w:r>
          </w:p>
        </w:tc>
        <w:tc>
          <w:tcPr>
            <w:tcW w:w="51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156</w:t>
            </w:r>
          </w:p>
        </w:tc>
        <w:tc>
          <w:tcPr>
            <w:tcW w:w="511"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162</w:t>
            </w:r>
          </w:p>
        </w:tc>
      </w:tr>
    </w:tbl>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r>
        <w:rPr>
          <w:b/>
          <w:noProof/>
          <w:lang w:eastAsia="en-US"/>
        </w:rPr>
        <w:t>Annex III – Detail of measures in force at the end of 2017</w:t>
      </w:r>
    </w:p>
    <w:tbl>
      <w:tblPr>
        <w:tblW w:w="9380" w:type="dxa"/>
        <w:tblInd w:w="93" w:type="dxa"/>
        <w:tblLook w:val="04A0" w:firstRow="1" w:lastRow="0" w:firstColumn="1" w:lastColumn="0" w:noHBand="0" w:noVBand="1"/>
      </w:tblPr>
      <w:tblGrid>
        <w:gridCol w:w="1871"/>
        <w:gridCol w:w="2508"/>
        <w:gridCol w:w="1043"/>
        <w:gridCol w:w="999"/>
        <w:gridCol w:w="1025"/>
        <w:gridCol w:w="1934"/>
      </w:tblGrid>
      <w:tr>
        <w:trPr>
          <w:trHeight w:val="450"/>
        </w:trPr>
        <w:tc>
          <w:tcPr>
            <w:tcW w:w="1871"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Country</w:t>
            </w:r>
          </w:p>
        </w:tc>
        <w:tc>
          <w:tcPr>
            <w:tcW w:w="2728"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Product</w:t>
            </w:r>
          </w:p>
        </w:tc>
        <w:tc>
          <w:tcPr>
            <w:tcW w:w="857"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Instrument</w:t>
            </w:r>
          </w:p>
        </w:tc>
        <w:tc>
          <w:tcPr>
            <w:tcW w:w="863"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Type Of Measure</w:t>
            </w:r>
          </w:p>
        </w:tc>
        <w:tc>
          <w:tcPr>
            <w:tcW w:w="963"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Date Of Imposition</w:t>
            </w:r>
          </w:p>
        </w:tc>
        <w:tc>
          <w:tcPr>
            <w:tcW w:w="2098"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Exporting MS</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Ceramic borders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02-07-2014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Coated paper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14-06-2012</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Austria, Finland</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Electrical terminals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02-04-2009</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PVC profiles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03-06-2014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Straight handsaw blades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21-02-2008</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Sweden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Chrome bars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06-09-2016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Romania</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Prepared or preserved tomato products (all other exporters)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16-04-2014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Processed dried currants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14-01-2009</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Processed tomatoes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11-02-2016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Q&amp;T Steel Plate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05-11-2014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Finland, Sweden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reinforcing bar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14-11-2017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 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Reinforcing Bar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19-11-2015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Adipic Acid</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01-04-2015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 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Butyl Acrylate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25-09-2015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Elastomeric rubber pipes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22-06-2015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Ethanolamines and triethanolamines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04-11-2013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Frozen fries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17-01-2017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France, Netherlands</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Galvanized steel wire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30-01-2015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Sweden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Glazed papers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22-10-2008</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Finland</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Indigo Blue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24-03-2008</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Laminated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04-10-2013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Finland</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Lightweight paper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23-04-2012</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Finland, Sweden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Milk powder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23-02-2001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Denmark, Ireland</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Monobutyl ethers of ethylene glycol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22-04-2016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Offset printing plates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05-03-2015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Phenol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16-10-2002</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Plastic Tubes for Blood Collection</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30-04-2015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Seamless steel pipes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07-10-2005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fabricated industrial steel components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25-05-2017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Copper tubes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02-01-2014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Hot-rolled carbon steel plate and high-strength low-alloy steel plate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09-01-2004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Czech Republic, Bulgaria, Romania</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Rebar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03-01-2017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 Portugal</w:t>
            </w:r>
          </w:p>
        </w:tc>
      </w:tr>
      <w:tr>
        <w:trPr>
          <w:trHeight w:val="67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Refined sugar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06-11-1995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Denmark, Germany, Netherlands,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Refined sugar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06-11-1995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European Union of 15</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plate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04-06-2014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Denmark, 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Adipic acid</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02-11-2009</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 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Alloy Seamless Tubes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10-05-2014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 Italy</w:t>
            </w:r>
          </w:p>
        </w:tc>
      </w:tr>
      <w:tr>
        <w:trPr>
          <w:trHeight w:val="67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Caprolactam</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22-09-2011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Czech Republic, Germany, Spain, Netherlands, Poland</w:t>
            </w:r>
          </w:p>
        </w:tc>
      </w:tr>
      <w:tr>
        <w:trPr>
          <w:trHeight w:val="9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iron or steel fasteners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29-06-2010</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Spain, France, Italy, Netherlands, Poland, Sweden, United Kingdom</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Chloroprene Rubber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10-05-2005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 European Union of 15</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Ethylene Glycol Monobutyl Ether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25-01-2013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 Sweden</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Grain oriented flat-rolled steel (GOES)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23-07-2016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Poland, United Kingdom</w:t>
            </w:r>
          </w:p>
        </w:tc>
      </w:tr>
      <w:tr>
        <w:trPr>
          <w:trHeight w:val="67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Optical fiber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22-04-2011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Denmark, Germany, France, Italy, Netherlands</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Perchlorethylene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30-05-2014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Photographic paper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23-03-2012</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Netherlands, United Kingdom</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Polyamide-6 (PA6)</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22-04-2010</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Italy, Netherlands, Poland</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Polyamide-6,6</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12-10-2009</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France, Italy,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Polysilicone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30-04-2014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Polysilicone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30-04-2014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Potato Starch</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17-09-2011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 Netherlands</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Potato Starch</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06-02-2007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 Netherlands</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sugar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22-05-2017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Toluene Diisocyanate (TDI)</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13-03-2013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Spain, France, Hungary, Poland</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Toluidine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13-03-2013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Unbleached sack paper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09-04-2016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Austria, Finland, Sweden, Bulgaria</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Costa Rica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Pounded Rice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19-02-2015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Dominican Republic</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bars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30-07-2014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Eurasian Economic Union</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Light commercial vehicles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16-06-2013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Italy, Poland</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2-Ethyl Hexanol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18-02-2016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Acetone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11-03-2008</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Spain, 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Cefadroxil Monohydrate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10-10-2013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Rubber Chemicals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20-11-2005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Italy</w:t>
            </w:r>
          </w:p>
        </w:tc>
      </w:tr>
      <w:tr>
        <w:trPr>
          <w:trHeight w:val="67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Cold rolled steel 600 - 1250 mm</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24-10-2017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Spain, Italy, Netherlands, Finland</w:t>
            </w:r>
          </w:p>
        </w:tc>
      </w:tr>
      <w:tr>
        <w:trPr>
          <w:trHeight w:val="9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Cold-Rolled Flat Products of Stainless Steel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20-02-2010</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Spain, France, Italy, Netherlands, Finland, Sweden, United Kingdom</w:t>
            </w:r>
          </w:p>
        </w:tc>
      </w:tr>
      <w:tr>
        <w:trPr>
          <w:trHeight w:val="67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Colour coated/pre-painted flat products of alloy or non-alloy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17-10-2017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France, Netherlands, Austria, Portugal</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Flexible Slabstock Polyol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07-04-2015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Hot rolled flat products of non-alloy and other alloy steel in coils of awidth of 600 mm or more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29-03-2016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67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Hot rolled flat sheets and plates thick =&lt;150mm, width &gt;= 600 mm</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23-11-2016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France, Italy, Austria, Sweden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Melamine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08-10-2012</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Methylene Chloride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21-05-2014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Morpholine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24-01-2012</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Normal Butanol or N-Butyl Alcohol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19-02-2016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Phenol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08-03-2016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Spain, Netherlands</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Polyvinyl Chloride Suspension Grade Resin</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13-06-2014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PVC paste resin</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07-10-2004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 Italy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SBR - Styrene Butadiene Rubber of 1500 series and 1700 series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30-08-2017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Sodium Chlorate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02-11-2017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Sodium Nitrate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13-11-2014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Bulgaria</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Sodium nitrite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29-11-2002</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European Union of 15</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Bars and Rods, Hot-Rolled, in Irregularity Wound Coils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17-08-2015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Coated Paper and Paperboard, not including Banknotes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07-09-2015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Flat rolled iron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22-07-2014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 and I sections of other alloy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21-01-2015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Japan</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Electrolytic Manganese Dioxide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29-08-2008</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Jordan</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Aluminium bars, rods and profiles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15-05-2017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Korea/South</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Butyl Glycol Ether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06-12-2016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Korea/South</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Stainless steel bar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30-07-2004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Lebanon</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Sunflower and Soya Oil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06-12-2016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Hot-rolled steel plate of iron or non-alloy steel and</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02-07-2015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concrete reinforcing bar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14-04-2017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Austria, Finland,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wire rods and deformed bar in coils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15-04-2017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Carbon steel tubes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21-04-2016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carbon steel tubes with longitudinal straight seam</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06-01-2010</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Graphite electrodes AC</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01-09-2015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Hot rolled steel coils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23-12-2015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Seamless carbon steel pipes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04-08-2017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plate produced in Romania</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22-09-2005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Stranded wire ropes &amp; cables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27-02-2016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 Portugal</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Bars and Rods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01-04-2014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Cold rolled steel sheets and plated or coated sheets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07-09-2015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Hot rolled steel sheets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12-08-2014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Insulin</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03-02-2015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Paper A4</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20-10-2014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Paper reels and reams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01-01-2017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Portugal, Finland, Sweden</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PVC</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29-12-2016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Spain, France, Portugal</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New Zealand</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Canned peaches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09-03-1998</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Pakistan</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Hydrogen Peroxide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15-07-2011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Pakistan</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Phthalic Anhydride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07-02-2013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Philippines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Newsprint</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13-05-2015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Philippines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angle bars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31-08-2009</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Philippines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Testliner board</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16-09-2010</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flat rolled iron/steel products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11-08-2017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Frozen chicken</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27-02-2015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Netherlands,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Potato chips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21-10-2016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Netherlands</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Ropes &amp; cables of iron or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28-08-2002</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United Kingdom</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Hot rolled steel flat with certain amounts of alloying elements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15-09-2013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Hot-rolled flat in coils and not in coils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27-05-2003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Slovakia</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Non Alloy Hot Rolled Steel Flat Products in (non) coils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23-12-2014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Spain, Sweden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Structural Hot Rolled H-Beam with Alloy</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28-01-2017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Fittings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07-09-2006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Float glass colourless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17-11-2013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Romania</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hinges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20-10-2017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 Spain, 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Laminated flooring</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13-06-2015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plywood</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28-10-2016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Bulgaria</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Polyethylene terephthalate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07-11-2011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Greece, Spain, Italy</w:t>
            </w:r>
          </w:p>
        </w:tc>
      </w:tr>
      <w:tr>
        <w:trPr>
          <w:trHeight w:val="9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Polyvinyl chloride (PVC)</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06-02-2003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Greece, Italy, Hungary, Netherlands, Finland, Romania</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Tubes and pipes of refined copper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17-10-2017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wall paper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06-08-2015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Italy,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Water heaters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19-09-2013</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woven fabriccs of synthetic filament yarn</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22-08-2015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Bulgaria</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woven fabrics of synthetic and artificial staple fibres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22-08-2015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Poland, Bulgaria</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Ukraine</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Flexible porous plates, blocks and sheets of polyurethane foam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07-07-2016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Hungary, Poland, Romania</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Brass sheet &amp; strip</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06-03-1987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Brass sheet &amp; strip</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06-03-1987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France</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Brass sheet &amp; strip</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06-03-1987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Carbon &amp; alloy steel cut to lenght plate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05-05-2017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France, Italy, Austria</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carbon and alloy steel wire rod</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25-10-2017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carbon and alloy steel wire rod</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28-08-2017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Chlorinated isocyanurates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24-06-2005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cold rolled steel flat products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10-09-2016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Netherlands,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Corrosion-resistant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15-07-2016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Corrosion-resistant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15-09-2016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lang w:val="nb-NO"/>
              </w:rPr>
            </w:pPr>
            <w:r>
              <w:rPr>
                <w:rFonts w:ascii="Arial" w:hAnsi="Arial" w:cs="Arial"/>
                <w:noProof/>
                <w:sz w:val="16"/>
                <w:szCs w:val="16"/>
                <w:lang w:val="nb-NO"/>
              </w:rPr>
              <w:t>Emulsion styrene-butadiene rubber (ESB rubber)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12-09-2017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Poland</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Finished Carbon Steel Flanges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26-01-2017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 Italy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Hot rolled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12-09-2016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Netherlands, United Kingdom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Low enriched uranium</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13-02-2002</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France</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Non-oriented electrical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18-11-2014</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Sweden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Pasta</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24-07-1996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Pasta</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24-07-1996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Pressure sensitive plastic tape x673</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21-10-1977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Ripe Olives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Seamless pipe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04-03-1997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Seamless pipe small diameter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11-10-2011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Romania</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Sodium Nitrite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27-08-2008</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Stainless steel bar x709</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02-03-1995</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Stainless steel butt-weld pipe fittings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23-02-2001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Stainless steel plates in coils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21-05-1999</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Stainless steel wire rod x743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15-09-1998</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 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Stainless steel wire rod x745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15-09-1998</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concrete reinforcing bars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07-09-2001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Latvia</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Steel concrete reinforcing bars x752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07-09-2001</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Poland</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Uncoated paper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20-01-2016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Portugal</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Certain mineral or chemical fertilizers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04-08-2017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Monosodium glutamate- food flavour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25-03-2016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Spain</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Pre-painted galvanized steel sheet and strip</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15-06-2017</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Austria</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272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semi-finished and finished products of alloy&amp;non-alloy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8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96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02-08-2016</w:t>
            </w:r>
          </w:p>
        </w:tc>
        <w:tc>
          <w:tcPr>
            <w:tcW w:w="2098"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bl>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r>
        <w:rPr>
          <w:b/>
          <w:noProof/>
          <w:lang w:eastAsia="en-US"/>
        </w:rPr>
        <w:t>Annex IV – New investigations initiated in 2015, 2016 and 2017</w:t>
      </w:r>
    </w:p>
    <w:tbl>
      <w:tblPr>
        <w:tblW w:w="8460" w:type="dxa"/>
        <w:tblInd w:w="93" w:type="dxa"/>
        <w:tblLook w:val="04A0" w:firstRow="1" w:lastRow="0" w:firstColumn="1" w:lastColumn="0" w:noHBand="0" w:noVBand="1"/>
      </w:tblPr>
      <w:tblGrid>
        <w:gridCol w:w="2564"/>
        <w:gridCol w:w="572"/>
        <w:gridCol w:w="572"/>
        <w:gridCol w:w="572"/>
        <w:gridCol w:w="572"/>
        <w:gridCol w:w="572"/>
        <w:gridCol w:w="572"/>
        <w:gridCol w:w="572"/>
        <w:gridCol w:w="572"/>
        <w:gridCol w:w="572"/>
        <w:gridCol w:w="572"/>
        <w:gridCol w:w="572"/>
        <w:gridCol w:w="572"/>
      </w:tblGrid>
      <w:tr>
        <w:trPr>
          <w:trHeight w:val="240"/>
        </w:trPr>
        <w:tc>
          <w:tcPr>
            <w:tcW w:w="8460"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New investigations initiated in 2015, 2016 and 2017</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country</w:t>
            </w:r>
          </w:p>
        </w:tc>
        <w:tc>
          <w:tcPr>
            <w:tcW w:w="14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AD</w:t>
            </w:r>
          </w:p>
        </w:tc>
        <w:tc>
          <w:tcPr>
            <w:tcW w:w="1474"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CVD</w:t>
            </w:r>
          </w:p>
        </w:tc>
        <w:tc>
          <w:tcPr>
            <w:tcW w:w="1473"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SG</w:t>
            </w:r>
          </w:p>
        </w:tc>
        <w:tc>
          <w:tcPr>
            <w:tcW w:w="1473"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TOTAL</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 </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Argentina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Australia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55"/>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Belarus</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Brazil</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Canada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Chile</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China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55"/>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Colombia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Costa Rica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Ecuador</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Egypt</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Eurasian Economic Union</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Gulf Cooperation Council</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India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Indonesia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Israel</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55"/>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Jordan</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000000" w:fill="FFFFFF"/>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Korea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Lebanon</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Malaysia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Mexico</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55"/>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Morocco</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South Africa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Thailand</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Tunisia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Turkey</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Ukraine</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USA</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10</w:t>
            </w:r>
          </w:p>
        </w:tc>
      </w:tr>
      <w:tr>
        <w:trPr>
          <w:trHeight w:val="240"/>
        </w:trPr>
        <w:tc>
          <w:tcPr>
            <w:tcW w:w="2564"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Vietnam</w:t>
            </w:r>
          </w:p>
        </w:tc>
        <w:tc>
          <w:tcPr>
            <w:tcW w:w="49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trPr>
        <w:tc>
          <w:tcPr>
            <w:tcW w:w="2564" w:type="dxa"/>
            <w:tcBorders>
              <w:top w:val="nil"/>
              <w:left w:val="single" w:sz="8" w:space="0" w:color="auto"/>
              <w:bottom w:val="nil"/>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Zambia</w:t>
            </w:r>
          </w:p>
        </w:tc>
        <w:tc>
          <w:tcPr>
            <w:tcW w:w="492" w:type="dxa"/>
            <w:tcBorders>
              <w:top w:val="nil"/>
              <w:left w:val="single" w:sz="8" w:space="0" w:color="auto"/>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1"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trPr>
        <w:tc>
          <w:tcPr>
            <w:tcW w:w="2564" w:type="dxa"/>
            <w:tcBorders>
              <w:top w:val="single" w:sz="8" w:space="0" w:color="auto"/>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TOTAL</w:t>
            </w:r>
          </w:p>
        </w:tc>
        <w:tc>
          <w:tcPr>
            <w:tcW w:w="4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18</w:t>
            </w:r>
          </w:p>
        </w:tc>
        <w:tc>
          <w:tcPr>
            <w:tcW w:w="49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18</w:t>
            </w:r>
          </w:p>
        </w:tc>
        <w:tc>
          <w:tcPr>
            <w:tcW w:w="49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22</w:t>
            </w:r>
          </w:p>
        </w:tc>
        <w:tc>
          <w:tcPr>
            <w:tcW w:w="49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w:t>
            </w:r>
          </w:p>
        </w:tc>
        <w:tc>
          <w:tcPr>
            <w:tcW w:w="491"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w:t>
            </w:r>
          </w:p>
        </w:tc>
        <w:tc>
          <w:tcPr>
            <w:tcW w:w="491"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18</w:t>
            </w:r>
          </w:p>
        </w:tc>
        <w:tc>
          <w:tcPr>
            <w:tcW w:w="491"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12</w:t>
            </w:r>
          </w:p>
        </w:tc>
        <w:tc>
          <w:tcPr>
            <w:tcW w:w="491"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7</w:t>
            </w:r>
          </w:p>
        </w:tc>
        <w:tc>
          <w:tcPr>
            <w:tcW w:w="491"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37</w:t>
            </w:r>
          </w:p>
        </w:tc>
        <w:tc>
          <w:tcPr>
            <w:tcW w:w="491"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30</w:t>
            </w:r>
          </w:p>
        </w:tc>
        <w:tc>
          <w:tcPr>
            <w:tcW w:w="491"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31</w:t>
            </w:r>
          </w:p>
        </w:tc>
      </w:tr>
    </w:tbl>
    <w:p>
      <w:pPr>
        <w:jc w:val="center"/>
        <w:rPr>
          <w:b/>
          <w:noProof/>
          <w:lang w:eastAsia="en-US"/>
        </w:rPr>
      </w:pPr>
      <w:r>
        <w:rPr>
          <w:b/>
          <w:noProof/>
          <w:lang w:eastAsia="en-US"/>
        </w:rPr>
        <w:t xml:space="preserve">  </w:t>
      </w: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r>
        <w:rPr>
          <w:b/>
          <w:noProof/>
          <w:lang w:eastAsia="en-US"/>
        </w:rPr>
        <w:t>Annex V – Detail of new investigations initiated in 2017</w:t>
      </w:r>
    </w:p>
    <w:tbl>
      <w:tblPr>
        <w:tblW w:w="10040" w:type="dxa"/>
        <w:tblInd w:w="93" w:type="dxa"/>
        <w:tblLook w:val="04A0" w:firstRow="1" w:lastRow="0" w:firstColumn="1" w:lastColumn="0" w:noHBand="0" w:noVBand="1"/>
      </w:tblPr>
      <w:tblGrid>
        <w:gridCol w:w="1871"/>
        <w:gridCol w:w="3473"/>
        <w:gridCol w:w="1093"/>
        <w:gridCol w:w="1360"/>
        <w:gridCol w:w="2243"/>
      </w:tblGrid>
      <w:tr>
        <w:trPr>
          <w:trHeight w:val="255"/>
        </w:trPr>
        <w:tc>
          <w:tcPr>
            <w:tcW w:w="1871"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Country</w:t>
            </w:r>
          </w:p>
        </w:tc>
        <w:tc>
          <w:tcPr>
            <w:tcW w:w="3473"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Product</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Instrument</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Initiation Date</w:t>
            </w:r>
          </w:p>
        </w:tc>
        <w:tc>
          <w:tcPr>
            <w:tcW w:w="2243"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Exporting MS</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spanners AC</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23-03-2017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reinforcing bar</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27-06-2017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 Spain</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Nitrile Rubber</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26-06-2017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France</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halogenated butyl rubber</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30-08-2017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United Kingdom</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Colombia</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Frozen fries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03-08-2017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Netherlands</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Eurasian Economic Union</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Herbicides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16-01-2017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France</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Gulf Cooperation Council</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uncoated paper or paperboard in rols or sheets (other than Containerboard)</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31-07-2017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Acrylic fibre of all types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19-04-2017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Synthetic Filament Yarn of Nylon</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22-08-2017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Wooden flooring</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17-02-2017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Denmark, Germany, Spain, Italy, Lithuania, Poland</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Solar Cells whether or not assembled in modules or panels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19-12-2017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France</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Israel</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Portland Cement</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18-05-2017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Korea/South</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Coated printing paper </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10-07-2017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Finland</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Synthetic rubber</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11-08-2017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Poland</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plate</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17-11-2017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Tyres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06-04-2017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Terephtalic Acid (PTA)</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23-02-2017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Toothbrushes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22-04-2017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Sodium Percarbonate</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24-03-2017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Ukraine</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Sulphuric acid and oleum</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10-08-2017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67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crystalline silicon photovoltaic (CSPV) cells (whether or not partially or fully assembled into other products)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17-05-2017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Italy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Large residential washers (LRWs) and certain parts thereof</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05-06-2017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Spain, Italy, Sweden</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citric acid, sodium citrate, and potassium citrate (also in blends under HS 382499)</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23-06-2017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Sodium gluconate</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21-12-2017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carbon and alloy steel wire rod</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17-04-2017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carbon and alloy steel wire rod</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17-04-2017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Ripe Olives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12-07-2017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Ripe Olives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12-07-2017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Forged steel fittings</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12-10-2017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45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Cold-Drawn Mechanical Tubing of Carbon and Alloy Steel</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10-05-2017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Italy</w:t>
            </w:r>
          </w:p>
        </w:tc>
      </w:tr>
      <w:tr>
        <w:trPr>
          <w:trHeight w:val="255"/>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347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Certain mineral or chemical fertilizers </w:t>
            </w:r>
          </w:p>
        </w:tc>
        <w:tc>
          <w:tcPr>
            <w:tcW w:w="109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12-05-2017</w:t>
            </w:r>
          </w:p>
        </w:tc>
        <w:tc>
          <w:tcPr>
            <w:tcW w:w="2243"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bl>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r>
        <w:rPr>
          <w:b/>
          <w:noProof/>
          <w:lang w:eastAsia="en-US"/>
        </w:rPr>
        <w:t xml:space="preserve">Annex VI – Measures imposed in 2015, 2016 and 2017  </w:t>
      </w:r>
    </w:p>
    <w:p>
      <w:pPr>
        <w:jc w:val="center"/>
        <w:rPr>
          <w:b/>
          <w:noProof/>
          <w:lang w:eastAsia="en-US"/>
        </w:rPr>
      </w:pPr>
    </w:p>
    <w:tbl>
      <w:tblPr>
        <w:tblW w:w="8503" w:type="dxa"/>
        <w:tblInd w:w="93" w:type="dxa"/>
        <w:tblLook w:val="04A0" w:firstRow="1" w:lastRow="0" w:firstColumn="1" w:lastColumn="0" w:noHBand="0" w:noVBand="1"/>
      </w:tblPr>
      <w:tblGrid>
        <w:gridCol w:w="2575"/>
        <w:gridCol w:w="572"/>
        <w:gridCol w:w="572"/>
        <w:gridCol w:w="572"/>
        <w:gridCol w:w="572"/>
        <w:gridCol w:w="572"/>
        <w:gridCol w:w="572"/>
        <w:gridCol w:w="572"/>
        <w:gridCol w:w="572"/>
        <w:gridCol w:w="572"/>
        <w:gridCol w:w="572"/>
        <w:gridCol w:w="572"/>
        <w:gridCol w:w="572"/>
      </w:tblGrid>
      <w:tr>
        <w:trPr>
          <w:trHeight w:val="270"/>
        </w:trPr>
        <w:tc>
          <w:tcPr>
            <w:tcW w:w="850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Measures imposed in 2015, 2016 and 2017</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country</w:t>
            </w:r>
          </w:p>
        </w:tc>
        <w:tc>
          <w:tcPr>
            <w:tcW w:w="148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AD</w:t>
            </w:r>
          </w:p>
        </w:tc>
        <w:tc>
          <w:tcPr>
            <w:tcW w:w="1482"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CVD</w:t>
            </w:r>
          </w:p>
        </w:tc>
        <w:tc>
          <w:tcPr>
            <w:tcW w:w="1482"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SG</w:t>
            </w:r>
          </w:p>
        </w:tc>
        <w:tc>
          <w:tcPr>
            <w:tcW w:w="1482"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TOTAL</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 </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2017</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Argentina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Australia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Brazil</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Canada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Chile</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China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Colombia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Costa Rica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Dominican republic</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Ecuador</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Egypt</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Eurasian Economic Union</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India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Indonesia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Jordan</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Korea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Malaysia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Mexico</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Morocco</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85"/>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Philippines</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South Africa</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Thailand</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Turkey</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Ukraine</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United States</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r>
      <w:tr>
        <w:trPr>
          <w:trHeight w:val="285"/>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Vietnam</w:t>
            </w:r>
          </w:p>
        </w:tc>
        <w:tc>
          <w:tcPr>
            <w:tcW w:w="494"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85"/>
        </w:trPr>
        <w:tc>
          <w:tcPr>
            <w:tcW w:w="2575" w:type="dxa"/>
            <w:tcBorders>
              <w:top w:val="nil"/>
              <w:left w:val="single" w:sz="8" w:space="0" w:color="auto"/>
              <w:bottom w:val="nil"/>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Zambia</w:t>
            </w:r>
          </w:p>
        </w:tc>
        <w:tc>
          <w:tcPr>
            <w:tcW w:w="494" w:type="dxa"/>
            <w:tcBorders>
              <w:top w:val="nil"/>
              <w:left w:val="single" w:sz="8" w:space="0" w:color="auto"/>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494"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494"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single" w:sz="8" w:space="0" w:color="auto"/>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TOTAL</w:t>
            </w:r>
          </w:p>
        </w:tc>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21</w:t>
            </w:r>
          </w:p>
        </w:tc>
        <w:tc>
          <w:tcPr>
            <w:tcW w:w="494"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19</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15</w:t>
            </w:r>
          </w:p>
        </w:tc>
        <w:tc>
          <w:tcPr>
            <w:tcW w:w="494"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w:t>
            </w:r>
          </w:p>
        </w:tc>
        <w:tc>
          <w:tcPr>
            <w:tcW w:w="494"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w:t>
            </w:r>
          </w:p>
        </w:tc>
        <w:tc>
          <w:tcPr>
            <w:tcW w:w="494"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w:t>
            </w:r>
          </w:p>
        </w:tc>
        <w:tc>
          <w:tcPr>
            <w:tcW w:w="494"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15</w:t>
            </w:r>
          </w:p>
        </w:tc>
        <w:tc>
          <w:tcPr>
            <w:tcW w:w="494"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10</w:t>
            </w:r>
          </w:p>
        </w:tc>
        <w:tc>
          <w:tcPr>
            <w:tcW w:w="494"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9</w:t>
            </w:r>
          </w:p>
        </w:tc>
        <w:tc>
          <w:tcPr>
            <w:tcW w:w="494"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37</w:t>
            </w:r>
          </w:p>
        </w:tc>
        <w:tc>
          <w:tcPr>
            <w:tcW w:w="494"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30</w:t>
            </w:r>
          </w:p>
        </w:tc>
        <w:tc>
          <w:tcPr>
            <w:tcW w:w="494"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26</w:t>
            </w:r>
          </w:p>
        </w:tc>
      </w:tr>
    </w:tbl>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p>
    <w:p>
      <w:pPr>
        <w:jc w:val="center"/>
        <w:rPr>
          <w:b/>
          <w:noProof/>
          <w:lang w:eastAsia="en-US"/>
        </w:rPr>
      </w:pPr>
      <w:r>
        <w:rPr>
          <w:b/>
          <w:noProof/>
          <w:lang w:eastAsia="en-US"/>
        </w:rPr>
        <w:t>Annex VII – Detail of measures imposed in 2017</w:t>
      </w:r>
    </w:p>
    <w:tbl>
      <w:tblPr>
        <w:tblW w:w="10134" w:type="dxa"/>
        <w:tblInd w:w="93" w:type="dxa"/>
        <w:tblLook w:val="04A0" w:firstRow="1" w:lastRow="0" w:firstColumn="1" w:lastColumn="0" w:noHBand="0" w:noVBand="1"/>
      </w:tblPr>
      <w:tblGrid>
        <w:gridCol w:w="1119"/>
        <w:gridCol w:w="2997"/>
        <w:gridCol w:w="1250"/>
        <w:gridCol w:w="1028"/>
        <w:gridCol w:w="1228"/>
        <w:gridCol w:w="2512"/>
      </w:tblGrid>
      <w:tr>
        <w:trPr>
          <w:trHeight w:val="538"/>
        </w:trPr>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20"/>
              </w:rPr>
            </w:pPr>
            <w:r>
              <w:rPr>
                <w:rFonts w:ascii="Arial" w:hAnsi="Arial" w:cs="Arial"/>
                <w:b/>
                <w:bCs/>
                <w:noProof/>
                <w:sz w:val="20"/>
              </w:rPr>
              <w:t>Country</w:t>
            </w:r>
          </w:p>
        </w:tc>
        <w:tc>
          <w:tcPr>
            <w:tcW w:w="3052"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20"/>
              </w:rPr>
            </w:pPr>
            <w:r>
              <w:rPr>
                <w:rFonts w:ascii="Arial" w:hAnsi="Arial" w:cs="Arial"/>
                <w:b/>
                <w:bCs/>
                <w:noProof/>
                <w:sz w:val="20"/>
              </w:rPr>
              <w:t>Product</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20"/>
              </w:rPr>
            </w:pPr>
            <w:r>
              <w:rPr>
                <w:rFonts w:ascii="Arial" w:hAnsi="Arial" w:cs="Arial"/>
                <w:b/>
                <w:bCs/>
                <w:noProof/>
                <w:sz w:val="20"/>
              </w:rPr>
              <w:t>Instrument</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20"/>
              </w:rPr>
            </w:pPr>
            <w:r>
              <w:rPr>
                <w:rFonts w:ascii="Arial" w:hAnsi="Arial" w:cs="Arial"/>
                <w:b/>
                <w:bCs/>
                <w:noProof/>
                <w:sz w:val="20"/>
              </w:rPr>
              <w:t>Type Of Measure</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20"/>
              </w:rPr>
            </w:pPr>
            <w:r>
              <w:rPr>
                <w:rFonts w:ascii="Arial" w:hAnsi="Arial" w:cs="Arial"/>
                <w:b/>
                <w:bCs/>
                <w:noProof/>
                <w:sz w:val="20"/>
              </w:rPr>
              <w:t>Date Of Imposition</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20"/>
              </w:rPr>
            </w:pPr>
            <w:r>
              <w:rPr>
                <w:rFonts w:ascii="Arial" w:hAnsi="Arial" w:cs="Arial"/>
                <w:b/>
                <w:bCs/>
                <w:noProof/>
                <w:sz w:val="20"/>
              </w:rPr>
              <w:t>Exporting MS</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reinforcing bar</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14-11-2017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 Spain</w:t>
            </w:r>
          </w:p>
        </w:tc>
      </w:tr>
      <w:tr>
        <w:trPr>
          <w:trHeight w:val="475"/>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Frozen fries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17-01-2017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France, Netherlands</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fabricated industrial steel components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25-01-2017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 United Kingdom</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Rebar</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03-01-2017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 Portugal</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sugar</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22-05-2017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75"/>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Cold rolled steel 600 - 1250 mm</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24-10-2017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Spain, Italy, Netherlands, Finland</w:t>
            </w:r>
          </w:p>
        </w:tc>
      </w:tr>
      <w:tr>
        <w:trPr>
          <w:trHeight w:val="475"/>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SBR - Styrene Butadiene Rubber of 1500 series and 1700 series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30-08-2017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Sodium Chlorate</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02-11-2017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75"/>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Colour coated/pre-painted flat products of alloy or non-alloy steel</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11-01-2017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France, Netherlands, Austria, Portugal</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Jordan</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Aluminium bars, rods and profiles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15-05-2017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75"/>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concrete reinforcing bar</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14-04-2017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Austria, Finland, United Kingdom</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steel wire rods and deformed bar in coils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15-04-2017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Seamless carbon steel pipes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04-08-2017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Paper reels and reams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01-01-2017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Germany, Portugal, Finland, Sweden</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flat rolled iron/steel products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11-08-2017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Structural Hot Rolled H-Beam with Alloy</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28-01-2017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Tubes and pipes of refined copper</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17-10-2017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hinges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20-10-2017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Greece, Spain, Italy</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carbon and alloy steel wire rod</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25-10-2017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Certain carbon and alloy steel wire rod</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28-08-2017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Ripe Olives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Finished Carbon Steel Flanges</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26-01-2017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Spain, Italy</w:t>
            </w:r>
          </w:p>
        </w:tc>
      </w:tr>
      <w:tr>
        <w:trPr>
          <w:trHeight w:val="475"/>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Carbon &amp; alloy steel cut to lenght plate</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05-05-2017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France, Italy, Austria</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lang w:val="nb-NO"/>
              </w:rPr>
            </w:pPr>
            <w:r>
              <w:rPr>
                <w:rFonts w:ascii="Arial" w:hAnsi="Arial" w:cs="Arial"/>
                <w:noProof/>
                <w:sz w:val="16"/>
                <w:szCs w:val="16"/>
                <w:lang w:val="nb-NO"/>
              </w:rPr>
              <w:t>Emulsion styrene-butadiene rubber (ESB rubber)</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24-02-2017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Poland</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xml:space="preserve">Certain mineral or chemical fertilizers </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04-08-2017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37"/>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30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Pre-painted galvanized steel sheet and strip</w:t>
            </w:r>
          </w:p>
        </w:tc>
        <w:tc>
          <w:tcPr>
            <w:tcW w:w="121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00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194"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15-06-2017</w:t>
            </w:r>
          </w:p>
        </w:tc>
        <w:tc>
          <w:tcPr>
            <w:tcW w:w="2552" w:type="dxa"/>
            <w:tcBorders>
              <w:top w:val="nil"/>
              <w:left w:val="nil"/>
              <w:bottom w:val="single" w:sz="4" w:space="0" w:color="auto"/>
              <w:right w:val="single" w:sz="4" w:space="0" w:color="auto"/>
            </w:tcBorders>
            <w:shd w:val="clear" w:color="auto" w:fill="auto"/>
            <w:hideMark/>
          </w:tcPr>
          <w:p>
            <w:pPr>
              <w:spacing w:before="0" w:after="0"/>
              <w:jc w:val="left"/>
              <w:rPr>
                <w:rFonts w:ascii="Arial" w:hAnsi="Arial" w:cs="Arial"/>
                <w:noProof/>
                <w:sz w:val="16"/>
                <w:szCs w:val="16"/>
              </w:rPr>
            </w:pPr>
            <w:r>
              <w:rPr>
                <w:rFonts w:ascii="Arial" w:hAnsi="Arial" w:cs="Arial"/>
                <w:noProof/>
                <w:sz w:val="16"/>
                <w:szCs w:val="16"/>
              </w:rPr>
              <w:t>Belgium, Germany, Austria</w:t>
            </w:r>
          </w:p>
        </w:tc>
      </w:tr>
    </w:tbl>
    <w:p>
      <w:pPr>
        <w:jc w:val="center"/>
        <w:rPr>
          <w:b/>
          <w:noProof/>
          <w:lang w:eastAsia="en-US"/>
        </w:rPr>
      </w:pPr>
    </w:p>
    <w:p>
      <w:pPr>
        <w:jc w:val="center"/>
        <w:rPr>
          <w:b/>
          <w:noProof/>
          <w:lang w:eastAsia="en-US"/>
        </w:rPr>
      </w:pP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991" w:bottom="1417" w:left="1417" w:header="708"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7713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both"/>
        <w:rPr>
          <w:rFonts w:asciiTheme="majorBidi" w:hAnsiTheme="majorBidi" w:cstheme="majorBidi"/>
        </w:rPr>
      </w:pPr>
      <w:r>
        <w:rPr>
          <w:rStyle w:val="FootnoteReference"/>
          <w:rFonts w:asciiTheme="majorBidi" w:hAnsiTheme="majorBidi" w:cstheme="majorBidi"/>
        </w:rPr>
        <w:footnoteRef/>
      </w:r>
      <w:r>
        <w:rPr>
          <w:rStyle w:val="FootnoteReference"/>
          <w:rFonts w:asciiTheme="majorBidi" w:hAnsiTheme="majorBidi" w:cstheme="majorBidi"/>
        </w:rPr>
        <w:t xml:space="preserve"> </w:t>
      </w:r>
      <w:r>
        <w:rPr>
          <w:rFonts w:asciiTheme="majorBidi" w:hAnsiTheme="majorBidi" w:cstheme="majorBidi"/>
        </w:rPr>
        <w:t>In the meantime, the US International Trade Commission announced its final affirmative injury determination on 10 July 2018, thus definitive AD and AS duties will enter into force at the end of July 2018, marking the end of both investigations.</w:t>
      </w:r>
      <w:r>
        <w:rPr>
          <w:szCs w:val="24"/>
        </w:rPr>
        <w:t xml:space="preserve"> </w:t>
      </w:r>
      <w:r>
        <w:rPr>
          <w:rFonts w:asciiTheme="majorBidi" w:hAnsiTheme="majorBidi" w:cstheme="majorBidi"/>
        </w:rPr>
        <w:t>The Commission is now considering all legal options in response to these measures.</w:t>
      </w:r>
    </w:p>
  </w:footnote>
  <w:footnote w:id="2">
    <w:p>
      <w:pPr>
        <w:pStyle w:val="FootnoteText"/>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The Eurasian Economic Union ('EAEU') came into existence on 1 January 2015 and it consists of the member states of the former Eurasian Customs Union ('EACU'), which it incorporated. All its members joined WTO, with the exception of Belarus for which the accession process is ongoing.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972"/>
    <w:multiLevelType w:val="multilevel"/>
    <w:tmpl w:val="9162053A"/>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586F45"/>
    <w:multiLevelType w:val="multilevel"/>
    <w:tmpl w:val="14EE6514"/>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FE47D3"/>
    <w:multiLevelType w:val="multilevel"/>
    <w:tmpl w:val="F3D4C72C"/>
    <w:lvl w:ilvl="0">
      <w:start w:val="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5F2DB4"/>
    <w:multiLevelType w:val="multilevel"/>
    <w:tmpl w:val="E7AA0B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F734306"/>
    <w:multiLevelType w:val="multilevel"/>
    <w:tmpl w:val="518CE5BA"/>
    <w:lvl w:ilvl="0">
      <w:start w:val="1"/>
      <w:numFmt w:val="decimal"/>
      <w:pStyle w:val="Heading1"/>
      <w:lvlText w:val="%1."/>
      <w:lvlJc w:val="left"/>
      <w:pPr>
        <w:tabs>
          <w:tab w:val="num" w:pos="480"/>
        </w:tabs>
        <w:ind w:left="480" w:hanging="480"/>
      </w:pPr>
      <w:rPr>
        <w:rFonts w:ascii="Times New Roman" w:hAnsi="Times New Roman" w:cs="Times New Roman" w:hint="default"/>
        <w:sz w:val="24"/>
        <w:szCs w:val="24"/>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6477D3"/>
    <w:multiLevelType w:val="multilevel"/>
    <w:tmpl w:val="2BC2026C"/>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3ED0641"/>
    <w:multiLevelType w:val="multilevel"/>
    <w:tmpl w:val="4300BBAC"/>
    <w:lvl w:ilvl="0">
      <w:start w:val="7"/>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EE6D9F"/>
    <w:multiLevelType w:val="hybridMultilevel"/>
    <w:tmpl w:val="8A183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345CCB"/>
    <w:multiLevelType w:val="hybridMultilevel"/>
    <w:tmpl w:val="2962F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756DFB"/>
    <w:multiLevelType w:val="multilevel"/>
    <w:tmpl w:val="E7AA0B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FA170C"/>
    <w:multiLevelType w:val="multilevel"/>
    <w:tmpl w:val="9B2C7032"/>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0B33CA"/>
    <w:multiLevelType w:val="multilevel"/>
    <w:tmpl w:val="9B2C7032"/>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9CB53C9"/>
    <w:multiLevelType w:val="multilevel"/>
    <w:tmpl w:val="D0422662"/>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C214FC"/>
    <w:multiLevelType w:val="multilevel"/>
    <w:tmpl w:val="A6E8C16A"/>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E6731C7"/>
    <w:multiLevelType w:val="multilevel"/>
    <w:tmpl w:val="9B2C7032"/>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3AC4F42"/>
    <w:multiLevelType w:val="multilevel"/>
    <w:tmpl w:val="76B6AD22"/>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646A06"/>
    <w:multiLevelType w:val="multilevel"/>
    <w:tmpl w:val="4E4E993E"/>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7D265F"/>
    <w:multiLevelType w:val="multilevel"/>
    <w:tmpl w:val="FC72307C"/>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5312784"/>
    <w:multiLevelType w:val="multilevel"/>
    <w:tmpl w:val="F53CA2BE"/>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665CA1"/>
    <w:multiLevelType w:val="hybridMultilevel"/>
    <w:tmpl w:val="B7BC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CD5ADC"/>
    <w:multiLevelType w:val="multilevel"/>
    <w:tmpl w:val="E7AA0B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44334D"/>
    <w:multiLevelType w:val="hybridMultilevel"/>
    <w:tmpl w:val="9C70FF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890872"/>
    <w:multiLevelType w:val="multilevel"/>
    <w:tmpl w:val="2BC2026C"/>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33D2C"/>
    <w:multiLevelType w:val="multilevel"/>
    <w:tmpl w:val="D0422662"/>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9554F97"/>
    <w:multiLevelType w:val="multilevel"/>
    <w:tmpl w:val="FA867B8C"/>
    <w:lvl w:ilvl="0">
      <w:start w:val="1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5C34DF"/>
    <w:multiLevelType w:val="hybridMultilevel"/>
    <w:tmpl w:val="14369970"/>
    <w:lvl w:ilvl="0" w:tplc="9386252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7A1B45"/>
    <w:multiLevelType w:val="multilevel"/>
    <w:tmpl w:val="E7AA0B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5174A57"/>
    <w:multiLevelType w:val="multilevel"/>
    <w:tmpl w:val="13A624D8"/>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75B25A7"/>
    <w:multiLevelType w:val="multilevel"/>
    <w:tmpl w:val="FFE4784E"/>
    <w:lvl w:ilvl="0">
      <w:start w:val="14"/>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A2A5D9D"/>
    <w:multiLevelType w:val="multilevel"/>
    <w:tmpl w:val="B60C9D4C"/>
    <w:lvl w:ilvl="0">
      <w:start w:val="10"/>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0"/>
  </w:num>
  <w:num w:numId="3">
    <w:abstractNumId w:val="2"/>
  </w:num>
  <w:num w:numId="4">
    <w:abstractNumId w:val="3"/>
  </w:num>
  <w:num w:numId="5">
    <w:abstractNumId w:val="20"/>
  </w:num>
  <w:num w:numId="6">
    <w:abstractNumId w:val="7"/>
  </w:num>
  <w:num w:numId="7">
    <w:abstractNumId w:val="9"/>
  </w:num>
  <w:num w:numId="8">
    <w:abstractNumId w:val="26"/>
  </w:num>
  <w:num w:numId="9">
    <w:abstractNumId w:val="5"/>
  </w:num>
  <w:num w:numId="10">
    <w:abstractNumId w:val="18"/>
  </w:num>
  <w:num w:numId="11">
    <w:abstractNumId w:val="22"/>
  </w:num>
  <w:num w:numId="12">
    <w:abstractNumId w:val="4"/>
  </w:num>
  <w:num w:numId="13">
    <w:abstractNumId w:val="4"/>
  </w:num>
  <w:num w:numId="14">
    <w:abstractNumId w:val="8"/>
  </w:num>
  <w:num w:numId="15">
    <w:abstractNumId w:val="17"/>
  </w:num>
  <w:num w:numId="16">
    <w:abstractNumId w:val="23"/>
  </w:num>
  <w:num w:numId="17">
    <w:abstractNumId w:val="12"/>
  </w:num>
  <w:num w:numId="18">
    <w:abstractNumId w:val="10"/>
  </w:num>
  <w:num w:numId="19">
    <w:abstractNumId w:val="14"/>
  </w:num>
  <w:num w:numId="20">
    <w:abstractNumId w:val="11"/>
  </w:num>
  <w:num w:numId="21">
    <w:abstractNumId w:val="27"/>
  </w:num>
  <w:num w:numId="22">
    <w:abstractNumId w:val="16"/>
  </w:num>
  <w:num w:numId="23">
    <w:abstractNumId w:val="6"/>
  </w:num>
  <w:num w:numId="24">
    <w:abstractNumId w:val="1"/>
  </w:num>
  <w:num w:numId="25">
    <w:abstractNumId w:val="29"/>
  </w:num>
  <w:num w:numId="26">
    <w:abstractNumId w:val="15"/>
  </w:num>
  <w:num w:numId="27">
    <w:abstractNumId w:val="24"/>
  </w:num>
  <w:num w:numId="28">
    <w:abstractNumId w:val="13"/>
  </w:num>
  <w:num w:numId="29">
    <w:abstractNumId w:val="28"/>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7209FE0-34E5-4C26-894A-588023FE6886"/>
    <w:docVar w:name="LW_COVERPAGE_TYPE" w:val="1"/>
    <w:docVar w:name="LW_CROSSREFERENCE" w:val="{COM(2018) 701 final}"/>
    <w:docVar w:name="LW_DocType" w:val="NORMAL"/>
    <w:docVar w:name="LW_EMISSION" w:val="18.10.2018"/>
    <w:docVar w:name="LW_EMISSION_ISODATE" w:val="2018-10-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FIFTEENTH REPORT_x000b__x000b_OVERVIEW OF THIRD COUNTRY TRADE DEFENCE ACTIONS_x000b_AGAINST THE EUROPEAN UNION FOR THE YEAR 2017_x000b_"/>
    <w:docVar w:name="LW_PART_NBR" w:val="1"/>
    <w:docVar w:name="LW_PART_NBR_TOTAL" w:val="1"/>
    <w:docVar w:name="LW_REF.INST.NEW" w:val="SWD"/>
    <w:docVar w:name="LW_REF.INST.NEW_ADOPTED" w:val="final"/>
    <w:docVar w:name="LW_REF.INST.NEW_TEXT" w:val="(2018)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pPr>
      <w:keepNext/>
      <w:numPr>
        <w:numId w:val="12"/>
      </w:numPr>
      <w:spacing w:before="240" w:after="240"/>
      <w:outlineLvl w:val="0"/>
    </w:pPr>
    <w:rPr>
      <w:b/>
      <w:smallCaps/>
      <w:lang w:eastAsia="en-US"/>
    </w:rPr>
  </w:style>
  <w:style w:type="paragraph" w:styleId="Heading2">
    <w:name w:val="heading 2"/>
    <w:basedOn w:val="Normal"/>
    <w:next w:val="Normal"/>
    <w:link w:val="Heading2Char"/>
    <w:qFormat/>
    <w:pPr>
      <w:keepNext/>
      <w:numPr>
        <w:ilvl w:val="1"/>
        <w:numId w:val="12"/>
      </w:numPr>
      <w:spacing w:before="0" w:after="240"/>
      <w:outlineLvl w:val="1"/>
    </w:pPr>
    <w:rPr>
      <w:b/>
      <w:lang w:eastAsia="en-US"/>
    </w:rPr>
  </w:style>
  <w:style w:type="paragraph" w:styleId="Heading3">
    <w:name w:val="heading 3"/>
    <w:basedOn w:val="Normal"/>
    <w:next w:val="Normal"/>
    <w:link w:val="Heading3Char"/>
    <w:qFormat/>
    <w:pPr>
      <w:keepNext/>
      <w:numPr>
        <w:ilvl w:val="2"/>
        <w:numId w:val="12"/>
      </w:numPr>
      <w:spacing w:before="0" w:after="240"/>
      <w:outlineLvl w:val="2"/>
    </w:pPr>
    <w:rPr>
      <w:i/>
      <w:lang w:eastAsia="en-US"/>
    </w:rPr>
  </w:style>
  <w:style w:type="paragraph" w:styleId="Heading4">
    <w:name w:val="heading 4"/>
    <w:basedOn w:val="Normal"/>
    <w:next w:val="Normal"/>
    <w:link w:val="Heading4Char"/>
    <w:qFormat/>
    <w:pPr>
      <w:keepNext/>
      <w:numPr>
        <w:ilvl w:val="3"/>
        <w:numId w:val="12"/>
      </w:numPr>
      <w:spacing w:before="0" w:after="240"/>
      <w:outlineLvl w:val="3"/>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en-US"/>
    </w:rPr>
  </w:style>
  <w:style w:type="paragraph" w:styleId="FootnoteText">
    <w:name w:val="footnote text"/>
    <w:basedOn w:val="Normal"/>
    <w:link w:val="FootnoteTextChar"/>
    <w:uiPriority w:val="99"/>
    <w:unhideWhenUsed/>
    <w:pPr>
      <w:spacing w:before="0" w:after="0"/>
      <w:jc w:val="left"/>
    </w:pPr>
    <w:rPr>
      <w:rFonts w:ascii="Calibri" w:eastAsia="Calibri" w:hAnsi="Calibri"/>
      <w:sz w:val="20"/>
      <w:lang w:eastAsia="en-US"/>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pacing w:before="100" w:beforeAutospacing="1" w:after="100" w:afterAutospacing="1"/>
      <w:jc w:val="center"/>
    </w:pPr>
    <w:rPr>
      <w:rFonts w:ascii="Arial" w:hAnsi="Arial" w:cs="Arial"/>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
    <w:name w:val="xl67"/>
    <w:basedOn w:val="Normal"/>
    <w:pPr>
      <w:spacing w:before="100" w:beforeAutospacing="1" w:after="100" w:afterAutospacing="1"/>
      <w:jc w:val="left"/>
    </w:pPr>
    <w:rPr>
      <w:rFonts w:ascii="Arial" w:hAnsi="Arial" w:cs="Arial"/>
      <w:sz w:val="16"/>
      <w:szCs w:val="16"/>
    </w:rPr>
  </w:style>
  <w:style w:type="paragraph" w:customStyle="1" w:styleId="xl68">
    <w:name w:val="xl68"/>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72">
    <w:name w:val="xl7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Arial" w:hAnsi="Arial" w:cs="Arial"/>
      <w:sz w:val="16"/>
      <w:szCs w:val="16"/>
    </w:rPr>
  </w:style>
  <w:style w:type="paragraph" w:customStyle="1" w:styleId="xl74">
    <w:name w:val="xl7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5">
    <w:name w:val="xl7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77">
    <w:name w:val="xl7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Arial" w:hAnsi="Arial" w:cs="Arial"/>
      <w:sz w:val="16"/>
      <w:szCs w:val="16"/>
    </w:rPr>
  </w:style>
  <w:style w:type="paragraph" w:customStyle="1" w:styleId="xl79">
    <w:name w:val="xl79"/>
    <w:basedOn w:val="Normal"/>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Normal"/>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1">
    <w:name w:val="xl81"/>
    <w:basedOn w:val="Normal"/>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Normal"/>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Normal"/>
    <w:pPr>
      <w:spacing w:before="100" w:beforeAutospacing="1" w:after="100" w:afterAutospacing="1"/>
      <w:jc w:val="left"/>
    </w:pPr>
    <w:rPr>
      <w:rFonts w:ascii="Arial" w:hAnsi="Arial" w:cs="Arial"/>
      <w:sz w:val="16"/>
      <w:szCs w:val="16"/>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86">
    <w:name w:val="xl8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Typedudocument">
    <w:name w:val="Type du document"/>
    <w:basedOn w:val="Normal"/>
    <w:next w:val="Titreobjet"/>
    <w:pPr>
      <w:spacing w:before="360" w:after="0"/>
      <w:jc w:val="center"/>
    </w:pPr>
    <w:rPr>
      <w:rFonts w:eastAsiaTheme="minorHAnsi"/>
      <w:b/>
      <w:szCs w:val="22"/>
      <w:lang w:eastAsia="en-US"/>
    </w:rPr>
  </w:style>
  <w:style w:type="paragraph" w:customStyle="1" w:styleId="Accompagnant">
    <w:name w:val="Accompagnant"/>
    <w:basedOn w:val="Normal"/>
    <w:next w:val="Normal"/>
    <w:pPr>
      <w:spacing w:before="0" w:after="240"/>
      <w:jc w:val="center"/>
    </w:pPr>
    <w:rPr>
      <w:rFonts w:eastAsiaTheme="minorHAnsi"/>
      <w:b/>
      <w:i/>
      <w:szCs w:val="22"/>
      <w:lang w:eastAsia="en-US"/>
    </w:rPr>
  </w:style>
  <w:style w:type="paragraph" w:customStyle="1" w:styleId="Typeacteprincipal">
    <w:name w:val="Type acte principal"/>
    <w:basedOn w:val="Normal"/>
    <w:next w:val="Normal"/>
    <w:pPr>
      <w:spacing w:before="0" w:after="240"/>
      <w:jc w:val="center"/>
    </w:pPr>
    <w:rPr>
      <w:rFonts w:eastAsiaTheme="minorHAnsi"/>
      <w:b/>
      <w:szCs w:val="22"/>
      <w:lang w:eastAsia="en-US"/>
    </w:rPr>
  </w:style>
  <w:style w:type="paragraph" w:customStyle="1" w:styleId="Objetacteprincipal">
    <w:name w:val="Objet acte principal"/>
    <w:basedOn w:val="Normal"/>
    <w:next w:val="Normal"/>
    <w:pPr>
      <w:spacing w:before="0" w:after="360"/>
      <w:jc w:val="center"/>
    </w:pPr>
    <w:rPr>
      <w:rFonts w:eastAsiaTheme="minorHAnsi"/>
      <w:b/>
      <w:szCs w:val="22"/>
      <w:lang w:eastAsia="en-US"/>
    </w:rPr>
  </w:style>
  <w:style w:type="paragraph" w:customStyle="1" w:styleId="FooterCoverPage">
    <w:name w:val="Footer Cover Page"/>
    <w:basedOn w:val="Normal"/>
    <w:link w:val="FooterCoverPageChar"/>
    <w:pPr>
      <w:shd w:val="clear" w:color="auto" w:fill="FFFFFF"/>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shd w:val="clear" w:color="auto" w:fill="FFFFFF"/>
      <w:lang w:eastAsia="en-GB"/>
    </w:rPr>
  </w:style>
  <w:style w:type="paragraph" w:customStyle="1" w:styleId="HeaderCoverPage">
    <w:name w:val="Header Cover Page"/>
    <w:basedOn w:val="Normal"/>
    <w:link w:val="HeaderCoverPageChar"/>
    <w:pPr>
      <w:shd w:val="clear" w:color="auto" w:fill="FFFFFF"/>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shd w:val="clear" w:color="auto" w:fill="FFFFFF"/>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pPr>
      <w:keepNext/>
      <w:numPr>
        <w:numId w:val="12"/>
      </w:numPr>
      <w:spacing w:before="240" w:after="240"/>
      <w:outlineLvl w:val="0"/>
    </w:pPr>
    <w:rPr>
      <w:b/>
      <w:smallCaps/>
      <w:lang w:eastAsia="en-US"/>
    </w:rPr>
  </w:style>
  <w:style w:type="paragraph" w:styleId="Heading2">
    <w:name w:val="heading 2"/>
    <w:basedOn w:val="Normal"/>
    <w:next w:val="Normal"/>
    <w:link w:val="Heading2Char"/>
    <w:qFormat/>
    <w:pPr>
      <w:keepNext/>
      <w:numPr>
        <w:ilvl w:val="1"/>
        <w:numId w:val="12"/>
      </w:numPr>
      <w:spacing w:before="0" w:after="240"/>
      <w:outlineLvl w:val="1"/>
    </w:pPr>
    <w:rPr>
      <w:b/>
      <w:lang w:eastAsia="en-US"/>
    </w:rPr>
  </w:style>
  <w:style w:type="paragraph" w:styleId="Heading3">
    <w:name w:val="heading 3"/>
    <w:basedOn w:val="Normal"/>
    <w:next w:val="Normal"/>
    <w:link w:val="Heading3Char"/>
    <w:qFormat/>
    <w:pPr>
      <w:keepNext/>
      <w:numPr>
        <w:ilvl w:val="2"/>
        <w:numId w:val="12"/>
      </w:numPr>
      <w:spacing w:before="0" w:after="240"/>
      <w:outlineLvl w:val="2"/>
    </w:pPr>
    <w:rPr>
      <w:i/>
      <w:lang w:eastAsia="en-US"/>
    </w:rPr>
  </w:style>
  <w:style w:type="paragraph" w:styleId="Heading4">
    <w:name w:val="heading 4"/>
    <w:basedOn w:val="Normal"/>
    <w:next w:val="Normal"/>
    <w:link w:val="Heading4Char"/>
    <w:qFormat/>
    <w:pPr>
      <w:keepNext/>
      <w:numPr>
        <w:ilvl w:val="3"/>
        <w:numId w:val="12"/>
      </w:numPr>
      <w:spacing w:before="0" w:after="240"/>
      <w:outlineLvl w:val="3"/>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en-US"/>
    </w:rPr>
  </w:style>
  <w:style w:type="paragraph" w:styleId="FootnoteText">
    <w:name w:val="footnote text"/>
    <w:basedOn w:val="Normal"/>
    <w:link w:val="FootnoteTextChar"/>
    <w:uiPriority w:val="99"/>
    <w:unhideWhenUsed/>
    <w:pPr>
      <w:spacing w:before="0" w:after="0"/>
      <w:jc w:val="left"/>
    </w:pPr>
    <w:rPr>
      <w:rFonts w:ascii="Calibri" w:eastAsia="Calibri" w:hAnsi="Calibri"/>
      <w:sz w:val="20"/>
      <w:lang w:eastAsia="en-US"/>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pacing w:before="100" w:beforeAutospacing="1" w:after="100" w:afterAutospacing="1"/>
      <w:jc w:val="center"/>
    </w:pPr>
    <w:rPr>
      <w:rFonts w:ascii="Arial" w:hAnsi="Arial" w:cs="Arial"/>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
    <w:name w:val="xl67"/>
    <w:basedOn w:val="Normal"/>
    <w:pPr>
      <w:spacing w:before="100" w:beforeAutospacing="1" w:after="100" w:afterAutospacing="1"/>
      <w:jc w:val="left"/>
    </w:pPr>
    <w:rPr>
      <w:rFonts w:ascii="Arial" w:hAnsi="Arial" w:cs="Arial"/>
      <w:sz w:val="16"/>
      <w:szCs w:val="16"/>
    </w:rPr>
  </w:style>
  <w:style w:type="paragraph" w:customStyle="1" w:styleId="xl68">
    <w:name w:val="xl68"/>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72">
    <w:name w:val="xl7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Arial" w:hAnsi="Arial" w:cs="Arial"/>
      <w:sz w:val="16"/>
      <w:szCs w:val="16"/>
    </w:rPr>
  </w:style>
  <w:style w:type="paragraph" w:customStyle="1" w:styleId="xl74">
    <w:name w:val="xl7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5">
    <w:name w:val="xl7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77">
    <w:name w:val="xl7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Arial" w:hAnsi="Arial" w:cs="Arial"/>
      <w:sz w:val="16"/>
      <w:szCs w:val="16"/>
    </w:rPr>
  </w:style>
  <w:style w:type="paragraph" w:customStyle="1" w:styleId="xl79">
    <w:name w:val="xl79"/>
    <w:basedOn w:val="Normal"/>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Normal"/>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1">
    <w:name w:val="xl81"/>
    <w:basedOn w:val="Normal"/>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Normal"/>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Normal"/>
    <w:pPr>
      <w:spacing w:before="100" w:beforeAutospacing="1" w:after="100" w:afterAutospacing="1"/>
      <w:jc w:val="left"/>
    </w:pPr>
    <w:rPr>
      <w:rFonts w:ascii="Arial" w:hAnsi="Arial" w:cs="Arial"/>
      <w:sz w:val="16"/>
      <w:szCs w:val="16"/>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86">
    <w:name w:val="xl8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Typedudocument">
    <w:name w:val="Type du document"/>
    <w:basedOn w:val="Normal"/>
    <w:next w:val="Titreobjet"/>
    <w:pPr>
      <w:spacing w:before="360" w:after="0"/>
      <w:jc w:val="center"/>
    </w:pPr>
    <w:rPr>
      <w:rFonts w:eastAsiaTheme="minorHAnsi"/>
      <w:b/>
      <w:szCs w:val="22"/>
      <w:lang w:eastAsia="en-US"/>
    </w:rPr>
  </w:style>
  <w:style w:type="paragraph" w:customStyle="1" w:styleId="Accompagnant">
    <w:name w:val="Accompagnant"/>
    <w:basedOn w:val="Normal"/>
    <w:next w:val="Normal"/>
    <w:pPr>
      <w:spacing w:before="0" w:after="240"/>
      <w:jc w:val="center"/>
    </w:pPr>
    <w:rPr>
      <w:rFonts w:eastAsiaTheme="minorHAnsi"/>
      <w:b/>
      <w:i/>
      <w:szCs w:val="22"/>
      <w:lang w:eastAsia="en-US"/>
    </w:rPr>
  </w:style>
  <w:style w:type="paragraph" w:customStyle="1" w:styleId="Typeacteprincipal">
    <w:name w:val="Type acte principal"/>
    <w:basedOn w:val="Normal"/>
    <w:next w:val="Normal"/>
    <w:pPr>
      <w:spacing w:before="0" w:after="240"/>
      <w:jc w:val="center"/>
    </w:pPr>
    <w:rPr>
      <w:rFonts w:eastAsiaTheme="minorHAnsi"/>
      <w:b/>
      <w:szCs w:val="22"/>
      <w:lang w:eastAsia="en-US"/>
    </w:rPr>
  </w:style>
  <w:style w:type="paragraph" w:customStyle="1" w:styleId="Objetacteprincipal">
    <w:name w:val="Objet acte principal"/>
    <w:basedOn w:val="Normal"/>
    <w:next w:val="Normal"/>
    <w:pPr>
      <w:spacing w:before="0" w:after="360"/>
      <w:jc w:val="center"/>
    </w:pPr>
    <w:rPr>
      <w:rFonts w:eastAsiaTheme="minorHAnsi"/>
      <w:b/>
      <w:szCs w:val="22"/>
      <w:lang w:eastAsia="en-US"/>
    </w:rPr>
  </w:style>
  <w:style w:type="paragraph" w:customStyle="1" w:styleId="FooterCoverPage">
    <w:name w:val="Footer Cover Page"/>
    <w:basedOn w:val="Normal"/>
    <w:link w:val="FooterCoverPageChar"/>
    <w:pPr>
      <w:shd w:val="clear" w:color="auto" w:fill="FFFFFF"/>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shd w:val="clear" w:color="auto" w:fill="FFFFFF"/>
      <w:lang w:eastAsia="en-GB"/>
    </w:rPr>
  </w:style>
  <w:style w:type="paragraph" w:customStyle="1" w:styleId="HeaderCoverPage">
    <w:name w:val="Header Cover Page"/>
    <w:basedOn w:val="Normal"/>
    <w:link w:val="HeaderCoverPageChar"/>
    <w:pPr>
      <w:shd w:val="clear" w:color="auto" w:fill="FFFFFF"/>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shd w:val="clear" w:color="auto" w:fill="FFFFFF"/>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7880">
      <w:bodyDiv w:val="1"/>
      <w:marLeft w:val="0"/>
      <w:marRight w:val="0"/>
      <w:marTop w:val="0"/>
      <w:marBottom w:val="0"/>
      <w:divBdr>
        <w:top w:val="none" w:sz="0" w:space="0" w:color="auto"/>
        <w:left w:val="none" w:sz="0" w:space="0" w:color="auto"/>
        <w:bottom w:val="none" w:sz="0" w:space="0" w:color="auto"/>
        <w:right w:val="none" w:sz="0" w:space="0" w:color="auto"/>
      </w:divBdr>
    </w:div>
    <w:div w:id="111244846">
      <w:bodyDiv w:val="1"/>
      <w:marLeft w:val="0"/>
      <w:marRight w:val="0"/>
      <w:marTop w:val="0"/>
      <w:marBottom w:val="0"/>
      <w:divBdr>
        <w:top w:val="none" w:sz="0" w:space="0" w:color="auto"/>
        <w:left w:val="none" w:sz="0" w:space="0" w:color="auto"/>
        <w:bottom w:val="none" w:sz="0" w:space="0" w:color="auto"/>
        <w:right w:val="none" w:sz="0" w:space="0" w:color="auto"/>
      </w:divBdr>
    </w:div>
    <w:div w:id="151876838">
      <w:bodyDiv w:val="1"/>
      <w:marLeft w:val="0"/>
      <w:marRight w:val="0"/>
      <w:marTop w:val="0"/>
      <w:marBottom w:val="0"/>
      <w:divBdr>
        <w:top w:val="none" w:sz="0" w:space="0" w:color="auto"/>
        <w:left w:val="none" w:sz="0" w:space="0" w:color="auto"/>
        <w:bottom w:val="none" w:sz="0" w:space="0" w:color="auto"/>
        <w:right w:val="none" w:sz="0" w:space="0" w:color="auto"/>
      </w:divBdr>
    </w:div>
    <w:div w:id="193084004">
      <w:bodyDiv w:val="1"/>
      <w:marLeft w:val="0"/>
      <w:marRight w:val="0"/>
      <w:marTop w:val="0"/>
      <w:marBottom w:val="0"/>
      <w:divBdr>
        <w:top w:val="none" w:sz="0" w:space="0" w:color="auto"/>
        <w:left w:val="none" w:sz="0" w:space="0" w:color="auto"/>
        <w:bottom w:val="none" w:sz="0" w:space="0" w:color="auto"/>
        <w:right w:val="none" w:sz="0" w:space="0" w:color="auto"/>
      </w:divBdr>
    </w:div>
    <w:div w:id="212471986">
      <w:bodyDiv w:val="1"/>
      <w:marLeft w:val="0"/>
      <w:marRight w:val="0"/>
      <w:marTop w:val="0"/>
      <w:marBottom w:val="0"/>
      <w:divBdr>
        <w:top w:val="none" w:sz="0" w:space="0" w:color="auto"/>
        <w:left w:val="none" w:sz="0" w:space="0" w:color="auto"/>
        <w:bottom w:val="none" w:sz="0" w:space="0" w:color="auto"/>
        <w:right w:val="none" w:sz="0" w:space="0" w:color="auto"/>
      </w:divBdr>
    </w:div>
    <w:div w:id="263809225">
      <w:bodyDiv w:val="1"/>
      <w:marLeft w:val="0"/>
      <w:marRight w:val="0"/>
      <w:marTop w:val="0"/>
      <w:marBottom w:val="0"/>
      <w:divBdr>
        <w:top w:val="none" w:sz="0" w:space="0" w:color="auto"/>
        <w:left w:val="none" w:sz="0" w:space="0" w:color="auto"/>
        <w:bottom w:val="none" w:sz="0" w:space="0" w:color="auto"/>
        <w:right w:val="none" w:sz="0" w:space="0" w:color="auto"/>
      </w:divBdr>
    </w:div>
    <w:div w:id="352615756">
      <w:bodyDiv w:val="1"/>
      <w:marLeft w:val="0"/>
      <w:marRight w:val="0"/>
      <w:marTop w:val="0"/>
      <w:marBottom w:val="0"/>
      <w:divBdr>
        <w:top w:val="none" w:sz="0" w:space="0" w:color="auto"/>
        <w:left w:val="none" w:sz="0" w:space="0" w:color="auto"/>
        <w:bottom w:val="none" w:sz="0" w:space="0" w:color="auto"/>
        <w:right w:val="none" w:sz="0" w:space="0" w:color="auto"/>
      </w:divBdr>
    </w:div>
    <w:div w:id="362945112">
      <w:bodyDiv w:val="1"/>
      <w:marLeft w:val="0"/>
      <w:marRight w:val="0"/>
      <w:marTop w:val="0"/>
      <w:marBottom w:val="0"/>
      <w:divBdr>
        <w:top w:val="none" w:sz="0" w:space="0" w:color="auto"/>
        <w:left w:val="none" w:sz="0" w:space="0" w:color="auto"/>
        <w:bottom w:val="none" w:sz="0" w:space="0" w:color="auto"/>
        <w:right w:val="none" w:sz="0" w:space="0" w:color="auto"/>
      </w:divBdr>
    </w:div>
    <w:div w:id="500390394">
      <w:bodyDiv w:val="1"/>
      <w:marLeft w:val="0"/>
      <w:marRight w:val="0"/>
      <w:marTop w:val="0"/>
      <w:marBottom w:val="0"/>
      <w:divBdr>
        <w:top w:val="none" w:sz="0" w:space="0" w:color="auto"/>
        <w:left w:val="none" w:sz="0" w:space="0" w:color="auto"/>
        <w:bottom w:val="none" w:sz="0" w:space="0" w:color="auto"/>
        <w:right w:val="none" w:sz="0" w:space="0" w:color="auto"/>
      </w:divBdr>
    </w:div>
    <w:div w:id="503010242">
      <w:bodyDiv w:val="1"/>
      <w:marLeft w:val="0"/>
      <w:marRight w:val="0"/>
      <w:marTop w:val="0"/>
      <w:marBottom w:val="0"/>
      <w:divBdr>
        <w:top w:val="none" w:sz="0" w:space="0" w:color="auto"/>
        <w:left w:val="none" w:sz="0" w:space="0" w:color="auto"/>
        <w:bottom w:val="none" w:sz="0" w:space="0" w:color="auto"/>
        <w:right w:val="none" w:sz="0" w:space="0" w:color="auto"/>
      </w:divBdr>
    </w:div>
    <w:div w:id="591474133">
      <w:bodyDiv w:val="1"/>
      <w:marLeft w:val="0"/>
      <w:marRight w:val="0"/>
      <w:marTop w:val="0"/>
      <w:marBottom w:val="0"/>
      <w:divBdr>
        <w:top w:val="none" w:sz="0" w:space="0" w:color="auto"/>
        <w:left w:val="none" w:sz="0" w:space="0" w:color="auto"/>
        <w:bottom w:val="none" w:sz="0" w:space="0" w:color="auto"/>
        <w:right w:val="none" w:sz="0" w:space="0" w:color="auto"/>
      </w:divBdr>
    </w:div>
    <w:div w:id="639963066">
      <w:bodyDiv w:val="1"/>
      <w:marLeft w:val="0"/>
      <w:marRight w:val="0"/>
      <w:marTop w:val="0"/>
      <w:marBottom w:val="0"/>
      <w:divBdr>
        <w:top w:val="none" w:sz="0" w:space="0" w:color="auto"/>
        <w:left w:val="none" w:sz="0" w:space="0" w:color="auto"/>
        <w:bottom w:val="none" w:sz="0" w:space="0" w:color="auto"/>
        <w:right w:val="none" w:sz="0" w:space="0" w:color="auto"/>
      </w:divBdr>
    </w:div>
    <w:div w:id="783110119">
      <w:bodyDiv w:val="1"/>
      <w:marLeft w:val="0"/>
      <w:marRight w:val="0"/>
      <w:marTop w:val="0"/>
      <w:marBottom w:val="0"/>
      <w:divBdr>
        <w:top w:val="none" w:sz="0" w:space="0" w:color="auto"/>
        <w:left w:val="none" w:sz="0" w:space="0" w:color="auto"/>
        <w:bottom w:val="none" w:sz="0" w:space="0" w:color="auto"/>
        <w:right w:val="none" w:sz="0" w:space="0" w:color="auto"/>
      </w:divBdr>
    </w:div>
    <w:div w:id="796725172">
      <w:bodyDiv w:val="1"/>
      <w:marLeft w:val="0"/>
      <w:marRight w:val="0"/>
      <w:marTop w:val="0"/>
      <w:marBottom w:val="0"/>
      <w:divBdr>
        <w:top w:val="none" w:sz="0" w:space="0" w:color="auto"/>
        <w:left w:val="none" w:sz="0" w:space="0" w:color="auto"/>
        <w:bottom w:val="none" w:sz="0" w:space="0" w:color="auto"/>
        <w:right w:val="none" w:sz="0" w:space="0" w:color="auto"/>
      </w:divBdr>
    </w:div>
    <w:div w:id="825165067">
      <w:bodyDiv w:val="1"/>
      <w:marLeft w:val="0"/>
      <w:marRight w:val="0"/>
      <w:marTop w:val="0"/>
      <w:marBottom w:val="0"/>
      <w:divBdr>
        <w:top w:val="none" w:sz="0" w:space="0" w:color="auto"/>
        <w:left w:val="none" w:sz="0" w:space="0" w:color="auto"/>
        <w:bottom w:val="none" w:sz="0" w:space="0" w:color="auto"/>
        <w:right w:val="none" w:sz="0" w:space="0" w:color="auto"/>
      </w:divBdr>
    </w:div>
    <w:div w:id="878014758">
      <w:bodyDiv w:val="1"/>
      <w:marLeft w:val="0"/>
      <w:marRight w:val="0"/>
      <w:marTop w:val="0"/>
      <w:marBottom w:val="0"/>
      <w:divBdr>
        <w:top w:val="none" w:sz="0" w:space="0" w:color="auto"/>
        <w:left w:val="none" w:sz="0" w:space="0" w:color="auto"/>
        <w:bottom w:val="none" w:sz="0" w:space="0" w:color="auto"/>
        <w:right w:val="none" w:sz="0" w:space="0" w:color="auto"/>
      </w:divBdr>
    </w:div>
    <w:div w:id="905215377">
      <w:bodyDiv w:val="1"/>
      <w:marLeft w:val="0"/>
      <w:marRight w:val="0"/>
      <w:marTop w:val="0"/>
      <w:marBottom w:val="0"/>
      <w:divBdr>
        <w:top w:val="none" w:sz="0" w:space="0" w:color="auto"/>
        <w:left w:val="none" w:sz="0" w:space="0" w:color="auto"/>
        <w:bottom w:val="none" w:sz="0" w:space="0" w:color="auto"/>
        <w:right w:val="none" w:sz="0" w:space="0" w:color="auto"/>
      </w:divBdr>
    </w:div>
    <w:div w:id="955521451">
      <w:bodyDiv w:val="1"/>
      <w:marLeft w:val="0"/>
      <w:marRight w:val="0"/>
      <w:marTop w:val="0"/>
      <w:marBottom w:val="0"/>
      <w:divBdr>
        <w:top w:val="none" w:sz="0" w:space="0" w:color="auto"/>
        <w:left w:val="none" w:sz="0" w:space="0" w:color="auto"/>
        <w:bottom w:val="none" w:sz="0" w:space="0" w:color="auto"/>
        <w:right w:val="none" w:sz="0" w:space="0" w:color="auto"/>
      </w:divBdr>
    </w:div>
    <w:div w:id="1020426693">
      <w:bodyDiv w:val="1"/>
      <w:marLeft w:val="0"/>
      <w:marRight w:val="0"/>
      <w:marTop w:val="0"/>
      <w:marBottom w:val="0"/>
      <w:divBdr>
        <w:top w:val="none" w:sz="0" w:space="0" w:color="auto"/>
        <w:left w:val="none" w:sz="0" w:space="0" w:color="auto"/>
        <w:bottom w:val="none" w:sz="0" w:space="0" w:color="auto"/>
        <w:right w:val="none" w:sz="0" w:space="0" w:color="auto"/>
      </w:divBdr>
    </w:div>
    <w:div w:id="1147933539">
      <w:bodyDiv w:val="1"/>
      <w:marLeft w:val="0"/>
      <w:marRight w:val="0"/>
      <w:marTop w:val="0"/>
      <w:marBottom w:val="0"/>
      <w:divBdr>
        <w:top w:val="none" w:sz="0" w:space="0" w:color="auto"/>
        <w:left w:val="none" w:sz="0" w:space="0" w:color="auto"/>
        <w:bottom w:val="none" w:sz="0" w:space="0" w:color="auto"/>
        <w:right w:val="none" w:sz="0" w:space="0" w:color="auto"/>
      </w:divBdr>
    </w:div>
    <w:div w:id="1189485273">
      <w:bodyDiv w:val="1"/>
      <w:marLeft w:val="0"/>
      <w:marRight w:val="0"/>
      <w:marTop w:val="0"/>
      <w:marBottom w:val="0"/>
      <w:divBdr>
        <w:top w:val="none" w:sz="0" w:space="0" w:color="auto"/>
        <w:left w:val="none" w:sz="0" w:space="0" w:color="auto"/>
        <w:bottom w:val="none" w:sz="0" w:space="0" w:color="auto"/>
        <w:right w:val="none" w:sz="0" w:space="0" w:color="auto"/>
      </w:divBdr>
    </w:div>
    <w:div w:id="1195192014">
      <w:bodyDiv w:val="1"/>
      <w:marLeft w:val="0"/>
      <w:marRight w:val="0"/>
      <w:marTop w:val="0"/>
      <w:marBottom w:val="0"/>
      <w:divBdr>
        <w:top w:val="none" w:sz="0" w:space="0" w:color="auto"/>
        <w:left w:val="none" w:sz="0" w:space="0" w:color="auto"/>
        <w:bottom w:val="none" w:sz="0" w:space="0" w:color="auto"/>
        <w:right w:val="none" w:sz="0" w:space="0" w:color="auto"/>
      </w:divBdr>
    </w:div>
    <w:div w:id="1342513899">
      <w:bodyDiv w:val="1"/>
      <w:marLeft w:val="0"/>
      <w:marRight w:val="0"/>
      <w:marTop w:val="0"/>
      <w:marBottom w:val="0"/>
      <w:divBdr>
        <w:top w:val="none" w:sz="0" w:space="0" w:color="auto"/>
        <w:left w:val="none" w:sz="0" w:space="0" w:color="auto"/>
        <w:bottom w:val="none" w:sz="0" w:space="0" w:color="auto"/>
        <w:right w:val="none" w:sz="0" w:space="0" w:color="auto"/>
      </w:divBdr>
    </w:div>
    <w:div w:id="1659460579">
      <w:bodyDiv w:val="1"/>
      <w:marLeft w:val="0"/>
      <w:marRight w:val="0"/>
      <w:marTop w:val="0"/>
      <w:marBottom w:val="0"/>
      <w:divBdr>
        <w:top w:val="none" w:sz="0" w:space="0" w:color="auto"/>
        <w:left w:val="none" w:sz="0" w:space="0" w:color="auto"/>
        <w:bottom w:val="none" w:sz="0" w:space="0" w:color="auto"/>
        <w:right w:val="none" w:sz="0" w:space="0" w:color="auto"/>
      </w:divBdr>
    </w:div>
    <w:div w:id="1675061953">
      <w:bodyDiv w:val="1"/>
      <w:marLeft w:val="0"/>
      <w:marRight w:val="0"/>
      <w:marTop w:val="0"/>
      <w:marBottom w:val="0"/>
      <w:divBdr>
        <w:top w:val="none" w:sz="0" w:space="0" w:color="auto"/>
        <w:left w:val="none" w:sz="0" w:space="0" w:color="auto"/>
        <w:bottom w:val="none" w:sz="0" w:space="0" w:color="auto"/>
        <w:right w:val="none" w:sz="0" w:space="0" w:color="auto"/>
      </w:divBdr>
    </w:div>
    <w:div w:id="1686395803">
      <w:bodyDiv w:val="1"/>
      <w:marLeft w:val="0"/>
      <w:marRight w:val="0"/>
      <w:marTop w:val="0"/>
      <w:marBottom w:val="0"/>
      <w:divBdr>
        <w:top w:val="none" w:sz="0" w:space="0" w:color="auto"/>
        <w:left w:val="none" w:sz="0" w:space="0" w:color="auto"/>
        <w:bottom w:val="none" w:sz="0" w:space="0" w:color="auto"/>
        <w:right w:val="none" w:sz="0" w:space="0" w:color="auto"/>
      </w:divBdr>
    </w:div>
    <w:div w:id="1821379609">
      <w:bodyDiv w:val="1"/>
      <w:marLeft w:val="0"/>
      <w:marRight w:val="0"/>
      <w:marTop w:val="0"/>
      <w:marBottom w:val="0"/>
      <w:divBdr>
        <w:top w:val="none" w:sz="0" w:space="0" w:color="auto"/>
        <w:left w:val="none" w:sz="0" w:space="0" w:color="auto"/>
        <w:bottom w:val="none" w:sz="0" w:space="0" w:color="auto"/>
        <w:right w:val="none" w:sz="0" w:space="0" w:color="auto"/>
      </w:divBdr>
    </w:div>
    <w:div w:id="1969504596">
      <w:bodyDiv w:val="1"/>
      <w:marLeft w:val="0"/>
      <w:marRight w:val="0"/>
      <w:marTop w:val="0"/>
      <w:marBottom w:val="0"/>
      <w:divBdr>
        <w:top w:val="none" w:sz="0" w:space="0" w:color="auto"/>
        <w:left w:val="none" w:sz="0" w:space="0" w:color="auto"/>
        <w:bottom w:val="none" w:sz="0" w:space="0" w:color="auto"/>
        <w:right w:val="none" w:sz="0" w:space="0" w:color="auto"/>
      </w:divBdr>
    </w:div>
    <w:div w:id="1970357365">
      <w:bodyDiv w:val="1"/>
      <w:marLeft w:val="0"/>
      <w:marRight w:val="0"/>
      <w:marTop w:val="0"/>
      <w:marBottom w:val="0"/>
      <w:divBdr>
        <w:top w:val="none" w:sz="0" w:space="0" w:color="auto"/>
        <w:left w:val="none" w:sz="0" w:space="0" w:color="auto"/>
        <w:bottom w:val="none" w:sz="0" w:space="0" w:color="auto"/>
        <w:right w:val="none" w:sz="0" w:space="0" w:color="auto"/>
      </w:divBdr>
    </w:div>
    <w:div w:id="1974675045">
      <w:bodyDiv w:val="1"/>
      <w:marLeft w:val="0"/>
      <w:marRight w:val="0"/>
      <w:marTop w:val="0"/>
      <w:marBottom w:val="0"/>
      <w:divBdr>
        <w:top w:val="none" w:sz="0" w:space="0" w:color="auto"/>
        <w:left w:val="none" w:sz="0" w:space="0" w:color="auto"/>
        <w:bottom w:val="none" w:sz="0" w:space="0" w:color="auto"/>
        <w:right w:val="none" w:sz="0" w:space="0" w:color="auto"/>
      </w:divBdr>
    </w:div>
    <w:div w:id="2027099419">
      <w:bodyDiv w:val="1"/>
      <w:marLeft w:val="0"/>
      <w:marRight w:val="0"/>
      <w:marTop w:val="0"/>
      <w:marBottom w:val="0"/>
      <w:divBdr>
        <w:top w:val="none" w:sz="0" w:space="0" w:color="auto"/>
        <w:left w:val="none" w:sz="0" w:space="0" w:color="auto"/>
        <w:bottom w:val="none" w:sz="0" w:space="0" w:color="auto"/>
        <w:right w:val="none" w:sz="0" w:space="0" w:color="auto"/>
      </w:divBdr>
    </w:div>
    <w:div w:id="2041737343">
      <w:bodyDiv w:val="1"/>
      <w:marLeft w:val="0"/>
      <w:marRight w:val="0"/>
      <w:marTop w:val="0"/>
      <w:marBottom w:val="0"/>
      <w:divBdr>
        <w:top w:val="none" w:sz="0" w:space="0" w:color="auto"/>
        <w:left w:val="none" w:sz="0" w:space="0" w:color="auto"/>
        <w:bottom w:val="none" w:sz="0" w:space="0" w:color="auto"/>
        <w:right w:val="none" w:sz="0" w:space="0" w:color="auto"/>
      </w:divBdr>
    </w:div>
    <w:div w:id="2044404394">
      <w:bodyDiv w:val="1"/>
      <w:marLeft w:val="0"/>
      <w:marRight w:val="0"/>
      <w:marTop w:val="0"/>
      <w:marBottom w:val="0"/>
      <w:divBdr>
        <w:top w:val="none" w:sz="0" w:space="0" w:color="auto"/>
        <w:left w:val="none" w:sz="0" w:space="0" w:color="auto"/>
        <w:bottom w:val="none" w:sz="0" w:space="0" w:color="auto"/>
        <w:right w:val="none" w:sz="0" w:space="0" w:color="auto"/>
      </w:divBdr>
      <w:divsChild>
        <w:div w:id="457455506">
          <w:marLeft w:val="0"/>
          <w:marRight w:val="0"/>
          <w:marTop w:val="0"/>
          <w:marBottom w:val="0"/>
          <w:divBdr>
            <w:top w:val="none" w:sz="0" w:space="0" w:color="auto"/>
            <w:left w:val="none" w:sz="0" w:space="0" w:color="auto"/>
            <w:bottom w:val="none" w:sz="0" w:space="0" w:color="auto"/>
            <w:right w:val="none" w:sz="0" w:space="0" w:color="auto"/>
          </w:divBdr>
          <w:divsChild>
            <w:div w:id="2012415277">
              <w:marLeft w:val="0"/>
              <w:marRight w:val="0"/>
              <w:marTop w:val="0"/>
              <w:marBottom w:val="0"/>
              <w:divBdr>
                <w:top w:val="none" w:sz="0" w:space="0" w:color="auto"/>
                <w:left w:val="none" w:sz="0" w:space="0" w:color="auto"/>
                <w:bottom w:val="none" w:sz="0" w:space="0" w:color="auto"/>
                <w:right w:val="none" w:sz="0" w:space="0" w:color="auto"/>
              </w:divBdr>
              <w:divsChild>
                <w:div w:id="195965922">
                  <w:marLeft w:val="0"/>
                  <w:marRight w:val="0"/>
                  <w:marTop w:val="0"/>
                  <w:marBottom w:val="0"/>
                  <w:divBdr>
                    <w:top w:val="none" w:sz="0" w:space="0" w:color="auto"/>
                    <w:left w:val="none" w:sz="0" w:space="0" w:color="auto"/>
                    <w:bottom w:val="none" w:sz="0" w:space="0" w:color="auto"/>
                    <w:right w:val="none" w:sz="0" w:space="0" w:color="auto"/>
                  </w:divBdr>
                  <w:divsChild>
                    <w:div w:id="1803889170">
                      <w:marLeft w:val="0"/>
                      <w:marRight w:val="0"/>
                      <w:marTop w:val="0"/>
                      <w:marBottom w:val="0"/>
                      <w:divBdr>
                        <w:top w:val="none" w:sz="0" w:space="0" w:color="auto"/>
                        <w:left w:val="none" w:sz="0" w:space="0" w:color="auto"/>
                        <w:bottom w:val="none" w:sz="0" w:space="0" w:color="auto"/>
                        <w:right w:val="none" w:sz="0" w:space="0" w:color="auto"/>
                      </w:divBdr>
                      <w:divsChild>
                        <w:div w:id="19875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147563">
      <w:bodyDiv w:val="1"/>
      <w:marLeft w:val="0"/>
      <w:marRight w:val="0"/>
      <w:marTop w:val="0"/>
      <w:marBottom w:val="0"/>
      <w:divBdr>
        <w:top w:val="none" w:sz="0" w:space="0" w:color="auto"/>
        <w:left w:val="none" w:sz="0" w:space="0" w:color="auto"/>
        <w:bottom w:val="none" w:sz="0" w:space="0" w:color="auto"/>
        <w:right w:val="none" w:sz="0" w:space="0" w:color="auto"/>
      </w:divBdr>
    </w:div>
    <w:div w:id="2123186428">
      <w:bodyDiv w:val="1"/>
      <w:marLeft w:val="0"/>
      <w:marRight w:val="0"/>
      <w:marTop w:val="0"/>
      <w:marBottom w:val="0"/>
      <w:divBdr>
        <w:top w:val="none" w:sz="0" w:space="0" w:color="auto"/>
        <w:left w:val="none" w:sz="0" w:space="0" w:color="auto"/>
        <w:bottom w:val="none" w:sz="0" w:space="0" w:color="auto"/>
        <w:right w:val="none" w:sz="0" w:space="0" w:color="auto"/>
      </w:divBdr>
    </w:div>
    <w:div w:id="21298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e25d37-605f-4245-92fc-f8432a5e87b7"/>
    <EC_Collab_Status xmlns="D1C3E2CF-3192-4F85-B9DD-1532715C63AE">Not Started</EC_Collab_Status>
    <EC_Collab_Reference xmlns="D1C3E2CF-3192-4F85-B9DD-1532715C63AE" xsi:nil="true"/>
    <EC_Collab_DocumentLanguage xmlns="D1C3E2CF-3192-4F85-B9DD-1532715C63AE">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F532693CBB0F6469983882F11B32BBA" ma:contentTypeVersion="0" ma:contentTypeDescription="Create a new document in this library." ma:contentTypeScope="" ma:versionID="634272f1a6dcc25d4ef7a840356afe54">
  <xsd:schema xmlns:xsd="http://www.w3.org/2001/XMLSchema" xmlns:xs="http://www.w3.org/2001/XMLSchema" xmlns:p="http://schemas.microsoft.com/office/2006/metadata/properties" xmlns:ns3="D1C3E2CF-3192-4F85-B9DD-1532715C63AE" xmlns:ns4="a9e25d37-605f-4245-92fc-f8432a5e87b7" targetNamespace="http://schemas.microsoft.com/office/2006/metadata/properties" ma:root="true" ma:fieldsID="ee7008bb758b2b8671a02fcb7974be6a" ns3:_="" ns4:_="">
    <xsd:import namespace="D1C3E2CF-3192-4F85-B9DD-1532715C63AE"/>
    <xsd:import namespace="a9e25d37-605f-4245-92fc-f8432a5e87b7"/>
    <xsd:element name="properties">
      <xsd:complexType>
        <xsd:sequence>
          <xsd:element name="documentManagement">
            <xsd:complexType>
              <xsd:all>
                <xsd:element ref="ns3:EC_Collab_Reference" minOccurs="0"/>
                <xsd:element ref="ns3:EC_Collab_DocumentLanguage"/>
                <xsd:element ref="ns3:EC_Collab_Status"/>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3E2CF-3192-4F85-B9DD-1532715C63A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9e25d37-605f-4245-92fc-f8432a5e87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1f855e-bae2-4659-bbcd-20d4b0c977a0}" ma:internalName="TaxCatchAll" ma:showField="CatchAllData" ma:web="a9e25d37-605f-4245-92fc-f8432a5e8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D940-B806-4B81-9291-875CC3ECDFDA}">
  <ds:schemaRefs>
    <ds:schemaRef ds:uri="http://schemas.microsoft.com/office/2006/documentManagement/types"/>
    <ds:schemaRef ds:uri="http://purl.org/dc/dcmitype/"/>
    <ds:schemaRef ds:uri="a9e25d37-605f-4245-92fc-f8432a5e87b7"/>
    <ds:schemaRef ds:uri="http://schemas.microsoft.com/office/2006/metadata/properties"/>
    <ds:schemaRef ds:uri="D1C3E2CF-3192-4F85-B9DD-1532715C63A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D4DE3F2-6A0A-40D4-B827-E03568F79EAF}">
  <ds:schemaRefs>
    <ds:schemaRef ds:uri="http://schemas.microsoft.com/sharepoint/v3/contenttype/forms"/>
  </ds:schemaRefs>
</ds:datastoreItem>
</file>

<file path=customXml/itemProps3.xml><?xml version="1.0" encoding="utf-8"?>
<ds:datastoreItem xmlns:ds="http://schemas.openxmlformats.org/officeDocument/2006/customXml" ds:itemID="{251B4000-A5BB-4366-9C6C-40E7175F1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3E2CF-3192-4F85-B9DD-1532715C63AE"/>
    <ds:schemaRef ds:uri="a9e25d37-605f-4245-92fc-f8432a5e8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4D081-0E30-4129-B824-E7DFBA65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8698</Words>
  <Characters>43927</Characters>
  <Application>Microsoft Office Word</Application>
  <DocSecurity>0</DocSecurity>
  <Lines>3660</Lines>
  <Paragraphs>3095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2018-05-18T09:00:00Z</cp:lastPrinted>
  <dcterms:created xsi:type="dcterms:W3CDTF">2018-09-18T09:51:00Z</dcterms:created>
  <dcterms:modified xsi:type="dcterms:W3CDTF">2018-10-11T10:44:00Z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0x010100258AA79CEB83498886A3A08681123250006F532693CBB0F6469983882F11B32BBA</vt:lpwstr>
  </property>
  <property fmtid="{D5CDD505-2E9C-101B-9397-08002B2CF9AE}" pid="7" name="Last edited using">
    <vt:lpwstr>LW 6.0.1, Build 20180503</vt:lpwstr>
  </property>
</Properties>
</file>