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14FD84A-4DB8-48BA-9FF6-1498FE2A9F19" style="width:450.25pt;height:379.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bCs/>
          <w:noProof/>
          <w:u w:val="single"/>
        </w:rPr>
        <w:lastRenderedPageBreak/>
        <w:t>ANNEX 2</w:t>
      </w:r>
      <w:r>
        <w:rPr>
          <w:b/>
          <w:bCs/>
          <w:noProof/>
          <w:u w:val="single"/>
        </w:rPr>
        <w:noBreakHyphen/>
        <w:t>A</w:t>
      </w:r>
    </w:p>
    <w:p>
      <w:pPr>
        <w:rPr>
          <w:noProof/>
        </w:rPr>
      </w:pPr>
    </w:p>
    <w:p>
      <w:pPr>
        <w:rPr>
          <w:noProof/>
        </w:rPr>
      </w:pPr>
    </w:p>
    <w:p>
      <w:pPr>
        <w:jc w:val="center"/>
        <w:rPr>
          <w:noProof/>
        </w:rPr>
      </w:pPr>
      <w:r>
        <w:rPr>
          <w:noProof/>
        </w:rPr>
        <w:t>Reduction or Elimination of Customs Duties</w:t>
      </w:r>
    </w:p>
    <w:p>
      <w:pPr>
        <w:rPr>
          <w:noProof/>
        </w:rPr>
      </w:pPr>
    </w:p>
    <w:p>
      <w:pPr>
        <w:rPr>
          <w:noProof/>
        </w:rPr>
      </w:pPr>
    </w:p>
    <w:p>
      <w:pPr>
        <w:jc w:val="center"/>
        <w:rPr>
          <w:noProof/>
        </w:rPr>
      </w:pPr>
      <w:r>
        <w:rPr>
          <w:noProof/>
        </w:rPr>
        <w:t>SECTION A</w:t>
      </w:r>
    </w:p>
    <w:p>
      <w:pPr>
        <w:jc w:val="center"/>
        <w:rPr>
          <w:noProof/>
        </w:rPr>
      </w:pPr>
    </w:p>
    <w:p>
      <w:pPr>
        <w:jc w:val="center"/>
        <w:rPr>
          <w:noProof/>
        </w:rPr>
      </w:pPr>
      <w:r>
        <w:rPr>
          <w:noProof/>
        </w:rPr>
        <w:t>GENERAL PROVISIONS</w:t>
      </w:r>
    </w:p>
    <w:p>
      <w:pPr>
        <w:rPr>
          <w:noProof/>
        </w:rPr>
      </w:pPr>
    </w:p>
    <w:p>
      <w:pPr>
        <w:ind w:left="567" w:hanging="567"/>
        <w:rPr>
          <w:noProof/>
        </w:rPr>
      </w:pPr>
      <w:r>
        <w:rPr>
          <w:noProof/>
        </w:rPr>
        <w:t>1.</w:t>
      </w:r>
      <w:r>
        <w:rPr>
          <w:noProof/>
        </w:rPr>
        <w:tab/>
        <w:t>Except as otherwise provided for in a Party's Schedule to this Annex, the following staging categories apply pursuant to Article 2.7 (Reduction or Elimination of Customs Duties) to the reduction or elimination of customs duties on originating goods from the other Party included in Appendices 2</w:t>
      </w:r>
      <w:r>
        <w:rPr>
          <w:noProof/>
        </w:rPr>
        <w:noBreakHyphen/>
        <w:t>A</w:t>
      </w:r>
      <w:r>
        <w:rPr>
          <w:noProof/>
        </w:rPr>
        <w:noBreakHyphen/>
        <w:t>1 (Tariff Schedule of the Union) and 2</w:t>
      </w:r>
      <w:r>
        <w:rPr>
          <w:noProof/>
        </w:rPr>
        <w:noBreakHyphen/>
        <w:t>A</w:t>
      </w:r>
      <w:r>
        <w:rPr>
          <w:noProof/>
        </w:rPr>
        <w:noBreakHyphen/>
        <w:t>2 (Tariff Schedule of Viet Nam):</w:t>
      </w:r>
    </w:p>
    <w:p>
      <w:pPr>
        <w:ind w:left="1134" w:hanging="567"/>
        <w:rPr>
          <w:noProof/>
        </w:rPr>
      </w:pPr>
    </w:p>
    <w:p>
      <w:pPr>
        <w:ind w:left="1134" w:hanging="567"/>
        <w:rPr>
          <w:noProof/>
        </w:rPr>
      </w:pPr>
      <w:r>
        <w:rPr>
          <w:noProof/>
        </w:rPr>
        <w:t>(a)</w:t>
      </w:r>
      <w:r>
        <w:rPr>
          <w:noProof/>
        </w:rPr>
        <w:tab/>
        <w:t>customs duties on originating goods provided for in the items in staging category "A" in a Party's Schedule shall be eliminated entirely and such goods shall be free of any customs duty from the date of entry into force of this Agreement;</w:t>
      </w:r>
    </w:p>
    <w:p>
      <w:pPr>
        <w:ind w:left="1134" w:hanging="567"/>
        <w:rPr>
          <w:noProof/>
        </w:rPr>
      </w:pPr>
    </w:p>
    <w:p>
      <w:pPr>
        <w:ind w:left="1134" w:hanging="567"/>
        <w:rPr>
          <w:noProof/>
        </w:rPr>
      </w:pPr>
      <w:r>
        <w:rPr>
          <w:noProof/>
        </w:rPr>
        <w:br w:type="page"/>
        <w:t>(b)</w:t>
      </w:r>
      <w:r>
        <w:rPr>
          <w:noProof/>
        </w:rPr>
        <w:tab/>
        <w:t>customs duties on originating goods provided for in the items in staging category "B3" in a Party's Schedule shall be removed in four equal annual stages beginning on the date of entry into force of this Agreement, and such goods shall thereafter be free of any customs duty;</w:t>
      </w:r>
    </w:p>
    <w:p>
      <w:pPr>
        <w:ind w:left="1134" w:hanging="567"/>
        <w:rPr>
          <w:noProof/>
        </w:rPr>
      </w:pPr>
    </w:p>
    <w:p>
      <w:pPr>
        <w:ind w:left="1134" w:hanging="567"/>
        <w:rPr>
          <w:noProof/>
        </w:rPr>
      </w:pPr>
      <w:r>
        <w:rPr>
          <w:noProof/>
        </w:rPr>
        <w:t>(c)</w:t>
      </w:r>
      <w:r>
        <w:rPr>
          <w:noProof/>
        </w:rPr>
        <w:tab/>
        <w:t>customs duties on originating goods provided for in the items in staging category "B5" in a Party's Schedule shall be removed in six equal annual stages beginning on the date of entry into force of this Agreement, and such goods shall thereafter be free of any customs duty;</w:t>
      </w:r>
    </w:p>
    <w:p>
      <w:pPr>
        <w:ind w:left="1134" w:hanging="567"/>
        <w:rPr>
          <w:noProof/>
        </w:rPr>
      </w:pPr>
    </w:p>
    <w:p>
      <w:pPr>
        <w:ind w:left="1134" w:hanging="567"/>
        <w:rPr>
          <w:noProof/>
        </w:rPr>
      </w:pPr>
      <w:r>
        <w:rPr>
          <w:noProof/>
        </w:rPr>
        <w:t>(d)</w:t>
      </w:r>
      <w:r>
        <w:rPr>
          <w:noProof/>
        </w:rPr>
        <w:tab/>
        <w:t>customs duties on originating goods provided for in the items in staging category "B7" in a Party's Schedule shall be removed in eight equal annual stages beginning on the date of entry into force of this Agreement, and such goods shall thereafter be free of any customs duty;</w:t>
      </w:r>
    </w:p>
    <w:p>
      <w:pPr>
        <w:ind w:left="1134" w:hanging="567"/>
        <w:rPr>
          <w:noProof/>
        </w:rPr>
      </w:pPr>
    </w:p>
    <w:p>
      <w:pPr>
        <w:ind w:left="1134" w:hanging="567"/>
        <w:rPr>
          <w:noProof/>
        </w:rPr>
      </w:pPr>
      <w:r>
        <w:rPr>
          <w:noProof/>
        </w:rPr>
        <w:t>(f)</w:t>
      </w:r>
      <w:r>
        <w:rPr>
          <w:noProof/>
        </w:rPr>
        <w:tab/>
        <w:t>customs duties on originating goods provided for in the items in staging category "B9" in Viet Nam's Schedule shall be removed in 10 equal annual stages beginning on the date of entry into force of this Agreement, and such goods shall thereafter be free of any customs duty;</w:t>
      </w:r>
    </w:p>
    <w:p>
      <w:pPr>
        <w:ind w:left="1134" w:hanging="567"/>
        <w:rPr>
          <w:noProof/>
        </w:rPr>
      </w:pPr>
    </w:p>
    <w:p>
      <w:pPr>
        <w:ind w:left="1134" w:hanging="567"/>
        <w:rPr>
          <w:noProof/>
        </w:rPr>
      </w:pPr>
      <w:r>
        <w:rPr>
          <w:noProof/>
        </w:rPr>
        <w:br w:type="page"/>
        <w:t>(g)</w:t>
      </w:r>
      <w:r>
        <w:rPr>
          <w:noProof/>
        </w:rPr>
        <w:tab/>
        <w:t>customs duties on originating goods provided for in the items in staging category "B10" in a Party's Schedule shall be removed in 11 equal annual stages beginning on the date of entry into force of this Agreement, and such goods shall thereafter be free of any customs duty;</w:t>
      </w:r>
    </w:p>
    <w:p>
      <w:pPr>
        <w:ind w:left="1134" w:hanging="567"/>
        <w:rPr>
          <w:noProof/>
        </w:rPr>
      </w:pPr>
    </w:p>
    <w:p>
      <w:pPr>
        <w:ind w:left="1134" w:hanging="567"/>
        <w:rPr>
          <w:noProof/>
        </w:rPr>
      </w:pPr>
      <w:r>
        <w:rPr>
          <w:noProof/>
        </w:rPr>
        <w:t>(h)</w:t>
      </w:r>
      <w:r>
        <w:rPr>
          <w:noProof/>
        </w:rPr>
        <w:tab/>
        <w:t>customs duties on originating goods provided for in the items in staging category "B10*" in Viet Nam's Schedule shall be removed in 11 annual stages beginning on the date of entry into force of this Agreement, pursuant to the table below, and such goods shall thereafter be free of any customs duty;</w:t>
      </w:r>
    </w:p>
    <w:p>
      <w:pPr>
        <w:ind w:left="1134"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70"/>
        <w:gridCol w:w="770"/>
        <w:gridCol w:w="770"/>
        <w:gridCol w:w="771"/>
        <w:gridCol w:w="771"/>
        <w:gridCol w:w="771"/>
        <w:gridCol w:w="771"/>
        <w:gridCol w:w="771"/>
        <w:gridCol w:w="771"/>
        <w:gridCol w:w="771"/>
        <w:gridCol w:w="773"/>
      </w:tblGrid>
      <w:tr>
        <w:trPr>
          <w:trHeight w:val="227"/>
          <w:tblHeader/>
        </w:trPr>
        <w:tc>
          <w:tcPr>
            <w:tcW w:w="698" w:type="pct"/>
            <w:shd w:val="clear" w:color="auto" w:fill="auto"/>
            <w:vAlign w:val="center"/>
          </w:tcPr>
          <w:p>
            <w:pPr>
              <w:spacing w:before="60" w:after="60" w:line="240" w:lineRule="auto"/>
              <w:jc w:val="center"/>
              <w:rPr>
                <w:noProof/>
              </w:rPr>
            </w:pPr>
            <w:r>
              <w:rPr>
                <w:noProof/>
              </w:rPr>
              <w:t>Tariff code</w:t>
            </w:r>
          </w:p>
        </w:tc>
        <w:tc>
          <w:tcPr>
            <w:tcW w:w="4302" w:type="pct"/>
            <w:gridSpan w:val="11"/>
            <w:shd w:val="clear" w:color="auto" w:fill="auto"/>
            <w:vAlign w:val="center"/>
          </w:tcPr>
          <w:p>
            <w:pPr>
              <w:spacing w:before="60" w:after="60" w:line="240" w:lineRule="auto"/>
              <w:jc w:val="center"/>
              <w:rPr>
                <w:noProof/>
              </w:rPr>
            </w:pPr>
            <w:r>
              <w:rPr>
                <w:noProof/>
              </w:rPr>
              <w:t>Year</w:t>
            </w:r>
          </w:p>
        </w:tc>
      </w:tr>
      <w:tr>
        <w:trPr>
          <w:trHeight w:val="227"/>
          <w:tblHeader/>
        </w:trPr>
        <w:tc>
          <w:tcPr>
            <w:tcW w:w="698" w:type="pct"/>
            <w:shd w:val="clear" w:color="auto" w:fill="auto"/>
            <w:vAlign w:val="center"/>
          </w:tcPr>
          <w:p>
            <w:pPr>
              <w:spacing w:before="60" w:after="60" w:line="240" w:lineRule="auto"/>
              <w:jc w:val="center"/>
              <w:rPr>
                <w:noProof/>
              </w:rPr>
            </w:pPr>
            <w:r>
              <w:rPr>
                <w:noProof/>
              </w:rPr>
              <w:t>HS 2012</w:t>
            </w:r>
          </w:p>
        </w:tc>
        <w:tc>
          <w:tcPr>
            <w:tcW w:w="391" w:type="pct"/>
            <w:shd w:val="clear" w:color="auto" w:fill="auto"/>
            <w:vAlign w:val="center"/>
          </w:tcPr>
          <w:p>
            <w:pPr>
              <w:spacing w:before="60" w:after="60" w:line="240" w:lineRule="auto"/>
              <w:jc w:val="center"/>
              <w:rPr>
                <w:noProof/>
              </w:rPr>
            </w:pPr>
            <w:r>
              <w:rPr>
                <w:noProof/>
              </w:rPr>
              <w:t>1</w:t>
            </w:r>
          </w:p>
        </w:tc>
        <w:tc>
          <w:tcPr>
            <w:tcW w:w="391" w:type="pct"/>
            <w:shd w:val="clear" w:color="auto" w:fill="auto"/>
            <w:vAlign w:val="center"/>
          </w:tcPr>
          <w:p>
            <w:pPr>
              <w:spacing w:before="60" w:after="60" w:line="240" w:lineRule="auto"/>
              <w:jc w:val="center"/>
              <w:rPr>
                <w:noProof/>
              </w:rPr>
            </w:pPr>
            <w:r>
              <w:rPr>
                <w:noProof/>
              </w:rPr>
              <w:t>2</w:t>
            </w:r>
          </w:p>
        </w:tc>
        <w:tc>
          <w:tcPr>
            <w:tcW w:w="391" w:type="pct"/>
            <w:shd w:val="clear" w:color="auto" w:fill="auto"/>
            <w:vAlign w:val="center"/>
          </w:tcPr>
          <w:p>
            <w:pPr>
              <w:spacing w:before="60" w:after="60" w:line="240" w:lineRule="auto"/>
              <w:jc w:val="center"/>
              <w:rPr>
                <w:noProof/>
              </w:rPr>
            </w:pPr>
            <w:r>
              <w:rPr>
                <w:noProof/>
              </w:rPr>
              <w:t>3</w:t>
            </w:r>
          </w:p>
        </w:tc>
        <w:tc>
          <w:tcPr>
            <w:tcW w:w="391" w:type="pct"/>
            <w:shd w:val="clear" w:color="auto" w:fill="auto"/>
            <w:vAlign w:val="center"/>
          </w:tcPr>
          <w:p>
            <w:pPr>
              <w:spacing w:before="60" w:after="60" w:line="240" w:lineRule="auto"/>
              <w:jc w:val="center"/>
              <w:rPr>
                <w:noProof/>
              </w:rPr>
            </w:pPr>
            <w:r>
              <w:rPr>
                <w:noProof/>
              </w:rPr>
              <w:t>4</w:t>
            </w:r>
          </w:p>
        </w:tc>
        <w:tc>
          <w:tcPr>
            <w:tcW w:w="391" w:type="pct"/>
            <w:shd w:val="clear" w:color="auto" w:fill="auto"/>
            <w:vAlign w:val="center"/>
          </w:tcPr>
          <w:p>
            <w:pPr>
              <w:spacing w:before="60" w:after="60" w:line="240" w:lineRule="auto"/>
              <w:jc w:val="center"/>
              <w:rPr>
                <w:noProof/>
              </w:rPr>
            </w:pPr>
            <w:r>
              <w:rPr>
                <w:noProof/>
              </w:rPr>
              <w:t>5</w:t>
            </w:r>
          </w:p>
        </w:tc>
        <w:tc>
          <w:tcPr>
            <w:tcW w:w="391" w:type="pct"/>
            <w:shd w:val="clear" w:color="auto" w:fill="auto"/>
            <w:vAlign w:val="center"/>
          </w:tcPr>
          <w:p>
            <w:pPr>
              <w:spacing w:before="60" w:after="60" w:line="240" w:lineRule="auto"/>
              <w:jc w:val="center"/>
              <w:rPr>
                <w:noProof/>
              </w:rPr>
            </w:pPr>
            <w:r>
              <w:rPr>
                <w:noProof/>
              </w:rPr>
              <w:t>6</w:t>
            </w:r>
          </w:p>
        </w:tc>
        <w:tc>
          <w:tcPr>
            <w:tcW w:w="391" w:type="pct"/>
            <w:shd w:val="clear" w:color="auto" w:fill="auto"/>
            <w:vAlign w:val="center"/>
          </w:tcPr>
          <w:p>
            <w:pPr>
              <w:spacing w:before="60" w:after="60" w:line="240" w:lineRule="auto"/>
              <w:jc w:val="center"/>
              <w:rPr>
                <w:noProof/>
              </w:rPr>
            </w:pPr>
            <w:r>
              <w:rPr>
                <w:noProof/>
              </w:rPr>
              <w:t>7</w:t>
            </w:r>
          </w:p>
        </w:tc>
        <w:tc>
          <w:tcPr>
            <w:tcW w:w="391" w:type="pct"/>
            <w:shd w:val="clear" w:color="auto" w:fill="auto"/>
            <w:vAlign w:val="center"/>
          </w:tcPr>
          <w:p>
            <w:pPr>
              <w:spacing w:before="60" w:after="60" w:line="240" w:lineRule="auto"/>
              <w:jc w:val="center"/>
              <w:rPr>
                <w:noProof/>
              </w:rPr>
            </w:pPr>
            <w:r>
              <w:rPr>
                <w:noProof/>
              </w:rPr>
              <w:t>8</w:t>
            </w:r>
          </w:p>
        </w:tc>
        <w:tc>
          <w:tcPr>
            <w:tcW w:w="391" w:type="pct"/>
            <w:shd w:val="clear" w:color="auto" w:fill="auto"/>
            <w:vAlign w:val="center"/>
          </w:tcPr>
          <w:p>
            <w:pPr>
              <w:spacing w:before="60" w:after="60" w:line="240" w:lineRule="auto"/>
              <w:jc w:val="center"/>
              <w:rPr>
                <w:noProof/>
              </w:rPr>
            </w:pPr>
            <w:r>
              <w:rPr>
                <w:noProof/>
              </w:rPr>
              <w:t>9</w:t>
            </w:r>
          </w:p>
        </w:tc>
        <w:tc>
          <w:tcPr>
            <w:tcW w:w="391" w:type="pct"/>
            <w:shd w:val="clear" w:color="auto" w:fill="auto"/>
            <w:vAlign w:val="center"/>
          </w:tcPr>
          <w:p>
            <w:pPr>
              <w:spacing w:before="60" w:after="60" w:line="240" w:lineRule="auto"/>
              <w:jc w:val="center"/>
              <w:rPr>
                <w:noProof/>
              </w:rPr>
            </w:pPr>
            <w:r>
              <w:rPr>
                <w:noProof/>
              </w:rPr>
              <w:t>10</w:t>
            </w:r>
          </w:p>
        </w:tc>
        <w:tc>
          <w:tcPr>
            <w:tcW w:w="391" w:type="pct"/>
            <w:shd w:val="clear" w:color="auto" w:fill="auto"/>
            <w:vAlign w:val="center"/>
          </w:tcPr>
          <w:p>
            <w:pPr>
              <w:spacing w:before="60" w:after="60" w:line="240" w:lineRule="auto"/>
              <w:jc w:val="center"/>
              <w:rPr>
                <w:noProof/>
              </w:rPr>
            </w:pPr>
            <w:r>
              <w:rPr>
                <w:noProof/>
              </w:rPr>
              <w:t>11</w:t>
            </w:r>
          </w:p>
        </w:tc>
      </w:tr>
      <w:tr>
        <w:trPr>
          <w:trHeight w:val="227"/>
        </w:trPr>
        <w:tc>
          <w:tcPr>
            <w:tcW w:w="698" w:type="pct"/>
            <w:shd w:val="clear" w:color="auto" w:fill="auto"/>
          </w:tcPr>
          <w:p>
            <w:pPr>
              <w:spacing w:before="60" w:after="60" w:line="240" w:lineRule="auto"/>
              <w:rPr>
                <w:noProof/>
              </w:rPr>
            </w:pPr>
            <w:r>
              <w:rPr>
                <w:noProof/>
              </w:rPr>
              <w:t>2203.00.10</w:t>
            </w:r>
          </w:p>
          <w:p>
            <w:pPr>
              <w:spacing w:before="60" w:after="60" w:line="240" w:lineRule="auto"/>
              <w:rPr>
                <w:noProof/>
              </w:rPr>
            </w:pPr>
            <w:r>
              <w:rPr>
                <w:noProof/>
              </w:rPr>
              <w:t>2203.00.90</w:t>
            </w:r>
          </w:p>
        </w:tc>
        <w:tc>
          <w:tcPr>
            <w:tcW w:w="391" w:type="pct"/>
            <w:shd w:val="clear" w:color="auto" w:fill="auto"/>
            <w:vAlign w:val="center"/>
          </w:tcPr>
          <w:p>
            <w:pPr>
              <w:spacing w:before="60" w:after="60" w:line="240" w:lineRule="auto"/>
              <w:rPr>
                <w:noProof/>
              </w:rPr>
            </w:pPr>
            <w:r>
              <w:rPr>
                <w:noProof/>
              </w:rPr>
              <w:t>34 %</w:t>
            </w:r>
          </w:p>
        </w:tc>
        <w:tc>
          <w:tcPr>
            <w:tcW w:w="391" w:type="pct"/>
            <w:shd w:val="clear" w:color="auto" w:fill="auto"/>
            <w:vAlign w:val="center"/>
          </w:tcPr>
          <w:p>
            <w:pPr>
              <w:spacing w:before="60" w:after="60" w:line="240" w:lineRule="auto"/>
              <w:rPr>
                <w:noProof/>
              </w:rPr>
            </w:pPr>
            <w:r>
              <w:rPr>
                <w:noProof/>
              </w:rPr>
              <w:t>33 %</w:t>
            </w:r>
          </w:p>
        </w:tc>
        <w:tc>
          <w:tcPr>
            <w:tcW w:w="391" w:type="pct"/>
            <w:shd w:val="clear" w:color="auto" w:fill="auto"/>
            <w:vAlign w:val="center"/>
          </w:tcPr>
          <w:p>
            <w:pPr>
              <w:spacing w:before="60" w:after="60" w:line="240" w:lineRule="auto"/>
              <w:rPr>
                <w:noProof/>
              </w:rPr>
            </w:pPr>
            <w:r>
              <w:rPr>
                <w:noProof/>
              </w:rPr>
              <w:t>32 %</w:t>
            </w:r>
          </w:p>
        </w:tc>
        <w:tc>
          <w:tcPr>
            <w:tcW w:w="391" w:type="pct"/>
            <w:shd w:val="clear" w:color="auto" w:fill="auto"/>
            <w:vAlign w:val="center"/>
          </w:tcPr>
          <w:p>
            <w:pPr>
              <w:spacing w:before="60" w:after="60" w:line="240" w:lineRule="auto"/>
              <w:rPr>
                <w:noProof/>
              </w:rPr>
            </w:pPr>
            <w:r>
              <w:rPr>
                <w:noProof/>
              </w:rPr>
              <w:t>30 %</w:t>
            </w:r>
          </w:p>
        </w:tc>
        <w:tc>
          <w:tcPr>
            <w:tcW w:w="391" w:type="pct"/>
            <w:shd w:val="clear" w:color="auto" w:fill="auto"/>
            <w:vAlign w:val="center"/>
          </w:tcPr>
          <w:p>
            <w:pPr>
              <w:spacing w:before="60" w:after="60" w:line="240" w:lineRule="auto"/>
              <w:rPr>
                <w:noProof/>
              </w:rPr>
            </w:pPr>
            <w:r>
              <w:rPr>
                <w:noProof/>
              </w:rPr>
              <w:t>29 %</w:t>
            </w:r>
          </w:p>
        </w:tc>
        <w:tc>
          <w:tcPr>
            <w:tcW w:w="391" w:type="pct"/>
            <w:shd w:val="clear" w:color="auto" w:fill="auto"/>
            <w:vAlign w:val="center"/>
          </w:tcPr>
          <w:p>
            <w:pPr>
              <w:spacing w:before="60" w:after="60" w:line="240" w:lineRule="auto"/>
              <w:rPr>
                <w:noProof/>
              </w:rPr>
            </w:pPr>
            <w:r>
              <w:rPr>
                <w:noProof/>
              </w:rPr>
              <w:t>25 %</w:t>
            </w:r>
          </w:p>
        </w:tc>
        <w:tc>
          <w:tcPr>
            <w:tcW w:w="391" w:type="pct"/>
            <w:shd w:val="clear" w:color="auto" w:fill="auto"/>
            <w:vAlign w:val="center"/>
          </w:tcPr>
          <w:p>
            <w:pPr>
              <w:spacing w:before="60" w:after="60" w:line="240" w:lineRule="auto"/>
              <w:rPr>
                <w:noProof/>
              </w:rPr>
            </w:pPr>
            <w:r>
              <w:rPr>
                <w:noProof/>
              </w:rPr>
              <w:t>22 %</w:t>
            </w:r>
          </w:p>
        </w:tc>
        <w:tc>
          <w:tcPr>
            <w:tcW w:w="391" w:type="pct"/>
            <w:shd w:val="clear" w:color="auto" w:fill="auto"/>
            <w:vAlign w:val="center"/>
          </w:tcPr>
          <w:p>
            <w:pPr>
              <w:spacing w:before="60" w:after="60" w:line="240" w:lineRule="auto"/>
              <w:rPr>
                <w:noProof/>
              </w:rPr>
            </w:pPr>
            <w:r>
              <w:rPr>
                <w:noProof/>
              </w:rPr>
              <w:t>18 %</w:t>
            </w:r>
          </w:p>
        </w:tc>
        <w:tc>
          <w:tcPr>
            <w:tcW w:w="391" w:type="pct"/>
            <w:shd w:val="clear" w:color="auto" w:fill="auto"/>
            <w:vAlign w:val="center"/>
          </w:tcPr>
          <w:p>
            <w:pPr>
              <w:spacing w:before="60" w:after="60" w:line="240" w:lineRule="auto"/>
              <w:rPr>
                <w:noProof/>
              </w:rPr>
            </w:pPr>
            <w:r>
              <w:rPr>
                <w:noProof/>
              </w:rPr>
              <w:t>15 %</w:t>
            </w:r>
          </w:p>
        </w:tc>
        <w:tc>
          <w:tcPr>
            <w:tcW w:w="391" w:type="pct"/>
            <w:shd w:val="clear" w:color="auto" w:fill="auto"/>
            <w:vAlign w:val="center"/>
          </w:tcPr>
          <w:p>
            <w:pPr>
              <w:spacing w:before="60" w:after="60" w:line="240" w:lineRule="auto"/>
              <w:rPr>
                <w:noProof/>
              </w:rPr>
            </w:pPr>
            <w:r>
              <w:rPr>
                <w:noProof/>
              </w:rPr>
              <w:t>11 %</w:t>
            </w:r>
          </w:p>
        </w:tc>
        <w:tc>
          <w:tcPr>
            <w:tcW w:w="391" w:type="pct"/>
            <w:shd w:val="clear" w:color="auto" w:fill="auto"/>
            <w:vAlign w:val="center"/>
          </w:tcPr>
          <w:p>
            <w:pPr>
              <w:spacing w:before="60" w:after="60" w:line="240" w:lineRule="auto"/>
              <w:rPr>
                <w:noProof/>
              </w:rPr>
            </w:pPr>
            <w:r>
              <w:rPr>
                <w:noProof/>
              </w:rPr>
              <w:t>0 %</w:t>
            </w:r>
          </w:p>
        </w:tc>
      </w:tr>
    </w:tbl>
    <w:p>
      <w:pPr>
        <w:rPr>
          <w:noProof/>
        </w:rPr>
      </w:pPr>
    </w:p>
    <w:p>
      <w:pPr>
        <w:ind w:left="1134" w:hanging="567"/>
        <w:rPr>
          <w:noProof/>
        </w:rPr>
      </w:pPr>
      <w:r>
        <w:rPr>
          <w:noProof/>
        </w:rPr>
        <w:t>(i)</w:t>
      </w:r>
      <w:r>
        <w:rPr>
          <w:noProof/>
        </w:rPr>
        <w:tab/>
        <w:t>customs duties on originating goods provided for in the items in staging category "B10**" in Viet Nam's Schedule shall be removed in 11 annual stages beginning on the date of entry into force of this Agreement pursuant to the table below, and such goods shall thereafter be free of any customs duty;</w:t>
      </w:r>
    </w:p>
    <w:p>
      <w:pPr>
        <w:ind w:left="1134"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716"/>
        <w:gridCol w:w="716"/>
        <w:gridCol w:w="716"/>
        <w:gridCol w:w="716"/>
        <w:gridCol w:w="716"/>
        <w:gridCol w:w="716"/>
        <w:gridCol w:w="716"/>
        <w:gridCol w:w="661"/>
        <w:gridCol w:w="671"/>
        <w:gridCol w:w="671"/>
        <w:gridCol w:w="770"/>
        <w:gridCol w:w="774"/>
      </w:tblGrid>
      <w:tr>
        <w:trPr>
          <w:trHeight w:val="227"/>
          <w:tblHeader/>
        </w:trPr>
        <w:tc>
          <w:tcPr>
            <w:tcW w:w="625" w:type="pct"/>
            <w:shd w:val="clear" w:color="auto" w:fill="auto"/>
            <w:vAlign w:val="center"/>
          </w:tcPr>
          <w:p>
            <w:pPr>
              <w:pageBreakBefore/>
              <w:spacing w:before="60" w:after="60" w:line="240" w:lineRule="auto"/>
              <w:jc w:val="center"/>
              <w:rPr>
                <w:noProof/>
              </w:rPr>
            </w:pPr>
            <w:r>
              <w:rPr>
                <w:noProof/>
              </w:rPr>
              <w:t>Tariff code</w:t>
            </w:r>
          </w:p>
        </w:tc>
        <w:tc>
          <w:tcPr>
            <w:tcW w:w="365" w:type="pct"/>
            <w:vMerge w:val="restart"/>
            <w:vAlign w:val="center"/>
          </w:tcPr>
          <w:p>
            <w:pPr>
              <w:spacing w:before="60" w:after="60" w:line="240" w:lineRule="auto"/>
              <w:jc w:val="center"/>
              <w:rPr>
                <w:noProof/>
              </w:rPr>
            </w:pPr>
            <w:r>
              <w:rPr>
                <w:noProof/>
              </w:rPr>
              <w:t>Base rate</w:t>
            </w:r>
          </w:p>
        </w:tc>
        <w:tc>
          <w:tcPr>
            <w:tcW w:w="4010" w:type="pct"/>
            <w:gridSpan w:val="11"/>
            <w:shd w:val="clear" w:color="auto" w:fill="auto"/>
            <w:vAlign w:val="center"/>
          </w:tcPr>
          <w:p>
            <w:pPr>
              <w:spacing w:before="60" w:after="60" w:line="240" w:lineRule="auto"/>
              <w:jc w:val="center"/>
              <w:rPr>
                <w:noProof/>
              </w:rPr>
            </w:pPr>
            <w:r>
              <w:rPr>
                <w:noProof/>
              </w:rPr>
              <w:t>Year</w:t>
            </w:r>
          </w:p>
        </w:tc>
      </w:tr>
      <w:tr>
        <w:trPr>
          <w:trHeight w:val="227"/>
          <w:tblHeader/>
        </w:trPr>
        <w:tc>
          <w:tcPr>
            <w:tcW w:w="625" w:type="pct"/>
            <w:shd w:val="clear" w:color="auto" w:fill="auto"/>
            <w:vAlign w:val="center"/>
          </w:tcPr>
          <w:p>
            <w:pPr>
              <w:spacing w:before="60" w:after="60" w:line="240" w:lineRule="auto"/>
              <w:jc w:val="center"/>
              <w:rPr>
                <w:noProof/>
              </w:rPr>
            </w:pPr>
            <w:r>
              <w:rPr>
                <w:noProof/>
              </w:rPr>
              <w:t>HS 2012</w:t>
            </w:r>
          </w:p>
        </w:tc>
        <w:tc>
          <w:tcPr>
            <w:tcW w:w="365" w:type="pct"/>
            <w:vMerge/>
            <w:vAlign w:val="center"/>
          </w:tcPr>
          <w:p>
            <w:pPr>
              <w:spacing w:before="60" w:after="60" w:line="240" w:lineRule="auto"/>
              <w:jc w:val="center"/>
              <w:rPr>
                <w:noProof/>
              </w:rPr>
            </w:pPr>
          </w:p>
        </w:tc>
        <w:tc>
          <w:tcPr>
            <w:tcW w:w="360" w:type="pct"/>
            <w:shd w:val="clear" w:color="auto" w:fill="auto"/>
            <w:vAlign w:val="center"/>
          </w:tcPr>
          <w:p>
            <w:pPr>
              <w:spacing w:before="60" w:after="60" w:line="240" w:lineRule="auto"/>
              <w:jc w:val="center"/>
              <w:rPr>
                <w:noProof/>
              </w:rPr>
            </w:pPr>
            <w:r>
              <w:rPr>
                <w:noProof/>
              </w:rPr>
              <w:t>1</w:t>
            </w:r>
          </w:p>
        </w:tc>
        <w:tc>
          <w:tcPr>
            <w:tcW w:w="353" w:type="pct"/>
            <w:shd w:val="clear" w:color="auto" w:fill="auto"/>
            <w:vAlign w:val="center"/>
          </w:tcPr>
          <w:p>
            <w:pPr>
              <w:spacing w:before="60" w:after="60" w:line="240" w:lineRule="auto"/>
              <w:jc w:val="center"/>
              <w:rPr>
                <w:noProof/>
              </w:rPr>
            </w:pPr>
            <w:r>
              <w:rPr>
                <w:noProof/>
              </w:rPr>
              <w:t>2</w:t>
            </w:r>
          </w:p>
        </w:tc>
        <w:tc>
          <w:tcPr>
            <w:tcW w:w="353" w:type="pct"/>
            <w:shd w:val="clear" w:color="auto" w:fill="auto"/>
            <w:vAlign w:val="center"/>
          </w:tcPr>
          <w:p>
            <w:pPr>
              <w:spacing w:before="60" w:after="60" w:line="240" w:lineRule="auto"/>
              <w:jc w:val="center"/>
              <w:rPr>
                <w:noProof/>
              </w:rPr>
            </w:pPr>
            <w:r>
              <w:rPr>
                <w:noProof/>
              </w:rPr>
              <w:t>3</w:t>
            </w:r>
          </w:p>
        </w:tc>
        <w:tc>
          <w:tcPr>
            <w:tcW w:w="353" w:type="pct"/>
            <w:shd w:val="clear" w:color="auto" w:fill="auto"/>
            <w:vAlign w:val="center"/>
          </w:tcPr>
          <w:p>
            <w:pPr>
              <w:spacing w:before="60" w:after="60" w:line="240" w:lineRule="auto"/>
              <w:jc w:val="center"/>
              <w:rPr>
                <w:noProof/>
              </w:rPr>
            </w:pPr>
            <w:r>
              <w:rPr>
                <w:noProof/>
              </w:rPr>
              <w:t>4</w:t>
            </w:r>
          </w:p>
        </w:tc>
        <w:tc>
          <w:tcPr>
            <w:tcW w:w="376" w:type="pct"/>
            <w:shd w:val="clear" w:color="auto" w:fill="auto"/>
            <w:vAlign w:val="center"/>
          </w:tcPr>
          <w:p>
            <w:pPr>
              <w:spacing w:before="60" w:after="60" w:line="240" w:lineRule="auto"/>
              <w:jc w:val="center"/>
              <w:rPr>
                <w:noProof/>
              </w:rPr>
            </w:pPr>
            <w:r>
              <w:rPr>
                <w:noProof/>
              </w:rPr>
              <w:t>5</w:t>
            </w:r>
          </w:p>
        </w:tc>
        <w:tc>
          <w:tcPr>
            <w:tcW w:w="363" w:type="pct"/>
            <w:shd w:val="clear" w:color="auto" w:fill="auto"/>
            <w:vAlign w:val="center"/>
          </w:tcPr>
          <w:p>
            <w:pPr>
              <w:spacing w:before="60" w:after="60" w:line="240" w:lineRule="auto"/>
              <w:jc w:val="center"/>
              <w:rPr>
                <w:noProof/>
              </w:rPr>
            </w:pPr>
            <w:r>
              <w:rPr>
                <w:noProof/>
              </w:rPr>
              <w:t>6</w:t>
            </w:r>
          </w:p>
        </w:tc>
        <w:tc>
          <w:tcPr>
            <w:tcW w:w="350" w:type="pct"/>
            <w:shd w:val="clear" w:color="auto" w:fill="auto"/>
            <w:vAlign w:val="center"/>
          </w:tcPr>
          <w:p>
            <w:pPr>
              <w:spacing w:before="60" w:after="60" w:line="240" w:lineRule="auto"/>
              <w:jc w:val="center"/>
              <w:rPr>
                <w:noProof/>
              </w:rPr>
            </w:pPr>
            <w:r>
              <w:rPr>
                <w:noProof/>
              </w:rPr>
              <w:t>7</w:t>
            </w:r>
          </w:p>
        </w:tc>
        <w:tc>
          <w:tcPr>
            <w:tcW w:w="350" w:type="pct"/>
            <w:shd w:val="clear" w:color="auto" w:fill="auto"/>
            <w:vAlign w:val="center"/>
          </w:tcPr>
          <w:p>
            <w:pPr>
              <w:spacing w:before="60" w:after="60" w:line="240" w:lineRule="auto"/>
              <w:jc w:val="center"/>
              <w:rPr>
                <w:noProof/>
              </w:rPr>
            </w:pPr>
            <w:r>
              <w:rPr>
                <w:noProof/>
              </w:rPr>
              <w:t>8</w:t>
            </w:r>
          </w:p>
        </w:tc>
        <w:tc>
          <w:tcPr>
            <w:tcW w:w="350" w:type="pct"/>
            <w:shd w:val="clear" w:color="auto" w:fill="auto"/>
            <w:vAlign w:val="center"/>
          </w:tcPr>
          <w:p>
            <w:pPr>
              <w:spacing w:before="60" w:after="60" w:line="240" w:lineRule="auto"/>
              <w:jc w:val="center"/>
              <w:rPr>
                <w:noProof/>
              </w:rPr>
            </w:pPr>
            <w:r>
              <w:rPr>
                <w:noProof/>
              </w:rPr>
              <w:t>9</w:t>
            </w:r>
          </w:p>
        </w:tc>
        <w:tc>
          <w:tcPr>
            <w:tcW w:w="400" w:type="pct"/>
            <w:shd w:val="clear" w:color="auto" w:fill="auto"/>
            <w:vAlign w:val="center"/>
          </w:tcPr>
          <w:p>
            <w:pPr>
              <w:spacing w:before="60" w:after="60" w:line="240" w:lineRule="auto"/>
              <w:jc w:val="center"/>
              <w:rPr>
                <w:noProof/>
              </w:rPr>
            </w:pPr>
            <w:r>
              <w:rPr>
                <w:noProof/>
              </w:rPr>
              <w:t>10</w:t>
            </w:r>
          </w:p>
        </w:tc>
        <w:tc>
          <w:tcPr>
            <w:tcW w:w="400" w:type="pct"/>
            <w:shd w:val="clear" w:color="auto" w:fill="auto"/>
            <w:vAlign w:val="center"/>
          </w:tcPr>
          <w:p>
            <w:pPr>
              <w:spacing w:before="60" w:after="60" w:line="240" w:lineRule="auto"/>
              <w:jc w:val="center"/>
              <w:rPr>
                <w:noProof/>
              </w:rPr>
            </w:pPr>
            <w:r>
              <w:rPr>
                <w:noProof/>
              </w:rPr>
              <w:t>11</w:t>
            </w:r>
          </w:p>
        </w:tc>
      </w:tr>
      <w:tr>
        <w:trPr>
          <w:trHeight w:val="227"/>
        </w:trPr>
        <w:tc>
          <w:tcPr>
            <w:tcW w:w="625" w:type="pct"/>
            <w:shd w:val="clear" w:color="auto" w:fill="auto"/>
          </w:tcPr>
          <w:p>
            <w:pPr>
              <w:spacing w:before="60" w:after="60" w:line="240" w:lineRule="auto"/>
              <w:rPr>
                <w:noProof/>
              </w:rPr>
            </w:pPr>
            <w:r>
              <w:rPr>
                <w:noProof/>
              </w:rPr>
              <w:t>2710.12.11</w:t>
            </w:r>
          </w:p>
          <w:p>
            <w:pPr>
              <w:spacing w:before="60" w:after="60" w:line="240" w:lineRule="auto"/>
              <w:rPr>
                <w:noProof/>
              </w:rPr>
            </w:pPr>
            <w:r>
              <w:rPr>
                <w:noProof/>
              </w:rPr>
              <w:t>2710.12.12</w:t>
            </w:r>
          </w:p>
          <w:p>
            <w:pPr>
              <w:spacing w:before="60" w:after="60" w:line="240" w:lineRule="auto"/>
              <w:rPr>
                <w:noProof/>
              </w:rPr>
            </w:pPr>
            <w:r>
              <w:rPr>
                <w:noProof/>
              </w:rPr>
              <w:t>2710.12.13</w:t>
            </w:r>
          </w:p>
          <w:p>
            <w:pPr>
              <w:spacing w:before="60" w:after="60" w:line="240" w:lineRule="auto"/>
              <w:rPr>
                <w:noProof/>
              </w:rPr>
            </w:pPr>
            <w:r>
              <w:rPr>
                <w:noProof/>
              </w:rPr>
              <w:t>2710.12.14</w:t>
            </w:r>
          </w:p>
          <w:p>
            <w:pPr>
              <w:spacing w:before="60" w:after="60" w:line="240" w:lineRule="auto"/>
              <w:rPr>
                <w:noProof/>
              </w:rPr>
            </w:pPr>
            <w:r>
              <w:rPr>
                <w:noProof/>
              </w:rPr>
              <w:t>2710.12.15</w:t>
            </w:r>
          </w:p>
          <w:p>
            <w:pPr>
              <w:spacing w:before="60" w:after="60" w:line="240" w:lineRule="auto"/>
              <w:rPr>
                <w:noProof/>
              </w:rPr>
            </w:pPr>
            <w:r>
              <w:rPr>
                <w:noProof/>
              </w:rPr>
              <w:t>2710.12.16</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8 %</w:t>
            </w:r>
          </w:p>
        </w:tc>
        <w:tc>
          <w:tcPr>
            <w:tcW w:w="363" w:type="pct"/>
            <w:shd w:val="clear" w:color="auto" w:fill="auto"/>
          </w:tcPr>
          <w:p>
            <w:pPr>
              <w:spacing w:before="60" w:after="60" w:line="240" w:lineRule="auto"/>
              <w:rPr>
                <w:noProof/>
              </w:rPr>
            </w:pPr>
            <w:r>
              <w:rPr>
                <w:noProof/>
              </w:rPr>
              <w:t>8 %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2710.12.20</w:t>
            </w:r>
          </w:p>
        </w:tc>
        <w:tc>
          <w:tcPr>
            <w:tcW w:w="365" w:type="pct"/>
          </w:tcPr>
          <w:p>
            <w:pPr>
              <w:spacing w:before="60" w:after="60" w:line="240" w:lineRule="auto"/>
              <w:rPr>
                <w:noProof/>
              </w:rPr>
            </w:pPr>
            <w:r>
              <w:rPr>
                <w:noProof/>
              </w:rPr>
              <w:t>10 %</w:t>
            </w:r>
          </w:p>
        </w:tc>
        <w:tc>
          <w:tcPr>
            <w:tcW w:w="360" w:type="pct"/>
            <w:shd w:val="clear" w:color="auto" w:fill="auto"/>
          </w:tcPr>
          <w:p>
            <w:pPr>
              <w:spacing w:before="60" w:after="60" w:line="240" w:lineRule="auto"/>
              <w:rPr>
                <w:noProof/>
              </w:rPr>
            </w:pPr>
            <w:r>
              <w:rPr>
                <w:noProof/>
              </w:rPr>
              <w:t>10 %</w:t>
            </w:r>
          </w:p>
        </w:tc>
        <w:tc>
          <w:tcPr>
            <w:tcW w:w="353" w:type="pct"/>
            <w:shd w:val="clear" w:color="auto" w:fill="auto"/>
          </w:tcPr>
          <w:p>
            <w:pPr>
              <w:spacing w:before="60" w:after="60" w:line="240" w:lineRule="auto"/>
              <w:rPr>
                <w:noProof/>
              </w:rPr>
            </w:pPr>
            <w:r>
              <w:rPr>
                <w:noProof/>
              </w:rPr>
              <w:t>10 %</w:t>
            </w:r>
          </w:p>
        </w:tc>
        <w:tc>
          <w:tcPr>
            <w:tcW w:w="353" w:type="pct"/>
            <w:shd w:val="clear" w:color="auto" w:fill="auto"/>
          </w:tcPr>
          <w:p>
            <w:pPr>
              <w:spacing w:before="60" w:after="60" w:line="240" w:lineRule="auto"/>
              <w:rPr>
                <w:noProof/>
              </w:rPr>
            </w:pPr>
            <w:r>
              <w:rPr>
                <w:noProof/>
              </w:rPr>
              <w:t>10 %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2710.12.30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2710.12.40</w:t>
            </w:r>
          </w:p>
          <w:p>
            <w:pPr>
              <w:spacing w:before="60" w:after="60" w:line="240" w:lineRule="auto"/>
              <w:rPr>
                <w:noProof/>
              </w:rPr>
            </w:pPr>
            <w:r>
              <w:rPr>
                <w:noProof/>
              </w:rPr>
              <w:t>2710.12.50</w:t>
            </w:r>
          </w:p>
          <w:p>
            <w:pPr>
              <w:spacing w:before="60" w:after="60" w:line="240" w:lineRule="auto"/>
              <w:rPr>
                <w:noProof/>
              </w:rPr>
            </w:pPr>
            <w:r>
              <w:rPr>
                <w:noProof/>
              </w:rPr>
              <w:t>2710.12.60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17 %</w:t>
            </w:r>
          </w:p>
        </w:tc>
        <w:tc>
          <w:tcPr>
            <w:tcW w:w="353" w:type="pct"/>
            <w:shd w:val="clear" w:color="auto" w:fill="auto"/>
          </w:tcPr>
          <w:p>
            <w:pPr>
              <w:spacing w:before="60" w:after="60" w:line="240" w:lineRule="auto"/>
              <w:rPr>
                <w:noProof/>
              </w:rPr>
            </w:pPr>
            <w:r>
              <w:rPr>
                <w:noProof/>
              </w:rPr>
              <w:t>16 %</w:t>
            </w:r>
          </w:p>
        </w:tc>
        <w:tc>
          <w:tcPr>
            <w:tcW w:w="353" w:type="pct"/>
            <w:shd w:val="clear" w:color="auto" w:fill="auto"/>
          </w:tcPr>
          <w:p>
            <w:pPr>
              <w:spacing w:before="60" w:after="60" w:line="240" w:lineRule="auto"/>
              <w:rPr>
                <w:noProof/>
              </w:rPr>
            </w:pPr>
            <w:r>
              <w:rPr>
                <w:noProof/>
              </w:rPr>
              <w:t>14 %</w:t>
            </w:r>
          </w:p>
        </w:tc>
        <w:tc>
          <w:tcPr>
            <w:tcW w:w="353" w:type="pct"/>
            <w:shd w:val="clear" w:color="auto" w:fill="auto"/>
          </w:tcPr>
          <w:p>
            <w:pPr>
              <w:spacing w:before="60" w:after="60" w:line="240" w:lineRule="auto"/>
              <w:rPr>
                <w:noProof/>
              </w:rPr>
            </w:pPr>
            <w:r>
              <w:rPr>
                <w:noProof/>
              </w:rPr>
              <w:t>13 %</w:t>
            </w:r>
          </w:p>
        </w:tc>
        <w:tc>
          <w:tcPr>
            <w:tcW w:w="376" w:type="pct"/>
            <w:shd w:val="clear" w:color="auto" w:fill="auto"/>
          </w:tcPr>
          <w:p>
            <w:pPr>
              <w:spacing w:before="60" w:after="60" w:line="240" w:lineRule="auto"/>
              <w:rPr>
                <w:noProof/>
              </w:rPr>
            </w:pPr>
            <w:r>
              <w:rPr>
                <w:noProof/>
              </w:rPr>
              <w:t>11 %</w:t>
            </w:r>
          </w:p>
        </w:tc>
        <w:tc>
          <w:tcPr>
            <w:tcW w:w="363" w:type="pct"/>
            <w:shd w:val="clear" w:color="auto" w:fill="auto"/>
          </w:tcPr>
          <w:p>
            <w:pPr>
              <w:spacing w:before="60" w:after="60" w:line="240" w:lineRule="auto"/>
              <w:rPr>
                <w:noProof/>
              </w:rPr>
            </w:pPr>
            <w:r>
              <w:rPr>
                <w:noProof/>
              </w:rPr>
              <w:t>10 %</w:t>
            </w:r>
          </w:p>
        </w:tc>
        <w:tc>
          <w:tcPr>
            <w:tcW w:w="350" w:type="pct"/>
            <w:shd w:val="clear" w:color="auto" w:fill="auto"/>
          </w:tcPr>
          <w:p>
            <w:pPr>
              <w:spacing w:before="60" w:after="60" w:line="240" w:lineRule="auto"/>
              <w:rPr>
                <w:noProof/>
              </w:rPr>
            </w:pPr>
            <w:r>
              <w:rPr>
                <w:noProof/>
              </w:rPr>
              <w:t>8 %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2710.12.70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8 %</w:t>
            </w:r>
          </w:p>
        </w:tc>
        <w:tc>
          <w:tcPr>
            <w:tcW w:w="363" w:type="pct"/>
            <w:shd w:val="clear" w:color="auto" w:fill="auto"/>
          </w:tcPr>
          <w:p>
            <w:pPr>
              <w:spacing w:before="60" w:after="60" w:line="240" w:lineRule="auto"/>
              <w:rPr>
                <w:noProof/>
              </w:rPr>
            </w:pPr>
            <w:r>
              <w:rPr>
                <w:noProof/>
              </w:rPr>
              <w:t>8 %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2710.12.80</w:t>
            </w:r>
          </w:p>
          <w:p>
            <w:pPr>
              <w:spacing w:before="60" w:after="60" w:line="240" w:lineRule="auto"/>
              <w:rPr>
                <w:noProof/>
              </w:rPr>
            </w:pPr>
            <w:r>
              <w:rPr>
                <w:noProof/>
              </w:rPr>
              <w:t>2710.12.90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15 %</w:t>
            </w:r>
          </w:p>
        </w:tc>
        <w:tc>
          <w:tcPr>
            <w:tcW w:w="363" w:type="pct"/>
            <w:shd w:val="clear" w:color="auto" w:fill="auto"/>
          </w:tcPr>
          <w:p>
            <w:pPr>
              <w:spacing w:before="60" w:after="60" w:line="240" w:lineRule="auto"/>
              <w:rPr>
                <w:noProof/>
              </w:rPr>
            </w:pPr>
            <w:r>
              <w:rPr>
                <w:noProof/>
              </w:rPr>
              <w:t>10 %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2710.19.71</w:t>
            </w:r>
          </w:p>
          <w:p>
            <w:pPr>
              <w:spacing w:before="60" w:after="60" w:line="240" w:lineRule="auto"/>
              <w:rPr>
                <w:noProof/>
              </w:rPr>
            </w:pPr>
            <w:r>
              <w:rPr>
                <w:noProof/>
              </w:rPr>
              <w:t>2710.19.72</w:t>
            </w:r>
          </w:p>
        </w:tc>
        <w:tc>
          <w:tcPr>
            <w:tcW w:w="365" w:type="pct"/>
          </w:tcPr>
          <w:p>
            <w:pPr>
              <w:spacing w:before="60" w:after="60" w:line="240" w:lineRule="auto"/>
              <w:rPr>
                <w:noProof/>
              </w:rPr>
            </w:pPr>
            <w:r>
              <w:rPr>
                <w:noProof/>
              </w:rPr>
              <w:t>8 %</w:t>
            </w:r>
          </w:p>
        </w:tc>
        <w:tc>
          <w:tcPr>
            <w:tcW w:w="360"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2710.19.79</w:t>
            </w:r>
          </w:p>
          <w:p>
            <w:pPr>
              <w:spacing w:before="60" w:after="60" w:line="240" w:lineRule="auto"/>
              <w:rPr>
                <w:noProof/>
              </w:rPr>
            </w:pPr>
            <w:r>
              <w:rPr>
                <w:noProof/>
              </w:rPr>
              <w:t>2710.19.81</w:t>
            </w:r>
          </w:p>
          <w:p>
            <w:pPr>
              <w:spacing w:before="60" w:after="60" w:line="240" w:lineRule="auto"/>
              <w:rPr>
                <w:noProof/>
              </w:rPr>
            </w:pPr>
            <w:r>
              <w:rPr>
                <w:noProof/>
              </w:rPr>
              <w:t>2710.19.82</w:t>
            </w:r>
          </w:p>
          <w:p>
            <w:pPr>
              <w:spacing w:before="60" w:after="60" w:line="240" w:lineRule="auto"/>
              <w:rPr>
                <w:noProof/>
              </w:rPr>
            </w:pPr>
            <w:r>
              <w:rPr>
                <w:noProof/>
              </w:rPr>
              <w:t>2710.19.83</w:t>
            </w:r>
          </w:p>
        </w:tc>
        <w:tc>
          <w:tcPr>
            <w:tcW w:w="365" w:type="pct"/>
          </w:tcPr>
          <w:p>
            <w:pPr>
              <w:spacing w:before="60" w:after="60" w:line="240" w:lineRule="auto"/>
              <w:rPr>
                <w:noProof/>
              </w:rPr>
            </w:pPr>
            <w:r>
              <w:rPr>
                <w:noProof/>
              </w:rPr>
              <w:t>10 %</w:t>
            </w:r>
          </w:p>
        </w:tc>
        <w:tc>
          <w:tcPr>
            <w:tcW w:w="360" w:type="pct"/>
            <w:shd w:val="clear" w:color="auto" w:fill="auto"/>
          </w:tcPr>
          <w:p>
            <w:pPr>
              <w:spacing w:before="60" w:after="60" w:line="240" w:lineRule="auto"/>
              <w:rPr>
                <w:noProof/>
              </w:rPr>
            </w:pPr>
            <w:r>
              <w:rPr>
                <w:noProof/>
              </w:rPr>
              <w:t>9 %</w:t>
            </w:r>
          </w:p>
        </w:tc>
        <w:tc>
          <w:tcPr>
            <w:tcW w:w="353" w:type="pct"/>
            <w:shd w:val="clear" w:color="auto" w:fill="auto"/>
          </w:tcPr>
          <w:p>
            <w:pPr>
              <w:spacing w:before="60" w:after="60" w:line="240" w:lineRule="auto"/>
              <w:rPr>
                <w:noProof/>
              </w:rPr>
            </w:pPr>
            <w:r>
              <w:rPr>
                <w:noProof/>
              </w:rPr>
              <w:t>8 %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2710.20.00</w:t>
            </w:r>
          </w:p>
        </w:tc>
        <w:tc>
          <w:tcPr>
            <w:tcW w:w="365" w:type="pct"/>
          </w:tcPr>
          <w:p>
            <w:pPr>
              <w:spacing w:before="60" w:after="60" w:line="240" w:lineRule="auto"/>
              <w:rPr>
                <w:noProof/>
              </w:rPr>
            </w:pPr>
            <w:r>
              <w:rPr>
                <w:noProof/>
              </w:rPr>
              <w:t>7 %</w:t>
            </w:r>
          </w:p>
        </w:tc>
        <w:tc>
          <w:tcPr>
            <w:tcW w:w="360"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2710.91.00</w:t>
            </w:r>
          </w:p>
          <w:p>
            <w:pPr>
              <w:spacing w:before="60" w:after="60" w:line="240" w:lineRule="auto"/>
              <w:rPr>
                <w:noProof/>
              </w:rPr>
            </w:pPr>
            <w:r>
              <w:rPr>
                <w:noProof/>
              </w:rPr>
              <w:t>2710.99.00</w:t>
            </w:r>
          </w:p>
        </w:tc>
        <w:tc>
          <w:tcPr>
            <w:tcW w:w="365" w:type="pct"/>
          </w:tcPr>
          <w:p>
            <w:pPr>
              <w:spacing w:before="60" w:after="60" w:line="240" w:lineRule="auto"/>
              <w:rPr>
                <w:noProof/>
              </w:rPr>
            </w:pPr>
            <w:r>
              <w:rPr>
                <w:noProof/>
              </w:rPr>
              <w:t>40 %</w:t>
            </w:r>
          </w:p>
        </w:tc>
        <w:tc>
          <w:tcPr>
            <w:tcW w:w="360" w:type="pct"/>
            <w:shd w:val="clear" w:color="auto" w:fill="auto"/>
          </w:tcPr>
          <w:p>
            <w:pPr>
              <w:spacing w:before="60" w:after="60" w:line="240" w:lineRule="auto"/>
              <w:rPr>
                <w:noProof/>
              </w:rPr>
            </w:pPr>
            <w:r>
              <w:rPr>
                <w:noProof/>
              </w:rPr>
              <w:t>40 %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11 %</w:t>
            </w:r>
          </w:p>
        </w:tc>
        <w:tc>
          <w:tcPr>
            <w:tcW w:w="363" w:type="pct"/>
            <w:shd w:val="clear" w:color="auto" w:fill="auto"/>
          </w:tcPr>
          <w:p>
            <w:pPr>
              <w:spacing w:before="60" w:after="60" w:line="240" w:lineRule="auto"/>
              <w:rPr>
                <w:noProof/>
              </w:rPr>
            </w:pPr>
            <w:r>
              <w:rPr>
                <w:noProof/>
              </w:rPr>
              <w:t>9 %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bl>
    <w:p>
      <w:pPr>
        <w:rPr>
          <w:noProof/>
        </w:rPr>
      </w:pPr>
    </w:p>
    <w:p>
      <w:pPr>
        <w:ind w:left="1134" w:hanging="567"/>
        <w:rPr>
          <w:noProof/>
        </w:rPr>
      </w:pPr>
      <w:r>
        <w:rPr>
          <w:noProof/>
        </w:rPr>
        <w:br w:type="page"/>
        <w:t>(j)</w:t>
      </w:r>
      <w:r>
        <w:rPr>
          <w:noProof/>
        </w:rPr>
        <w:tab/>
        <w:t>customs duties on originating goods provided for in the items in staging category "B15" in Viet Nam's Schedule shall be removed in 16 equal annual stages beginning on the date of entry into force of this Agreement, and such goods shall thereafter be free of any customs duty;</w:t>
      </w:r>
    </w:p>
    <w:p>
      <w:pPr>
        <w:ind w:left="1134" w:hanging="567"/>
        <w:rPr>
          <w:noProof/>
        </w:rPr>
      </w:pPr>
    </w:p>
    <w:p>
      <w:pPr>
        <w:ind w:left="1134" w:hanging="567"/>
        <w:rPr>
          <w:noProof/>
        </w:rPr>
      </w:pPr>
      <w:r>
        <w:rPr>
          <w:noProof/>
        </w:rPr>
        <w:t>(k)</w:t>
      </w:r>
      <w:r>
        <w:rPr>
          <w:noProof/>
        </w:rPr>
        <w:tab/>
        <w:t>the ad valorem component of the customs duties on originating goods provided for in the items in staging category A+EP in the Union's Schedule shall be eliminated upon the date of entry into force of this Agreement; the tariff elimination applies to the ad valorem duty only; the specific duty resulting from the entry price system that the Union applies to certain fruits and vegetables in accordance with the Common Customs Tariff provided for in Commission Implementing Regulation (EU) No 543/2011 of 7 June 2011 laying down detailed rules for the application of Council Regulation (EC) No 1234/2007 in respect of the fruit and vegetables and processed fruit and vegetables sectors</w:t>
      </w:r>
      <w:r>
        <w:rPr>
          <w:rStyle w:val="FootnoteReference"/>
          <w:noProof/>
        </w:rPr>
        <w:footnoteReference w:id="1"/>
      </w:r>
      <w:r>
        <w:rPr>
          <w:noProof/>
        </w:rPr>
        <w:t xml:space="preserve"> shall be maintained;</w:t>
      </w:r>
    </w:p>
    <w:p>
      <w:pPr>
        <w:rPr>
          <w:noProof/>
        </w:rPr>
      </w:pPr>
    </w:p>
    <w:p>
      <w:pPr>
        <w:ind w:left="1134" w:hanging="567"/>
        <w:rPr>
          <w:noProof/>
        </w:rPr>
      </w:pPr>
      <w:r>
        <w:rPr>
          <w:noProof/>
        </w:rPr>
        <w:br w:type="page"/>
        <w:t>(l)</w:t>
      </w:r>
      <w:r>
        <w:rPr>
          <w:noProof/>
        </w:rPr>
        <w:tab/>
        <w:t>customs duties on originating goods provided for in the items in staging category "R75" in the Union's Schedule shall be applied pursuant to the table below:</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919"/>
      </w:tblGrid>
      <w:tr>
        <w:trPr>
          <w:trHeight w:val="227"/>
          <w:tblHeader/>
          <w:jc w:val="center"/>
        </w:trPr>
        <w:tc>
          <w:tcPr>
            <w:tcW w:w="2919" w:type="dxa"/>
            <w:shd w:val="clear" w:color="auto" w:fill="auto"/>
            <w:vAlign w:val="center"/>
          </w:tcPr>
          <w:p>
            <w:pPr>
              <w:spacing w:before="60" w:after="60" w:line="240" w:lineRule="auto"/>
              <w:jc w:val="center"/>
              <w:rPr>
                <w:noProof/>
              </w:rPr>
            </w:pPr>
            <w:r>
              <w:rPr>
                <w:noProof/>
              </w:rPr>
              <w:t>Year</w:t>
            </w:r>
          </w:p>
        </w:tc>
        <w:tc>
          <w:tcPr>
            <w:tcW w:w="2919" w:type="dxa"/>
            <w:shd w:val="clear" w:color="auto" w:fill="auto"/>
            <w:vAlign w:val="center"/>
          </w:tcPr>
          <w:p>
            <w:pPr>
              <w:spacing w:before="60" w:after="60" w:line="240" w:lineRule="auto"/>
              <w:jc w:val="center"/>
              <w:rPr>
                <w:noProof/>
              </w:rPr>
            </w:pPr>
            <w:r>
              <w:rPr>
                <w:noProof/>
              </w:rPr>
              <w:t>Customs duty</w:t>
            </w:r>
            <w:r>
              <w:rPr>
                <w:noProof/>
              </w:rPr>
              <w:br/>
              <w:t>(EUR / tonnes)</w:t>
            </w:r>
          </w:p>
        </w:tc>
      </w:tr>
      <w:tr>
        <w:trPr>
          <w:trHeight w:val="227"/>
          <w:jc w:val="center"/>
        </w:trPr>
        <w:tc>
          <w:tcPr>
            <w:tcW w:w="2919" w:type="dxa"/>
            <w:shd w:val="clear" w:color="auto" w:fill="auto"/>
          </w:tcPr>
          <w:p>
            <w:pPr>
              <w:spacing w:before="60" w:after="60" w:line="240" w:lineRule="auto"/>
              <w:rPr>
                <w:noProof/>
              </w:rPr>
            </w:pPr>
            <w:r>
              <w:rPr>
                <w:noProof/>
              </w:rPr>
              <w:t>2016</w:t>
            </w:r>
          </w:p>
        </w:tc>
        <w:tc>
          <w:tcPr>
            <w:tcW w:w="2919" w:type="dxa"/>
            <w:shd w:val="clear" w:color="auto" w:fill="auto"/>
          </w:tcPr>
          <w:p>
            <w:pPr>
              <w:spacing w:before="60" w:after="60" w:line="240" w:lineRule="auto"/>
              <w:rPr>
                <w:noProof/>
              </w:rPr>
            </w:pPr>
            <w:r>
              <w:rPr>
                <w:noProof/>
              </w:rPr>
              <w:t>120</w:t>
            </w:r>
          </w:p>
        </w:tc>
      </w:tr>
      <w:tr>
        <w:trPr>
          <w:trHeight w:val="227"/>
          <w:jc w:val="center"/>
        </w:trPr>
        <w:tc>
          <w:tcPr>
            <w:tcW w:w="2919" w:type="dxa"/>
            <w:shd w:val="clear" w:color="auto" w:fill="auto"/>
          </w:tcPr>
          <w:p>
            <w:pPr>
              <w:spacing w:before="60" w:after="60" w:line="240" w:lineRule="auto"/>
              <w:rPr>
                <w:noProof/>
              </w:rPr>
            </w:pPr>
            <w:r>
              <w:rPr>
                <w:noProof/>
              </w:rPr>
              <w:t>2017</w:t>
            </w:r>
          </w:p>
        </w:tc>
        <w:tc>
          <w:tcPr>
            <w:tcW w:w="2919" w:type="dxa"/>
            <w:shd w:val="clear" w:color="auto" w:fill="auto"/>
          </w:tcPr>
          <w:p>
            <w:pPr>
              <w:spacing w:before="60" w:after="60" w:line="240" w:lineRule="auto"/>
              <w:rPr>
                <w:noProof/>
              </w:rPr>
            </w:pPr>
            <w:r>
              <w:rPr>
                <w:noProof/>
              </w:rPr>
              <w:t>115</w:t>
            </w:r>
          </w:p>
        </w:tc>
      </w:tr>
      <w:tr>
        <w:trPr>
          <w:trHeight w:val="227"/>
          <w:jc w:val="center"/>
        </w:trPr>
        <w:tc>
          <w:tcPr>
            <w:tcW w:w="2919" w:type="dxa"/>
            <w:shd w:val="clear" w:color="auto" w:fill="auto"/>
          </w:tcPr>
          <w:p>
            <w:pPr>
              <w:spacing w:before="60" w:after="60" w:line="240" w:lineRule="auto"/>
              <w:rPr>
                <w:noProof/>
              </w:rPr>
            </w:pPr>
            <w:r>
              <w:rPr>
                <w:noProof/>
              </w:rPr>
              <w:t>2018</w:t>
            </w:r>
          </w:p>
        </w:tc>
        <w:tc>
          <w:tcPr>
            <w:tcW w:w="2919" w:type="dxa"/>
            <w:shd w:val="clear" w:color="auto" w:fill="auto"/>
          </w:tcPr>
          <w:p>
            <w:pPr>
              <w:spacing w:before="60" w:after="60" w:line="240" w:lineRule="auto"/>
              <w:rPr>
                <w:noProof/>
              </w:rPr>
            </w:pPr>
            <w:r>
              <w:rPr>
                <w:noProof/>
              </w:rPr>
              <w:t>110</w:t>
            </w:r>
          </w:p>
        </w:tc>
      </w:tr>
      <w:tr>
        <w:trPr>
          <w:trHeight w:val="227"/>
          <w:jc w:val="center"/>
        </w:trPr>
        <w:tc>
          <w:tcPr>
            <w:tcW w:w="2919" w:type="dxa"/>
            <w:shd w:val="clear" w:color="auto" w:fill="auto"/>
          </w:tcPr>
          <w:p>
            <w:pPr>
              <w:spacing w:before="60" w:after="60" w:line="240" w:lineRule="auto"/>
              <w:rPr>
                <w:noProof/>
              </w:rPr>
            </w:pPr>
            <w:r>
              <w:rPr>
                <w:noProof/>
              </w:rPr>
              <w:t>2019</w:t>
            </w:r>
          </w:p>
        </w:tc>
        <w:tc>
          <w:tcPr>
            <w:tcW w:w="2919" w:type="dxa"/>
            <w:shd w:val="clear" w:color="auto" w:fill="auto"/>
          </w:tcPr>
          <w:p>
            <w:pPr>
              <w:spacing w:before="60" w:after="60" w:line="240" w:lineRule="auto"/>
              <w:rPr>
                <w:noProof/>
              </w:rPr>
            </w:pPr>
            <w:r>
              <w:rPr>
                <w:noProof/>
              </w:rPr>
              <w:t>105</w:t>
            </w:r>
          </w:p>
        </w:tc>
      </w:tr>
      <w:tr>
        <w:trPr>
          <w:trHeight w:val="227"/>
          <w:jc w:val="center"/>
        </w:trPr>
        <w:tc>
          <w:tcPr>
            <w:tcW w:w="2919" w:type="dxa"/>
            <w:shd w:val="clear" w:color="auto" w:fill="auto"/>
          </w:tcPr>
          <w:p>
            <w:pPr>
              <w:spacing w:before="60" w:after="60" w:line="240" w:lineRule="auto"/>
              <w:rPr>
                <w:noProof/>
              </w:rPr>
            </w:pPr>
            <w:r>
              <w:rPr>
                <w:noProof/>
              </w:rPr>
              <w:t>2020</w:t>
            </w:r>
          </w:p>
        </w:tc>
        <w:tc>
          <w:tcPr>
            <w:tcW w:w="2919" w:type="dxa"/>
            <w:shd w:val="clear" w:color="auto" w:fill="auto"/>
          </w:tcPr>
          <w:p>
            <w:pPr>
              <w:spacing w:before="60" w:after="60" w:line="240" w:lineRule="auto"/>
              <w:rPr>
                <w:noProof/>
              </w:rPr>
            </w:pPr>
            <w:r>
              <w:rPr>
                <w:noProof/>
              </w:rPr>
              <w:t>100</w:t>
            </w:r>
          </w:p>
        </w:tc>
      </w:tr>
      <w:tr>
        <w:trPr>
          <w:trHeight w:val="227"/>
          <w:jc w:val="center"/>
        </w:trPr>
        <w:tc>
          <w:tcPr>
            <w:tcW w:w="2919" w:type="dxa"/>
            <w:shd w:val="clear" w:color="auto" w:fill="auto"/>
          </w:tcPr>
          <w:p>
            <w:pPr>
              <w:spacing w:before="60" w:after="60" w:line="240" w:lineRule="auto"/>
              <w:rPr>
                <w:noProof/>
              </w:rPr>
            </w:pPr>
            <w:r>
              <w:rPr>
                <w:noProof/>
              </w:rPr>
              <w:t>2021</w:t>
            </w:r>
          </w:p>
        </w:tc>
        <w:tc>
          <w:tcPr>
            <w:tcW w:w="2919" w:type="dxa"/>
            <w:shd w:val="clear" w:color="auto" w:fill="auto"/>
          </w:tcPr>
          <w:p>
            <w:pPr>
              <w:spacing w:before="60" w:after="60" w:line="240" w:lineRule="auto"/>
              <w:rPr>
                <w:noProof/>
              </w:rPr>
            </w:pPr>
            <w:r>
              <w:rPr>
                <w:noProof/>
              </w:rPr>
              <w:t>95</w:t>
            </w:r>
          </w:p>
        </w:tc>
      </w:tr>
      <w:tr>
        <w:trPr>
          <w:trHeight w:val="227"/>
          <w:jc w:val="center"/>
        </w:trPr>
        <w:tc>
          <w:tcPr>
            <w:tcW w:w="2919" w:type="dxa"/>
            <w:shd w:val="clear" w:color="auto" w:fill="auto"/>
          </w:tcPr>
          <w:p>
            <w:pPr>
              <w:spacing w:before="60" w:after="60" w:line="240" w:lineRule="auto"/>
              <w:rPr>
                <w:noProof/>
              </w:rPr>
            </w:pPr>
            <w:r>
              <w:rPr>
                <w:noProof/>
              </w:rPr>
              <w:t>2022</w:t>
            </w:r>
          </w:p>
        </w:tc>
        <w:tc>
          <w:tcPr>
            <w:tcW w:w="2919" w:type="dxa"/>
            <w:shd w:val="clear" w:color="auto" w:fill="auto"/>
          </w:tcPr>
          <w:p>
            <w:pPr>
              <w:spacing w:before="60" w:after="60" w:line="240" w:lineRule="auto"/>
              <w:rPr>
                <w:noProof/>
              </w:rPr>
            </w:pPr>
            <w:r>
              <w:rPr>
                <w:noProof/>
              </w:rPr>
              <w:t>90</w:t>
            </w:r>
          </w:p>
        </w:tc>
      </w:tr>
      <w:tr>
        <w:trPr>
          <w:trHeight w:val="227"/>
          <w:jc w:val="center"/>
        </w:trPr>
        <w:tc>
          <w:tcPr>
            <w:tcW w:w="2919" w:type="dxa"/>
            <w:shd w:val="clear" w:color="auto" w:fill="auto"/>
          </w:tcPr>
          <w:p>
            <w:pPr>
              <w:spacing w:before="60" w:after="60" w:line="240" w:lineRule="auto"/>
              <w:rPr>
                <w:noProof/>
              </w:rPr>
            </w:pPr>
            <w:r>
              <w:rPr>
                <w:noProof/>
              </w:rPr>
              <w:t>2023</w:t>
            </w:r>
          </w:p>
        </w:tc>
        <w:tc>
          <w:tcPr>
            <w:tcW w:w="2919" w:type="dxa"/>
            <w:shd w:val="clear" w:color="auto" w:fill="auto"/>
          </w:tcPr>
          <w:p>
            <w:pPr>
              <w:spacing w:before="60" w:after="60" w:line="240" w:lineRule="auto"/>
              <w:rPr>
                <w:noProof/>
              </w:rPr>
            </w:pPr>
            <w:r>
              <w:rPr>
                <w:noProof/>
              </w:rPr>
              <w:t>85</w:t>
            </w:r>
          </w:p>
        </w:tc>
      </w:tr>
      <w:tr>
        <w:trPr>
          <w:trHeight w:val="227"/>
          <w:jc w:val="center"/>
        </w:trPr>
        <w:tc>
          <w:tcPr>
            <w:tcW w:w="2919" w:type="dxa"/>
            <w:shd w:val="clear" w:color="auto" w:fill="auto"/>
          </w:tcPr>
          <w:p>
            <w:pPr>
              <w:spacing w:before="60" w:after="60" w:line="240" w:lineRule="auto"/>
              <w:rPr>
                <w:noProof/>
              </w:rPr>
            </w:pPr>
            <w:r>
              <w:rPr>
                <w:noProof/>
              </w:rPr>
              <w:t>2024</w:t>
            </w:r>
          </w:p>
        </w:tc>
        <w:tc>
          <w:tcPr>
            <w:tcW w:w="2919" w:type="dxa"/>
            <w:shd w:val="clear" w:color="auto" w:fill="auto"/>
          </w:tcPr>
          <w:p>
            <w:pPr>
              <w:spacing w:before="60" w:after="60" w:line="240" w:lineRule="auto"/>
              <w:rPr>
                <w:noProof/>
              </w:rPr>
            </w:pPr>
            <w:r>
              <w:rPr>
                <w:noProof/>
              </w:rPr>
              <w:t>80</w:t>
            </w:r>
          </w:p>
        </w:tc>
      </w:tr>
      <w:tr>
        <w:trPr>
          <w:trHeight w:val="227"/>
          <w:jc w:val="center"/>
        </w:trPr>
        <w:tc>
          <w:tcPr>
            <w:tcW w:w="2919" w:type="dxa"/>
            <w:shd w:val="clear" w:color="auto" w:fill="auto"/>
          </w:tcPr>
          <w:p>
            <w:pPr>
              <w:spacing w:before="60" w:after="60" w:line="240" w:lineRule="auto"/>
              <w:rPr>
                <w:noProof/>
              </w:rPr>
            </w:pPr>
            <w:r>
              <w:rPr>
                <w:noProof/>
              </w:rPr>
              <w:t>From 2025 onwards</w:t>
            </w:r>
          </w:p>
        </w:tc>
        <w:tc>
          <w:tcPr>
            <w:tcW w:w="2919" w:type="dxa"/>
            <w:shd w:val="clear" w:color="auto" w:fill="auto"/>
          </w:tcPr>
          <w:p>
            <w:pPr>
              <w:spacing w:before="60" w:after="60" w:line="240" w:lineRule="auto"/>
              <w:rPr>
                <w:noProof/>
              </w:rPr>
            </w:pPr>
            <w:r>
              <w:rPr>
                <w:noProof/>
              </w:rPr>
              <w:t>75</w:t>
            </w:r>
          </w:p>
        </w:tc>
      </w:tr>
    </w:tbl>
    <w:p>
      <w:pPr>
        <w:rPr>
          <w:noProof/>
        </w:rPr>
      </w:pPr>
    </w:p>
    <w:p>
      <w:pPr>
        <w:ind w:left="1134"/>
        <w:rPr>
          <w:noProof/>
        </w:rPr>
      </w:pPr>
      <w:r>
        <w:rPr>
          <w:noProof/>
        </w:rPr>
        <w:t>the preferential customs duties indicated in the table above shall apply from the date of entry into force of this Agreement in the relevant year and onwards and the duties shall not be retroactively reduced;</w:t>
      </w:r>
    </w:p>
    <w:p>
      <w:pPr>
        <w:ind w:left="1134"/>
        <w:rPr>
          <w:noProof/>
        </w:rPr>
      </w:pPr>
    </w:p>
    <w:p>
      <w:pPr>
        <w:ind w:left="1134" w:hanging="567"/>
        <w:rPr>
          <w:noProof/>
        </w:rPr>
      </w:pPr>
      <w:r>
        <w:rPr>
          <w:noProof/>
        </w:rPr>
        <w:t>(m)</w:t>
      </w:r>
      <w:r>
        <w:rPr>
          <w:noProof/>
        </w:rPr>
        <w:tab/>
        <w:t>tariff lines with "CKD" indicated in the "Base rate" and "Category" columns in Viet Nam's Schedule are not applicable.</w:t>
      </w:r>
    </w:p>
    <w:p>
      <w:pPr>
        <w:rPr>
          <w:noProof/>
        </w:rPr>
      </w:pPr>
    </w:p>
    <w:p>
      <w:pPr>
        <w:ind w:left="567" w:hanging="567"/>
        <w:rPr>
          <w:noProof/>
        </w:rPr>
      </w:pPr>
      <w:r>
        <w:rPr>
          <w:noProof/>
        </w:rPr>
        <w:br w:type="page"/>
        <w:t>2.</w:t>
      </w:r>
      <w:r>
        <w:rPr>
          <w:noProof/>
        </w:rPr>
        <w:tab/>
        <w:t>The base rate of customs duty and staging category for determining the interim rate of customs duty at each stage of reduction for an item are specified for that item in each Party's Schedule.</w:t>
      </w:r>
    </w:p>
    <w:p>
      <w:pPr>
        <w:ind w:left="567" w:hanging="567"/>
        <w:rPr>
          <w:noProof/>
        </w:rPr>
      </w:pPr>
    </w:p>
    <w:p>
      <w:pPr>
        <w:ind w:left="567" w:hanging="567"/>
        <w:rPr>
          <w:noProof/>
        </w:rPr>
      </w:pPr>
      <w:r>
        <w:rPr>
          <w:noProof/>
        </w:rPr>
        <w:t>3.</w:t>
      </w:r>
      <w:r>
        <w:rPr>
          <w:noProof/>
        </w:rPr>
        <w:tab/>
        <w:t>Without prejudice to Article 2.7 (Reduction or Elimination of Customs Duties), the Union preferential customs duty under this Agreement shall under no circumstances be higher than the Union customs duties applied to goods originating in Viet Nam on the day before the date of entry into force of this Agreement. This obligation applies from that date until the seventh year after entry into force.</w:t>
      </w:r>
    </w:p>
    <w:p>
      <w:pPr>
        <w:ind w:left="567" w:hanging="567"/>
        <w:rPr>
          <w:noProof/>
        </w:rPr>
      </w:pPr>
    </w:p>
    <w:p>
      <w:pPr>
        <w:ind w:left="567" w:hanging="567"/>
        <w:rPr>
          <w:noProof/>
        </w:rPr>
      </w:pPr>
      <w:r>
        <w:rPr>
          <w:noProof/>
        </w:rPr>
        <w:t>4.</w:t>
      </w:r>
      <w:r>
        <w:rPr>
          <w:noProof/>
        </w:rPr>
        <w:tab/>
        <w:t>Rates of customs duties in the interim stages shall be rounded down at least to the nearest 10th of a percentage point or, if the rate of customs duty is expressed in monetary units, at least to the nearest 10th of one euro cent in the case of the Union.</w:t>
      </w:r>
    </w:p>
    <w:p>
      <w:pPr>
        <w:ind w:left="567" w:hanging="567"/>
        <w:rPr>
          <w:noProof/>
        </w:rPr>
      </w:pPr>
    </w:p>
    <w:p>
      <w:pPr>
        <w:ind w:left="567" w:hanging="567"/>
        <w:rPr>
          <w:noProof/>
        </w:rPr>
      </w:pPr>
      <w:r>
        <w:rPr>
          <w:noProof/>
        </w:rPr>
        <w:t>5.</w:t>
      </w:r>
      <w:r>
        <w:rPr>
          <w:noProof/>
        </w:rPr>
        <w:tab/>
        <w:t>For the purposes of this Annex, including the tariff schedules of the Parties in Appendices 2</w:t>
      </w:r>
      <w:r>
        <w:rPr>
          <w:noProof/>
        </w:rPr>
        <w:noBreakHyphen/>
        <w:t>A</w:t>
      </w:r>
      <w:r>
        <w:rPr>
          <w:noProof/>
        </w:rPr>
        <w:noBreakHyphen/>
        <w:t>1 (Tariff Schedule of the Union) and 2</w:t>
      </w:r>
      <w:r>
        <w:rPr>
          <w:noProof/>
        </w:rPr>
        <w:noBreakHyphen/>
        <w:t>A</w:t>
      </w:r>
      <w:r>
        <w:rPr>
          <w:noProof/>
        </w:rPr>
        <w:noBreakHyphen/>
        <w:t>2 (Tariff Schedule of Viet Nam), the first reduction shall take effect on the date of entry into force of this Agreement. Any subsequent annual reduction shall take effect on 1 January of the relevant year following the year of entry into force as provided for in Article 17.16 (Entry into Force).</w:t>
      </w:r>
    </w:p>
    <w:p>
      <w:pPr>
        <w:ind w:left="567" w:hanging="567"/>
        <w:rPr>
          <w:noProof/>
        </w:rPr>
      </w:pPr>
    </w:p>
    <w:p>
      <w:pPr>
        <w:ind w:left="567" w:hanging="567"/>
        <w:rPr>
          <w:noProof/>
        </w:rPr>
      </w:pPr>
      <w:r>
        <w:rPr>
          <w:noProof/>
        </w:rPr>
        <w:br w:type="page"/>
        <w:t>6.</w:t>
      </w:r>
      <w:r>
        <w:rPr>
          <w:noProof/>
        </w:rPr>
        <w:tab/>
        <w:t>Appendices 2</w:t>
      </w:r>
      <w:r>
        <w:rPr>
          <w:noProof/>
        </w:rPr>
        <w:noBreakHyphen/>
        <w:t>A</w:t>
      </w:r>
      <w:r>
        <w:rPr>
          <w:noProof/>
        </w:rPr>
        <w:noBreakHyphen/>
        <w:t>1 (Tariff Schedule of the Union) and 2</w:t>
      </w:r>
      <w:r>
        <w:rPr>
          <w:noProof/>
        </w:rPr>
        <w:noBreakHyphen/>
        <w:t>A</w:t>
      </w:r>
      <w:r>
        <w:rPr>
          <w:noProof/>
        </w:rPr>
        <w:noBreakHyphen/>
        <w:t>2 (Tariff Schedule of Viet Nam) are an integral part of this Annex.</w:t>
      </w:r>
    </w:p>
    <w:p>
      <w:pPr>
        <w:ind w:left="567" w:hanging="567"/>
        <w:rPr>
          <w:noProof/>
        </w:rPr>
      </w:pPr>
    </w:p>
    <w:p>
      <w:pPr>
        <w:ind w:left="567" w:hanging="567"/>
        <w:rPr>
          <w:noProof/>
        </w:rPr>
      </w:pPr>
      <w:r>
        <w:rPr>
          <w:noProof/>
        </w:rPr>
        <w:t>7.</w:t>
      </w:r>
      <w:r>
        <w:rPr>
          <w:noProof/>
        </w:rPr>
        <w:tab/>
        <w:t>The definitions of terms provided for in Chapter 2 (National Treatment and Market Access for Goods) apply to this Annex.</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TARIFF RATE QUOTAS</w:t>
      </w:r>
    </w:p>
    <w:p>
      <w:pPr>
        <w:jc w:val="center"/>
        <w:rPr>
          <w:noProof/>
        </w:rPr>
      </w:pPr>
    </w:p>
    <w:p>
      <w:pPr>
        <w:ind w:left="567" w:hanging="567"/>
        <w:rPr>
          <w:noProof/>
        </w:rPr>
      </w:pPr>
      <w:r>
        <w:rPr>
          <w:noProof/>
        </w:rPr>
        <w:t>1.</w:t>
      </w:r>
      <w:r>
        <w:rPr>
          <w:noProof/>
        </w:rPr>
        <w:tab/>
        <w:t>For the administration in Year 1 of each tariff rate quota established under this Agreement, the Parties shall calculate the volume of that tariff rate quota by discounting the volume corresponding to the period running between the 1st of January and the date of entry into force of this Agreement.</w:t>
      </w:r>
    </w:p>
    <w:p>
      <w:pPr>
        <w:rPr>
          <w:noProof/>
        </w:rPr>
      </w:pPr>
    </w:p>
    <w:p>
      <w:pPr>
        <w:rPr>
          <w:noProof/>
        </w:rPr>
      </w:pPr>
    </w:p>
    <w:p>
      <w:pPr>
        <w:jc w:val="center"/>
        <w:rPr>
          <w:noProof/>
        </w:rPr>
      </w:pPr>
      <w:r>
        <w:rPr>
          <w:noProof/>
        </w:rPr>
        <w:br w:type="page"/>
        <w:t>SUB</w:t>
      </w:r>
      <w:r>
        <w:rPr>
          <w:noProof/>
        </w:rPr>
        <w:noBreakHyphen/>
        <w:t>SECTION 1</w:t>
      </w:r>
    </w:p>
    <w:p>
      <w:pPr>
        <w:jc w:val="center"/>
        <w:rPr>
          <w:noProof/>
        </w:rPr>
      </w:pPr>
    </w:p>
    <w:p>
      <w:pPr>
        <w:jc w:val="center"/>
        <w:rPr>
          <w:noProof/>
        </w:rPr>
      </w:pPr>
      <w:r>
        <w:rPr>
          <w:noProof/>
        </w:rPr>
        <w:t>UNION TARIFF RATE QUOTAS</w:t>
      </w:r>
    </w:p>
    <w:p>
      <w:pPr>
        <w:jc w:val="center"/>
        <w:rPr>
          <w:noProof/>
        </w:rPr>
      </w:pPr>
    </w:p>
    <w:p>
      <w:pPr>
        <w:ind w:left="567" w:hanging="567"/>
        <w:rPr>
          <w:noProof/>
        </w:rPr>
      </w:pPr>
      <w:r>
        <w:rPr>
          <w:noProof/>
        </w:rPr>
        <w:t>1.</w:t>
      </w:r>
      <w:r>
        <w:rPr>
          <w:noProof/>
        </w:rPr>
        <w:tab/>
        <w:t>The Union shall administer its tariff rate quotas in accordance with its internal regulations that facilitate trade between the Parties with a view to maximising utilisation of tariff rate quota quantities.</w:t>
      </w:r>
    </w:p>
    <w:p>
      <w:pPr>
        <w:rPr>
          <w:noProof/>
        </w:rPr>
      </w:pPr>
    </w:p>
    <w:p>
      <w:pPr>
        <w:rPr>
          <w:noProof/>
        </w:rPr>
      </w:pPr>
      <w:r>
        <w:rPr>
          <w:noProof/>
        </w:rPr>
        <w:t>Birds' egg and egg yolks tariff rate quota</w:t>
      </w:r>
    </w:p>
    <w:p>
      <w:pPr>
        <w:rPr>
          <w:noProof/>
        </w:rPr>
      </w:pPr>
    </w:p>
    <w:p>
      <w:pPr>
        <w:ind w:left="567" w:hanging="567"/>
        <w:rPr>
          <w:noProof/>
        </w:rPr>
      </w:pPr>
      <w:r>
        <w:rPr>
          <w:noProof/>
        </w:rPr>
        <w:t>2.</w:t>
      </w:r>
      <w:r>
        <w:rPr>
          <w:noProof/>
        </w:rPr>
        <w:tab/>
        <w:t>Originating goods classified in the tariff lines 0408.11.80, 0408.19.81, 0408.19.89, 0408.91.80 and 0408.99.80 in the Union Schedule shall be duty</w:t>
      </w:r>
      <w:r>
        <w:rPr>
          <w:noProof/>
        </w:rPr>
        <w:noBreakHyphen/>
        <w:t>free within an aggregated annual quantity of 500 metric tonnes.</w:t>
      </w:r>
    </w:p>
    <w:p>
      <w:pPr>
        <w:rPr>
          <w:noProof/>
        </w:rPr>
      </w:pPr>
    </w:p>
    <w:p>
      <w:pPr>
        <w:rPr>
          <w:noProof/>
        </w:rPr>
      </w:pPr>
      <w:r>
        <w:rPr>
          <w:noProof/>
        </w:rPr>
        <w:t>Garlic</w:t>
      </w:r>
    </w:p>
    <w:p>
      <w:pPr>
        <w:rPr>
          <w:noProof/>
        </w:rPr>
      </w:pPr>
    </w:p>
    <w:p>
      <w:pPr>
        <w:ind w:left="567" w:hanging="567"/>
        <w:rPr>
          <w:noProof/>
        </w:rPr>
      </w:pPr>
      <w:r>
        <w:rPr>
          <w:noProof/>
        </w:rPr>
        <w:t>3.</w:t>
      </w:r>
      <w:r>
        <w:rPr>
          <w:noProof/>
        </w:rPr>
        <w:tab/>
        <w:t>Originating goods classified in the tariff line 0703.20.00 in the Union Schedule shall be duty</w:t>
      </w:r>
      <w:r>
        <w:rPr>
          <w:noProof/>
        </w:rPr>
        <w:noBreakHyphen/>
        <w:t>free within an aggregated annual quantity of 400 metric tonnes.</w:t>
      </w:r>
    </w:p>
    <w:p>
      <w:pPr>
        <w:rPr>
          <w:noProof/>
        </w:rPr>
      </w:pPr>
    </w:p>
    <w:p>
      <w:pPr>
        <w:rPr>
          <w:noProof/>
        </w:rPr>
      </w:pPr>
      <w:r>
        <w:rPr>
          <w:noProof/>
        </w:rPr>
        <w:br w:type="page"/>
        <w:t>Sweetcorn</w:t>
      </w:r>
    </w:p>
    <w:p>
      <w:pPr>
        <w:rPr>
          <w:noProof/>
        </w:rPr>
      </w:pPr>
    </w:p>
    <w:p>
      <w:pPr>
        <w:ind w:left="567" w:hanging="567"/>
        <w:rPr>
          <w:noProof/>
        </w:rPr>
      </w:pPr>
      <w:r>
        <w:rPr>
          <w:noProof/>
        </w:rPr>
        <w:t>4.</w:t>
      </w:r>
      <w:r>
        <w:rPr>
          <w:noProof/>
        </w:rPr>
        <w:tab/>
        <w:t>Originating goods classified in the tariff lines 0710.40.00A, 2001.90.30A and 2005.80.00A in the Union's Schedule shall be duty</w:t>
      </w:r>
      <w:r>
        <w:rPr>
          <w:noProof/>
        </w:rPr>
        <w:noBreakHyphen/>
        <w:t>free within an aggregated annunal quantity of 5 000 metric tonnes.</w:t>
      </w:r>
    </w:p>
    <w:p>
      <w:pPr>
        <w:rPr>
          <w:noProof/>
        </w:rPr>
      </w:pPr>
    </w:p>
    <w:p>
      <w:pPr>
        <w:ind w:left="567"/>
        <w:rPr>
          <w:noProof/>
        </w:rPr>
      </w:pPr>
      <w:r>
        <w:rPr>
          <w:noProof/>
        </w:rPr>
        <w:t>The aggregated quantity of originating goods classified in the tariff lines 0710.40.00B, 2001.90.30B and 2005.80.00B in the Union's Schedule shall not be counted in the tariff rate quota quantity.</w:t>
      </w:r>
    </w:p>
    <w:p>
      <w:pPr>
        <w:rPr>
          <w:noProof/>
        </w:rPr>
      </w:pPr>
    </w:p>
    <w:p>
      <w:pPr>
        <w:rPr>
          <w:noProof/>
        </w:rPr>
      </w:pPr>
      <w:r>
        <w:rPr>
          <w:noProof/>
        </w:rPr>
        <w:t>Rice</w:t>
      </w:r>
    </w:p>
    <w:p>
      <w:pPr>
        <w:rPr>
          <w:noProof/>
        </w:rPr>
      </w:pPr>
    </w:p>
    <w:p>
      <w:pPr>
        <w:ind w:left="567" w:hanging="567"/>
        <w:rPr>
          <w:noProof/>
        </w:rPr>
      </w:pPr>
      <w:r>
        <w:rPr>
          <w:noProof/>
        </w:rPr>
        <w:t>5.</w:t>
      </w:r>
      <w:r>
        <w:rPr>
          <w:noProof/>
        </w:rPr>
        <w:tab/>
        <w:t>Originating goods classified in the following tariff lines in the Union's Schedule shall be duty</w:t>
      </w:r>
      <w:r>
        <w:rPr>
          <w:noProof/>
        </w:rPr>
        <w:noBreakHyphen/>
        <w:t>free within an aggregated annual quantity of 20 000 metric tonnes expressed in husked rice equivalent: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729"/>
        <w:gridCol w:w="1729"/>
        <w:gridCol w:w="1729"/>
      </w:tblGrid>
      <w:tr>
        <w:trPr>
          <w:trHeight w:val="227"/>
          <w:jc w:val="center"/>
        </w:trPr>
        <w:tc>
          <w:tcPr>
            <w:tcW w:w="1729" w:type="dxa"/>
            <w:shd w:val="clear" w:color="auto" w:fill="auto"/>
          </w:tcPr>
          <w:p>
            <w:pPr>
              <w:spacing w:before="60" w:after="60" w:line="240" w:lineRule="auto"/>
              <w:rPr>
                <w:noProof/>
              </w:rPr>
            </w:pPr>
            <w:r>
              <w:rPr>
                <w:noProof/>
              </w:rPr>
              <w:t>1006.10.21</w:t>
            </w:r>
          </w:p>
          <w:p>
            <w:pPr>
              <w:spacing w:before="60" w:after="60" w:line="240" w:lineRule="auto"/>
              <w:rPr>
                <w:noProof/>
              </w:rPr>
            </w:pPr>
            <w:r>
              <w:rPr>
                <w:noProof/>
              </w:rPr>
              <w:t>1006.10.23</w:t>
            </w:r>
          </w:p>
          <w:p>
            <w:pPr>
              <w:spacing w:before="60" w:after="60" w:line="240" w:lineRule="auto"/>
              <w:rPr>
                <w:noProof/>
              </w:rPr>
            </w:pPr>
            <w:r>
              <w:rPr>
                <w:noProof/>
              </w:rPr>
              <w:t>1006.10.25</w:t>
            </w:r>
          </w:p>
          <w:p>
            <w:pPr>
              <w:spacing w:before="60" w:after="60" w:line="240" w:lineRule="auto"/>
              <w:rPr>
                <w:noProof/>
              </w:rPr>
            </w:pPr>
            <w:r>
              <w:rPr>
                <w:noProof/>
              </w:rPr>
              <w:t>1006.10.27</w:t>
            </w:r>
          </w:p>
        </w:tc>
        <w:tc>
          <w:tcPr>
            <w:tcW w:w="1729" w:type="dxa"/>
            <w:shd w:val="clear" w:color="auto" w:fill="auto"/>
          </w:tcPr>
          <w:p>
            <w:pPr>
              <w:spacing w:before="60" w:after="60" w:line="240" w:lineRule="auto"/>
              <w:rPr>
                <w:noProof/>
              </w:rPr>
            </w:pPr>
            <w:r>
              <w:rPr>
                <w:noProof/>
              </w:rPr>
              <w:t>1006.10.92</w:t>
            </w:r>
          </w:p>
          <w:p>
            <w:pPr>
              <w:spacing w:before="60" w:after="60" w:line="240" w:lineRule="auto"/>
              <w:rPr>
                <w:noProof/>
              </w:rPr>
            </w:pPr>
            <w:r>
              <w:rPr>
                <w:noProof/>
              </w:rPr>
              <w:t>1006.10.94</w:t>
            </w:r>
          </w:p>
          <w:p>
            <w:pPr>
              <w:spacing w:before="60" w:after="60" w:line="240" w:lineRule="auto"/>
              <w:rPr>
                <w:noProof/>
              </w:rPr>
            </w:pPr>
            <w:r>
              <w:rPr>
                <w:noProof/>
              </w:rPr>
              <w:t>1006.10.96</w:t>
            </w:r>
          </w:p>
          <w:p>
            <w:pPr>
              <w:spacing w:before="60" w:after="60" w:line="240" w:lineRule="auto"/>
              <w:rPr>
                <w:noProof/>
              </w:rPr>
            </w:pPr>
            <w:r>
              <w:rPr>
                <w:noProof/>
              </w:rPr>
              <w:t>1006.10.98</w:t>
            </w:r>
          </w:p>
        </w:tc>
        <w:tc>
          <w:tcPr>
            <w:tcW w:w="1729" w:type="dxa"/>
            <w:shd w:val="clear" w:color="auto" w:fill="auto"/>
          </w:tcPr>
          <w:p>
            <w:pPr>
              <w:spacing w:before="60" w:after="60" w:line="240" w:lineRule="auto"/>
              <w:rPr>
                <w:noProof/>
              </w:rPr>
            </w:pPr>
            <w:r>
              <w:rPr>
                <w:noProof/>
              </w:rPr>
              <w:t>1006.20.11</w:t>
            </w:r>
          </w:p>
          <w:p>
            <w:pPr>
              <w:spacing w:before="60" w:after="60" w:line="240" w:lineRule="auto"/>
              <w:rPr>
                <w:noProof/>
              </w:rPr>
            </w:pPr>
            <w:r>
              <w:rPr>
                <w:noProof/>
              </w:rPr>
              <w:t>1006.20.13</w:t>
            </w:r>
          </w:p>
          <w:p>
            <w:pPr>
              <w:spacing w:before="60" w:after="60" w:line="240" w:lineRule="auto"/>
              <w:rPr>
                <w:noProof/>
              </w:rPr>
            </w:pPr>
            <w:r>
              <w:rPr>
                <w:noProof/>
              </w:rPr>
              <w:t>1006.20.15</w:t>
            </w:r>
          </w:p>
          <w:p>
            <w:pPr>
              <w:spacing w:before="60" w:after="60" w:line="240" w:lineRule="auto"/>
              <w:rPr>
                <w:noProof/>
              </w:rPr>
            </w:pPr>
            <w:r>
              <w:rPr>
                <w:noProof/>
              </w:rPr>
              <w:t>1006.20.17</w:t>
            </w:r>
          </w:p>
        </w:tc>
        <w:tc>
          <w:tcPr>
            <w:tcW w:w="1729" w:type="dxa"/>
          </w:tcPr>
          <w:p>
            <w:pPr>
              <w:spacing w:before="60" w:after="60" w:line="240" w:lineRule="auto"/>
              <w:rPr>
                <w:noProof/>
              </w:rPr>
            </w:pPr>
            <w:r>
              <w:rPr>
                <w:noProof/>
              </w:rPr>
              <w:t>1006.20.92</w:t>
            </w:r>
          </w:p>
          <w:p>
            <w:pPr>
              <w:spacing w:before="60" w:after="60" w:line="240" w:lineRule="auto"/>
              <w:rPr>
                <w:noProof/>
              </w:rPr>
            </w:pPr>
            <w:r>
              <w:rPr>
                <w:noProof/>
              </w:rPr>
              <w:t>1006.20.94</w:t>
            </w:r>
          </w:p>
          <w:p>
            <w:pPr>
              <w:spacing w:before="60" w:after="60" w:line="240" w:lineRule="auto"/>
              <w:rPr>
                <w:noProof/>
              </w:rPr>
            </w:pPr>
            <w:r>
              <w:rPr>
                <w:noProof/>
              </w:rPr>
              <w:t>1006.20.96</w:t>
            </w:r>
          </w:p>
          <w:p>
            <w:pPr>
              <w:spacing w:before="60" w:after="60" w:line="240" w:lineRule="auto"/>
              <w:rPr>
                <w:noProof/>
              </w:rPr>
            </w:pPr>
            <w:r>
              <w:rPr>
                <w:noProof/>
              </w:rPr>
              <w:t>1006.20.98</w:t>
            </w:r>
          </w:p>
        </w:tc>
      </w:tr>
    </w:tbl>
    <w:p>
      <w:pPr>
        <w:rPr>
          <w:noProof/>
        </w:rPr>
      </w:pPr>
    </w:p>
    <w:p>
      <w:pPr>
        <w:ind w:left="567" w:hanging="567"/>
        <w:rPr>
          <w:noProof/>
        </w:rPr>
      </w:pPr>
      <w:r>
        <w:rPr>
          <w:noProof/>
        </w:rPr>
        <w:br w:type="page"/>
        <w:t>6.</w:t>
      </w:r>
      <w:r>
        <w:rPr>
          <w:noProof/>
        </w:rPr>
        <w:tab/>
        <w:t>Originating goods classified in the following tariff lines in the Union's Schedule shall be duty</w:t>
      </w:r>
      <w:r>
        <w:rPr>
          <w:noProof/>
        </w:rPr>
        <w:noBreakHyphen/>
        <w:t>free within an aggregated annual quantity of 30 000 metric tonnes expressed in milled rice equivalent:</w:t>
      </w:r>
    </w:p>
    <w:p>
      <w:pPr>
        <w:ind w:left="567" w:hanging="567"/>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715"/>
        <w:gridCol w:w="1715"/>
        <w:gridCol w:w="1715"/>
      </w:tblGrid>
      <w:tr>
        <w:trPr>
          <w:cantSplit/>
          <w:trHeight w:val="1393"/>
          <w:jc w:val="center"/>
        </w:trPr>
        <w:tc>
          <w:tcPr>
            <w:tcW w:w="1715" w:type="dxa"/>
            <w:vAlign w:val="center"/>
          </w:tcPr>
          <w:p>
            <w:pPr>
              <w:spacing w:before="60" w:after="60" w:line="240" w:lineRule="auto"/>
              <w:rPr>
                <w:noProof/>
              </w:rPr>
            </w:pPr>
            <w:r>
              <w:rPr>
                <w:noProof/>
              </w:rPr>
              <w:t>1006.30.21</w:t>
            </w:r>
          </w:p>
          <w:p>
            <w:pPr>
              <w:spacing w:before="60" w:after="60" w:line="240" w:lineRule="auto"/>
              <w:rPr>
                <w:noProof/>
              </w:rPr>
            </w:pPr>
            <w:r>
              <w:rPr>
                <w:noProof/>
              </w:rPr>
              <w:t>1006.30.23</w:t>
            </w:r>
          </w:p>
          <w:p>
            <w:pPr>
              <w:spacing w:before="60" w:after="60" w:line="240" w:lineRule="auto"/>
              <w:rPr>
                <w:noProof/>
              </w:rPr>
            </w:pPr>
            <w:r>
              <w:rPr>
                <w:noProof/>
              </w:rPr>
              <w:t>1006.30.25</w:t>
            </w:r>
          </w:p>
          <w:p>
            <w:pPr>
              <w:spacing w:before="60" w:after="60" w:line="240" w:lineRule="auto"/>
              <w:rPr>
                <w:noProof/>
              </w:rPr>
            </w:pPr>
            <w:r>
              <w:rPr>
                <w:noProof/>
              </w:rPr>
              <w:t>1006.30.27</w:t>
            </w:r>
          </w:p>
        </w:tc>
        <w:tc>
          <w:tcPr>
            <w:tcW w:w="1715" w:type="dxa"/>
            <w:vAlign w:val="center"/>
          </w:tcPr>
          <w:p>
            <w:pPr>
              <w:spacing w:before="60" w:after="60" w:line="240" w:lineRule="auto"/>
              <w:rPr>
                <w:noProof/>
              </w:rPr>
            </w:pPr>
            <w:r>
              <w:rPr>
                <w:noProof/>
              </w:rPr>
              <w:t>1006.30.42</w:t>
            </w:r>
          </w:p>
          <w:p>
            <w:pPr>
              <w:spacing w:before="60" w:after="60" w:line="240" w:lineRule="auto"/>
              <w:rPr>
                <w:noProof/>
              </w:rPr>
            </w:pPr>
            <w:r>
              <w:rPr>
                <w:noProof/>
              </w:rPr>
              <w:t>1006.30.44</w:t>
            </w:r>
          </w:p>
          <w:p>
            <w:pPr>
              <w:spacing w:before="60" w:after="60" w:line="240" w:lineRule="auto"/>
              <w:rPr>
                <w:noProof/>
              </w:rPr>
            </w:pPr>
            <w:r>
              <w:rPr>
                <w:noProof/>
              </w:rPr>
              <w:t>1006.30.46</w:t>
            </w:r>
          </w:p>
          <w:p>
            <w:pPr>
              <w:spacing w:before="60" w:after="60" w:line="240" w:lineRule="auto"/>
              <w:rPr>
                <w:noProof/>
              </w:rPr>
            </w:pPr>
            <w:r>
              <w:rPr>
                <w:noProof/>
              </w:rPr>
              <w:t>1006.30.48</w:t>
            </w:r>
          </w:p>
        </w:tc>
        <w:tc>
          <w:tcPr>
            <w:tcW w:w="1715" w:type="dxa"/>
            <w:shd w:val="clear" w:color="auto" w:fill="auto"/>
            <w:vAlign w:val="center"/>
          </w:tcPr>
          <w:p>
            <w:pPr>
              <w:spacing w:before="60" w:after="60" w:line="240" w:lineRule="auto"/>
              <w:rPr>
                <w:noProof/>
              </w:rPr>
            </w:pPr>
            <w:r>
              <w:rPr>
                <w:noProof/>
              </w:rPr>
              <w:t>1006.30.61</w:t>
            </w:r>
          </w:p>
          <w:p>
            <w:pPr>
              <w:spacing w:before="60" w:after="60" w:line="240" w:lineRule="auto"/>
              <w:rPr>
                <w:noProof/>
              </w:rPr>
            </w:pPr>
            <w:r>
              <w:rPr>
                <w:noProof/>
              </w:rPr>
              <w:t>1006.30.63</w:t>
            </w:r>
          </w:p>
          <w:p>
            <w:pPr>
              <w:spacing w:before="60" w:after="60" w:line="240" w:lineRule="auto"/>
              <w:rPr>
                <w:noProof/>
              </w:rPr>
            </w:pPr>
            <w:r>
              <w:rPr>
                <w:noProof/>
              </w:rPr>
              <w:t>1006.30.65</w:t>
            </w:r>
          </w:p>
          <w:p>
            <w:pPr>
              <w:spacing w:before="60" w:after="60" w:line="240" w:lineRule="auto"/>
              <w:rPr>
                <w:noProof/>
              </w:rPr>
            </w:pPr>
            <w:r>
              <w:rPr>
                <w:noProof/>
              </w:rPr>
              <w:t>1006.30.98</w:t>
            </w:r>
          </w:p>
        </w:tc>
        <w:tc>
          <w:tcPr>
            <w:tcW w:w="1715" w:type="dxa"/>
            <w:shd w:val="clear" w:color="auto" w:fill="auto"/>
            <w:vAlign w:val="center"/>
          </w:tcPr>
          <w:p>
            <w:pPr>
              <w:spacing w:before="60" w:after="60" w:line="240" w:lineRule="auto"/>
              <w:rPr>
                <w:noProof/>
              </w:rPr>
            </w:pPr>
            <w:r>
              <w:rPr>
                <w:noProof/>
              </w:rPr>
              <w:t>1006.30.67</w:t>
            </w:r>
          </w:p>
          <w:p>
            <w:pPr>
              <w:spacing w:before="60" w:after="60" w:line="240" w:lineRule="auto"/>
              <w:rPr>
                <w:noProof/>
              </w:rPr>
            </w:pPr>
            <w:r>
              <w:rPr>
                <w:noProof/>
              </w:rPr>
              <w:t>1006.30.92</w:t>
            </w:r>
          </w:p>
          <w:p>
            <w:pPr>
              <w:spacing w:before="60" w:after="60" w:line="240" w:lineRule="auto"/>
              <w:rPr>
                <w:noProof/>
              </w:rPr>
            </w:pPr>
            <w:r>
              <w:rPr>
                <w:noProof/>
              </w:rPr>
              <w:t>1006.30.94</w:t>
            </w:r>
          </w:p>
          <w:p>
            <w:pPr>
              <w:spacing w:before="60" w:after="60" w:line="240" w:lineRule="auto"/>
              <w:rPr>
                <w:noProof/>
              </w:rPr>
            </w:pPr>
            <w:r>
              <w:rPr>
                <w:noProof/>
              </w:rPr>
              <w:t>1006.30.96</w:t>
            </w:r>
          </w:p>
        </w:tc>
      </w:tr>
    </w:tbl>
    <w:p>
      <w:pPr>
        <w:rPr>
          <w:noProof/>
        </w:rPr>
      </w:pPr>
    </w:p>
    <w:p>
      <w:pPr>
        <w:ind w:left="567" w:hanging="567"/>
        <w:rPr>
          <w:noProof/>
        </w:rPr>
      </w:pPr>
      <w:r>
        <w:rPr>
          <w:noProof/>
        </w:rPr>
        <w:t>7.</w:t>
      </w:r>
      <w:r>
        <w:rPr>
          <w:noProof/>
        </w:rPr>
        <w:tab/>
        <w:t>Originating goods classified in the following tariff lines in the Union's Schedule shall be duty</w:t>
      </w:r>
      <w:r>
        <w:rPr>
          <w:noProof/>
        </w:rPr>
        <w:noBreakHyphen/>
        <w:t>free within an aggregated annual quantity of 30 000 metric tonnes expressed in milled rice equivalent:</w:t>
      </w:r>
    </w:p>
    <w:p>
      <w:pPr>
        <w:ind w:left="567" w:hanging="567"/>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23"/>
        <w:gridCol w:w="1723"/>
        <w:gridCol w:w="1723"/>
      </w:tblGrid>
      <w:tr>
        <w:trPr>
          <w:trHeight w:val="2844"/>
          <w:jc w:val="center"/>
        </w:trPr>
        <w:tc>
          <w:tcPr>
            <w:tcW w:w="1723" w:type="dxa"/>
            <w:shd w:val="clear" w:color="auto" w:fill="auto"/>
            <w:vAlign w:val="center"/>
          </w:tcPr>
          <w:p>
            <w:pPr>
              <w:spacing w:before="60" w:after="60" w:line="240" w:lineRule="auto"/>
              <w:rPr>
                <w:noProof/>
              </w:rPr>
            </w:pPr>
            <w:r>
              <w:rPr>
                <w:noProof/>
              </w:rPr>
              <w:t>1006.10.21</w:t>
            </w:r>
          </w:p>
          <w:p>
            <w:pPr>
              <w:spacing w:before="60" w:after="60" w:line="240" w:lineRule="auto"/>
              <w:rPr>
                <w:noProof/>
              </w:rPr>
            </w:pPr>
            <w:r>
              <w:rPr>
                <w:noProof/>
              </w:rPr>
              <w:t>1006.10.23</w:t>
            </w:r>
          </w:p>
          <w:p>
            <w:pPr>
              <w:spacing w:before="60" w:after="60" w:line="240" w:lineRule="auto"/>
              <w:rPr>
                <w:noProof/>
              </w:rPr>
            </w:pPr>
            <w:r>
              <w:rPr>
                <w:noProof/>
              </w:rPr>
              <w:t>1006.10.25</w:t>
            </w:r>
          </w:p>
          <w:p>
            <w:pPr>
              <w:spacing w:before="60" w:after="60" w:line="240" w:lineRule="auto"/>
              <w:rPr>
                <w:noProof/>
              </w:rPr>
            </w:pPr>
            <w:r>
              <w:rPr>
                <w:noProof/>
              </w:rPr>
              <w:t>1006.10.27</w:t>
            </w:r>
          </w:p>
          <w:p>
            <w:pPr>
              <w:spacing w:before="60" w:after="60" w:line="240" w:lineRule="auto"/>
              <w:rPr>
                <w:noProof/>
              </w:rPr>
            </w:pPr>
            <w:r>
              <w:rPr>
                <w:noProof/>
              </w:rPr>
              <w:t>1006.10.92</w:t>
            </w:r>
          </w:p>
          <w:p>
            <w:pPr>
              <w:spacing w:before="60" w:after="60" w:line="240" w:lineRule="auto"/>
              <w:rPr>
                <w:noProof/>
              </w:rPr>
            </w:pPr>
            <w:r>
              <w:rPr>
                <w:noProof/>
              </w:rPr>
              <w:t>1006.10.94</w:t>
            </w:r>
          </w:p>
          <w:p>
            <w:pPr>
              <w:spacing w:before="60" w:after="60" w:line="240" w:lineRule="auto"/>
              <w:rPr>
                <w:noProof/>
              </w:rPr>
            </w:pPr>
            <w:r>
              <w:rPr>
                <w:noProof/>
              </w:rPr>
              <w:t>1006.10.96</w:t>
            </w:r>
          </w:p>
          <w:p>
            <w:pPr>
              <w:spacing w:before="60" w:after="60" w:line="240" w:lineRule="auto"/>
              <w:rPr>
                <w:noProof/>
              </w:rPr>
            </w:pPr>
            <w:r>
              <w:rPr>
                <w:noProof/>
              </w:rPr>
              <w:t>1006.10.98</w:t>
            </w:r>
          </w:p>
        </w:tc>
        <w:tc>
          <w:tcPr>
            <w:tcW w:w="1723" w:type="dxa"/>
            <w:shd w:val="clear" w:color="auto" w:fill="auto"/>
            <w:vAlign w:val="center"/>
          </w:tcPr>
          <w:p>
            <w:pPr>
              <w:spacing w:before="60" w:after="60" w:line="240" w:lineRule="auto"/>
              <w:rPr>
                <w:noProof/>
              </w:rPr>
            </w:pPr>
            <w:r>
              <w:rPr>
                <w:noProof/>
              </w:rPr>
              <w:t>1006.20.11</w:t>
            </w:r>
          </w:p>
          <w:p>
            <w:pPr>
              <w:spacing w:before="60" w:after="60" w:line="240" w:lineRule="auto"/>
              <w:rPr>
                <w:noProof/>
              </w:rPr>
            </w:pPr>
            <w:r>
              <w:rPr>
                <w:noProof/>
              </w:rPr>
              <w:t>1006.20.13</w:t>
            </w:r>
          </w:p>
          <w:p>
            <w:pPr>
              <w:spacing w:before="60" w:after="60" w:line="240" w:lineRule="auto"/>
              <w:rPr>
                <w:noProof/>
              </w:rPr>
            </w:pPr>
            <w:r>
              <w:rPr>
                <w:noProof/>
              </w:rPr>
              <w:t>1006.20.15</w:t>
            </w:r>
          </w:p>
          <w:p>
            <w:pPr>
              <w:spacing w:before="60" w:after="60" w:line="240" w:lineRule="auto"/>
              <w:rPr>
                <w:noProof/>
              </w:rPr>
            </w:pPr>
            <w:r>
              <w:rPr>
                <w:noProof/>
              </w:rPr>
              <w:t>1006.20.17</w:t>
            </w:r>
          </w:p>
          <w:p>
            <w:pPr>
              <w:spacing w:before="60" w:after="60" w:line="240" w:lineRule="auto"/>
              <w:rPr>
                <w:noProof/>
              </w:rPr>
            </w:pPr>
            <w:r>
              <w:rPr>
                <w:noProof/>
              </w:rPr>
              <w:t>1006.20.92</w:t>
            </w:r>
          </w:p>
          <w:p>
            <w:pPr>
              <w:spacing w:before="60" w:after="60" w:line="240" w:lineRule="auto"/>
              <w:rPr>
                <w:noProof/>
              </w:rPr>
            </w:pPr>
            <w:r>
              <w:rPr>
                <w:noProof/>
              </w:rPr>
              <w:t>1006.20.94</w:t>
            </w:r>
          </w:p>
          <w:p>
            <w:pPr>
              <w:spacing w:before="60" w:after="60" w:line="240" w:lineRule="auto"/>
              <w:rPr>
                <w:noProof/>
              </w:rPr>
            </w:pPr>
            <w:r>
              <w:rPr>
                <w:noProof/>
              </w:rPr>
              <w:t>1006.20.96</w:t>
            </w:r>
          </w:p>
          <w:p>
            <w:pPr>
              <w:spacing w:before="60" w:after="60" w:line="240" w:lineRule="auto"/>
              <w:rPr>
                <w:noProof/>
              </w:rPr>
            </w:pPr>
            <w:r>
              <w:rPr>
                <w:noProof/>
              </w:rPr>
              <w:t>1006.20.98</w:t>
            </w:r>
          </w:p>
        </w:tc>
        <w:tc>
          <w:tcPr>
            <w:tcW w:w="1723" w:type="dxa"/>
            <w:shd w:val="clear" w:color="auto" w:fill="auto"/>
            <w:vAlign w:val="center"/>
          </w:tcPr>
          <w:p>
            <w:pPr>
              <w:spacing w:before="60" w:after="60" w:line="240" w:lineRule="auto"/>
              <w:rPr>
                <w:noProof/>
              </w:rPr>
            </w:pPr>
            <w:r>
              <w:rPr>
                <w:noProof/>
              </w:rPr>
              <w:t>1006.30.21</w:t>
            </w:r>
          </w:p>
          <w:p>
            <w:pPr>
              <w:spacing w:before="60" w:after="60" w:line="240" w:lineRule="auto"/>
              <w:rPr>
                <w:noProof/>
              </w:rPr>
            </w:pPr>
            <w:r>
              <w:rPr>
                <w:noProof/>
              </w:rPr>
              <w:t>1006.30.23</w:t>
            </w:r>
          </w:p>
          <w:p>
            <w:pPr>
              <w:spacing w:before="60" w:after="60" w:line="240" w:lineRule="auto"/>
              <w:rPr>
                <w:noProof/>
              </w:rPr>
            </w:pPr>
            <w:r>
              <w:rPr>
                <w:noProof/>
              </w:rPr>
              <w:t>1006.30.25</w:t>
            </w:r>
          </w:p>
          <w:p>
            <w:pPr>
              <w:spacing w:before="60" w:after="60" w:line="240" w:lineRule="auto"/>
              <w:rPr>
                <w:noProof/>
              </w:rPr>
            </w:pPr>
            <w:r>
              <w:rPr>
                <w:noProof/>
              </w:rPr>
              <w:t>1006.30.27</w:t>
            </w:r>
          </w:p>
          <w:p>
            <w:pPr>
              <w:spacing w:before="60" w:after="60" w:line="240" w:lineRule="auto"/>
              <w:rPr>
                <w:noProof/>
              </w:rPr>
            </w:pPr>
            <w:r>
              <w:rPr>
                <w:noProof/>
              </w:rPr>
              <w:t>1006.30.42</w:t>
            </w:r>
          </w:p>
          <w:p>
            <w:pPr>
              <w:spacing w:before="60" w:after="60" w:line="240" w:lineRule="auto"/>
              <w:rPr>
                <w:noProof/>
              </w:rPr>
            </w:pPr>
            <w:r>
              <w:rPr>
                <w:noProof/>
              </w:rPr>
              <w:t>1006.30.44</w:t>
            </w:r>
          </w:p>
          <w:p>
            <w:pPr>
              <w:spacing w:before="60" w:after="60" w:line="240" w:lineRule="auto"/>
              <w:rPr>
                <w:noProof/>
              </w:rPr>
            </w:pPr>
            <w:r>
              <w:rPr>
                <w:noProof/>
              </w:rPr>
              <w:t>1006.30.46</w:t>
            </w:r>
          </w:p>
          <w:p>
            <w:pPr>
              <w:spacing w:before="60" w:after="60" w:line="240" w:lineRule="auto"/>
              <w:rPr>
                <w:noProof/>
              </w:rPr>
            </w:pPr>
            <w:r>
              <w:rPr>
                <w:noProof/>
              </w:rPr>
              <w:t>1006.30.48</w:t>
            </w:r>
          </w:p>
        </w:tc>
        <w:tc>
          <w:tcPr>
            <w:tcW w:w="1723" w:type="dxa"/>
            <w:vAlign w:val="center"/>
          </w:tcPr>
          <w:p>
            <w:pPr>
              <w:spacing w:before="60" w:after="60" w:line="240" w:lineRule="auto"/>
              <w:rPr>
                <w:noProof/>
              </w:rPr>
            </w:pPr>
            <w:r>
              <w:rPr>
                <w:noProof/>
              </w:rPr>
              <w:t>1006.30.61</w:t>
            </w:r>
          </w:p>
          <w:p>
            <w:pPr>
              <w:spacing w:before="60" w:after="60" w:line="240" w:lineRule="auto"/>
              <w:rPr>
                <w:noProof/>
              </w:rPr>
            </w:pPr>
            <w:r>
              <w:rPr>
                <w:noProof/>
              </w:rPr>
              <w:t>1006.30.63</w:t>
            </w:r>
          </w:p>
          <w:p>
            <w:pPr>
              <w:spacing w:before="60" w:after="60" w:line="240" w:lineRule="auto"/>
              <w:rPr>
                <w:noProof/>
              </w:rPr>
            </w:pPr>
            <w:r>
              <w:rPr>
                <w:noProof/>
              </w:rPr>
              <w:t>1006.30.65</w:t>
            </w:r>
          </w:p>
          <w:p>
            <w:pPr>
              <w:spacing w:before="60" w:after="60" w:line="240" w:lineRule="auto"/>
              <w:rPr>
                <w:noProof/>
              </w:rPr>
            </w:pPr>
            <w:r>
              <w:rPr>
                <w:noProof/>
              </w:rPr>
              <w:t>1006.30.67</w:t>
            </w:r>
          </w:p>
          <w:p>
            <w:pPr>
              <w:spacing w:before="60" w:after="60" w:line="240" w:lineRule="auto"/>
              <w:rPr>
                <w:noProof/>
              </w:rPr>
            </w:pPr>
            <w:r>
              <w:rPr>
                <w:noProof/>
              </w:rPr>
              <w:t>1006.30.92</w:t>
            </w:r>
          </w:p>
          <w:p>
            <w:pPr>
              <w:spacing w:before="60" w:after="60" w:line="240" w:lineRule="auto"/>
              <w:rPr>
                <w:noProof/>
              </w:rPr>
            </w:pPr>
            <w:r>
              <w:rPr>
                <w:noProof/>
              </w:rPr>
              <w:t>1006.30.94</w:t>
            </w:r>
          </w:p>
          <w:p>
            <w:pPr>
              <w:spacing w:before="60" w:after="60" w:line="240" w:lineRule="auto"/>
              <w:rPr>
                <w:noProof/>
              </w:rPr>
            </w:pPr>
            <w:r>
              <w:rPr>
                <w:noProof/>
              </w:rPr>
              <w:t>1006.30.96</w:t>
            </w:r>
          </w:p>
          <w:p>
            <w:pPr>
              <w:spacing w:before="60" w:after="60" w:line="240" w:lineRule="auto"/>
              <w:rPr>
                <w:noProof/>
              </w:rPr>
            </w:pPr>
            <w:r>
              <w:rPr>
                <w:noProof/>
              </w:rPr>
              <w:t>1006.30.98</w:t>
            </w:r>
          </w:p>
        </w:tc>
      </w:tr>
    </w:tbl>
    <w:p>
      <w:pPr>
        <w:rPr>
          <w:noProof/>
        </w:rPr>
      </w:pPr>
    </w:p>
    <w:p>
      <w:pPr>
        <w:ind w:left="567" w:hanging="567"/>
        <w:rPr>
          <w:noProof/>
        </w:rPr>
      </w:pPr>
      <w:r>
        <w:rPr>
          <w:noProof/>
        </w:rPr>
        <w:br w:type="page"/>
        <w:t>8.</w:t>
      </w:r>
      <w:r>
        <w:rPr>
          <w:noProof/>
        </w:rPr>
        <w:tab/>
        <w:t>To be eligible for duty</w:t>
      </w:r>
      <w:r>
        <w:rPr>
          <w:noProof/>
        </w:rPr>
        <w:noBreakHyphen/>
        <w:t>free import under the quota provided for in paragraph 7, the rice shall belong to one of the following varieties of fragrant rice:</w:t>
      </w:r>
    </w:p>
    <w:p>
      <w:pPr>
        <w:ind w:left="1134" w:hanging="567"/>
        <w:rPr>
          <w:noProof/>
        </w:rPr>
      </w:pPr>
    </w:p>
    <w:p>
      <w:pPr>
        <w:ind w:left="1134" w:hanging="567"/>
        <w:rPr>
          <w:noProof/>
        </w:rPr>
      </w:pPr>
      <w:r>
        <w:rPr>
          <w:noProof/>
        </w:rPr>
        <w:t>(a)</w:t>
      </w:r>
      <w:r>
        <w:rPr>
          <w:noProof/>
        </w:rPr>
        <w:tab/>
        <w:t>Jasmine 85,</w:t>
      </w:r>
    </w:p>
    <w:p>
      <w:pPr>
        <w:ind w:left="1134" w:hanging="567"/>
        <w:rPr>
          <w:noProof/>
        </w:rPr>
      </w:pPr>
    </w:p>
    <w:p>
      <w:pPr>
        <w:ind w:left="1134" w:hanging="567"/>
        <w:rPr>
          <w:noProof/>
        </w:rPr>
      </w:pPr>
      <w:r>
        <w:rPr>
          <w:noProof/>
        </w:rPr>
        <w:t>(b)</w:t>
      </w:r>
      <w:r>
        <w:rPr>
          <w:noProof/>
        </w:rPr>
        <w:tab/>
        <w:t>ST 5, ST 20,</w:t>
      </w:r>
    </w:p>
    <w:p>
      <w:pPr>
        <w:ind w:left="1134" w:hanging="567"/>
        <w:rPr>
          <w:noProof/>
        </w:rPr>
      </w:pPr>
    </w:p>
    <w:p>
      <w:pPr>
        <w:ind w:left="1134" w:hanging="567"/>
        <w:rPr>
          <w:noProof/>
          <w:lang w:val="sv-SE"/>
        </w:rPr>
      </w:pPr>
      <w:r>
        <w:rPr>
          <w:noProof/>
          <w:lang w:val="sv-SE"/>
        </w:rPr>
        <w:t>(c)</w:t>
      </w:r>
      <w:r>
        <w:rPr>
          <w:noProof/>
          <w:lang w:val="sv-SE"/>
        </w:rPr>
        <w:tab/>
        <w:t>Nang Hoa 9 (NàngHoa 9),</w:t>
      </w:r>
    </w:p>
    <w:p>
      <w:pPr>
        <w:ind w:left="1134" w:hanging="567"/>
        <w:rPr>
          <w:noProof/>
          <w:lang w:val="sv-SE"/>
        </w:rPr>
      </w:pPr>
    </w:p>
    <w:p>
      <w:pPr>
        <w:ind w:left="1134" w:hanging="567"/>
        <w:rPr>
          <w:noProof/>
          <w:lang w:val="sv-SE"/>
        </w:rPr>
      </w:pPr>
      <w:r>
        <w:rPr>
          <w:noProof/>
          <w:lang w:val="sv-SE"/>
        </w:rPr>
        <w:t>(d)</w:t>
      </w:r>
      <w:r>
        <w:rPr>
          <w:noProof/>
          <w:lang w:val="sv-SE"/>
        </w:rPr>
        <w:tab/>
        <w:t>VD 20,</w:t>
      </w:r>
    </w:p>
    <w:p>
      <w:pPr>
        <w:ind w:left="1134" w:hanging="567"/>
        <w:rPr>
          <w:noProof/>
          <w:lang w:val="sv-SE"/>
        </w:rPr>
      </w:pPr>
    </w:p>
    <w:p>
      <w:pPr>
        <w:ind w:left="1134" w:hanging="567"/>
        <w:rPr>
          <w:noProof/>
          <w:lang w:val="sv-SE"/>
        </w:rPr>
      </w:pPr>
      <w:r>
        <w:rPr>
          <w:noProof/>
          <w:lang w:val="sv-SE"/>
        </w:rPr>
        <w:t>(e)</w:t>
      </w:r>
      <w:r>
        <w:rPr>
          <w:noProof/>
          <w:lang w:val="sv-SE"/>
        </w:rPr>
        <w:tab/>
        <w:t>RVT,</w:t>
      </w:r>
    </w:p>
    <w:p>
      <w:pPr>
        <w:ind w:left="1134" w:hanging="567"/>
        <w:rPr>
          <w:noProof/>
          <w:lang w:val="sv-SE"/>
        </w:rPr>
      </w:pPr>
    </w:p>
    <w:p>
      <w:pPr>
        <w:ind w:left="1134" w:hanging="567"/>
        <w:rPr>
          <w:noProof/>
          <w:lang w:val="sv-SE"/>
        </w:rPr>
      </w:pPr>
      <w:r>
        <w:rPr>
          <w:noProof/>
          <w:lang w:val="sv-SE"/>
        </w:rPr>
        <w:t>(f)</w:t>
      </w:r>
      <w:r>
        <w:rPr>
          <w:noProof/>
          <w:lang w:val="sv-SE"/>
        </w:rPr>
        <w:tab/>
        <w:t>OM 4900,</w:t>
      </w:r>
    </w:p>
    <w:p>
      <w:pPr>
        <w:ind w:left="1134" w:hanging="567"/>
        <w:rPr>
          <w:noProof/>
          <w:lang w:val="sv-SE"/>
        </w:rPr>
      </w:pPr>
    </w:p>
    <w:p>
      <w:pPr>
        <w:ind w:left="1134" w:hanging="567"/>
        <w:rPr>
          <w:noProof/>
          <w:lang w:val="sv-SE"/>
        </w:rPr>
      </w:pPr>
      <w:r>
        <w:rPr>
          <w:noProof/>
          <w:lang w:val="sv-SE"/>
        </w:rPr>
        <w:t>(g)</w:t>
      </w:r>
      <w:r>
        <w:rPr>
          <w:noProof/>
          <w:lang w:val="sv-SE"/>
        </w:rPr>
        <w:tab/>
        <w:t>OM 5451, and</w:t>
      </w:r>
    </w:p>
    <w:p>
      <w:pPr>
        <w:ind w:left="1134" w:hanging="567"/>
        <w:rPr>
          <w:noProof/>
          <w:lang w:val="sv-SE"/>
        </w:rPr>
      </w:pPr>
    </w:p>
    <w:p>
      <w:pPr>
        <w:ind w:left="1134" w:hanging="567"/>
        <w:rPr>
          <w:noProof/>
          <w:lang w:val="sv-SE"/>
        </w:rPr>
      </w:pPr>
      <w:r>
        <w:rPr>
          <w:noProof/>
          <w:lang w:val="sv-SE"/>
        </w:rPr>
        <w:t>(h)</w:t>
      </w:r>
      <w:r>
        <w:rPr>
          <w:noProof/>
          <w:lang w:val="sv-SE"/>
        </w:rPr>
        <w:tab/>
        <w:t>Tai nguyen Cho Dao (Tàinguyên Chợ Đào).</w:t>
      </w:r>
    </w:p>
    <w:p>
      <w:pPr>
        <w:rPr>
          <w:noProof/>
          <w:lang w:val="sv-SE"/>
        </w:rPr>
      </w:pPr>
    </w:p>
    <w:p>
      <w:pPr>
        <w:ind w:left="567" w:hanging="567"/>
        <w:rPr>
          <w:noProof/>
        </w:rPr>
      </w:pPr>
      <w:r>
        <w:rPr>
          <w:noProof/>
        </w:rPr>
        <w:t>9.</w:t>
      </w:r>
      <w:r>
        <w:rPr>
          <w:noProof/>
        </w:rPr>
        <w:tab/>
        <w:t>The list of rice varieties in paragraph 8 may be amended by a decision of the Trade Committee in accordance with paragraph 2 of Article 17.5 (Amendments).</w:t>
      </w:r>
    </w:p>
    <w:p>
      <w:pPr>
        <w:rPr>
          <w:noProof/>
        </w:rPr>
      </w:pPr>
    </w:p>
    <w:p>
      <w:pPr>
        <w:ind w:left="567" w:hanging="567"/>
        <w:rPr>
          <w:noProof/>
        </w:rPr>
      </w:pPr>
      <w:r>
        <w:rPr>
          <w:noProof/>
        </w:rPr>
        <w:br w:type="page"/>
        <w:t>10.</w:t>
      </w:r>
      <w:r>
        <w:rPr>
          <w:noProof/>
        </w:rPr>
        <w:tab/>
        <w:t>The consignment of rice eligible for the tariff rate quota pursuant to paragraph 7 should be accompanied by an authenticity certificate issued by the relevant competent authorities of Viet Nam stating that the rice belongs to one of the varieties mentioned in paragraph 8.</w:t>
      </w:r>
    </w:p>
    <w:p>
      <w:pPr>
        <w:rPr>
          <w:noProof/>
        </w:rPr>
      </w:pPr>
    </w:p>
    <w:p>
      <w:pPr>
        <w:rPr>
          <w:noProof/>
        </w:rPr>
      </w:pPr>
      <w:r>
        <w:rPr>
          <w:noProof/>
        </w:rPr>
        <w:t>Manioc (cassava) starch</w:t>
      </w:r>
    </w:p>
    <w:p>
      <w:pPr>
        <w:rPr>
          <w:noProof/>
        </w:rPr>
      </w:pPr>
    </w:p>
    <w:p>
      <w:pPr>
        <w:ind w:left="567" w:hanging="567"/>
        <w:rPr>
          <w:noProof/>
        </w:rPr>
      </w:pPr>
      <w:r>
        <w:rPr>
          <w:noProof/>
        </w:rPr>
        <w:t>11.</w:t>
      </w:r>
      <w:r>
        <w:rPr>
          <w:noProof/>
        </w:rPr>
        <w:tab/>
        <w:t>Originating goods classified in the tariff line 1108.14.00 in the Union's Schedule shall be duty</w:t>
      </w:r>
      <w:r>
        <w:rPr>
          <w:noProof/>
        </w:rPr>
        <w:noBreakHyphen/>
        <w:t>free within an aggregated annual quantity of 30 000 metric tonnes.</w:t>
      </w:r>
    </w:p>
    <w:p>
      <w:pPr>
        <w:rPr>
          <w:noProof/>
        </w:rPr>
      </w:pPr>
    </w:p>
    <w:p>
      <w:pPr>
        <w:rPr>
          <w:noProof/>
        </w:rPr>
      </w:pPr>
      <w:r>
        <w:rPr>
          <w:noProof/>
        </w:rPr>
        <w:t>Tuna</w:t>
      </w:r>
    </w:p>
    <w:p>
      <w:pPr>
        <w:rPr>
          <w:noProof/>
        </w:rPr>
      </w:pPr>
    </w:p>
    <w:p>
      <w:pPr>
        <w:ind w:left="567" w:hanging="567"/>
        <w:rPr>
          <w:noProof/>
        </w:rPr>
      </w:pPr>
      <w:r>
        <w:rPr>
          <w:noProof/>
        </w:rPr>
        <w:t>12.</w:t>
      </w:r>
      <w:r>
        <w:rPr>
          <w:noProof/>
        </w:rPr>
        <w:tab/>
        <w:t>Originating goods classified in the tariff lines 1604.14.11, 1604.14.18, 1604.14.90, 1604.19.39 and 1604.20.70 in the Union's Schedule shall be duty</w:t>
      </w:r>
      <w:r>
        <w:rPr>
          <w:noProof/>
        </w:rPr>
        <w:noBreakHyphen/>
        <w:t>free within an aggregated annual quantity of 11 500 metric tonnes.</w:t>
      </w:r>
    </w:p>
    <w:p>
      <w:pPr>
        <w:rPr>
          <w:noProof/>
        </w:rPr>
      </w:pPr>
    </w:p>
    <w:p>
      <w:pPr>
        <w:rPr>
          <w:noProof/>
        </w:rPr>
      </w:pPr>
      <w:r>
        <w:rPr>
          <w:noProof/>
        </w:rPr>
        <w:t>Surimi</w:t>
      </w:r>
    </w:p>
    <w:p>
      <w:pPr>
        <w:rPr>
          <w:noProof/>
        </w:rPr>
      </w:pPr>
    </w:p>
    <w:p>
      <w:pPr>
        <w:ind w:left="567" w:hanging="567"/>
        <w:rPr>
          <w:noProof/>
        </w:rPr>
      </w:pPr>
      <w:r>
        <w:rPr>
          <w:noProof/>
        </w:rPr>
        <w:t>13.</w:t>
      </w:r>
      <w:r>
        <w:rPr>
          <w:noProof/>
        </w:rPr>
        <w:tab/>
        <w:t>Originating goods classified in the tariff line 1604.20.05 in the Union's Schedule shall be duty</w:t>
      </w:r>
      <w:r>
        <w:rPr>
          <w:noProof/>
        </w:rPr>
        <w:noBreakHyphen/>
        <w:t>free within an aggregated annual quantity of 500 metric tonnes.</w:t>
      </w:r>
    </w:p>
    <w:p>
      <w:pPr>
        <w:rPr>
          <w:noProof/>
        </w:rPr>
      </w:pPr>
    </w:p>
    <w:p>
      <w:pPr>
        <w:rPr>
          <w:noProof/>
        </w:rPr>
      </w:pPr>
      <w:r>
        <w:rPr>
          <w:noProof/>
        </w:rPr>
        <w:br w:type="page"/>
        <w:t>Sugar and other products containing high levels of sugar</w:t>
      </w:r>
    </w:p>
    <w:p>
      <w:pPr>
        <w:rPr>
          <w:noProof/>
        </w:rPr>
      </w:pPr>
    </w:p>
    <w:p>
      <w:pPr>
        <w:ind w:left="567" w:hanging="567"/>
        <w:rPr>
          <w:noProof/>
        </w:rPr>
      </w:pPr>
      <w:r>
        <w:rPr>
          <w:noProof/>
        </w:rPr>
        <w:t>14.</w:t>
      </w:r>
      <w:r>
        <w:rPr>
          <w:noProof/>
        </w:rPr>
        <w:tab/>
        <w:t>Originating goods classified in the following tariff lines in the Union's Schedule shall be duty</w:t>
      </w:r>
      <w:r>
        <w:rPr>
          <w:noProof/>
        </w:rPr>
        <w:noBreakHyphen/>
        <w:t>free within an aggregated annual quantity of 20 000 metric tonnes expressed in raw sugar equivalent:</w:t>
      </w:r>
    </w:p>
    <w:p>
      <w:pPr>
        <w:ind w:left="567" w:hanging="567"/>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418"/>
        <w:gridCol w:w="1559"/>
        <w:gridCol w:w="1454"/>
      </w:tblGrid>
      <w:tr>
        <w:trPr>
          <w:cantSplit/>
          <w:jc w:val="center"/>
        </w:trPr>
        <w:tc>
          <w:tcPr>
            <w:tcW w:w="1527" w:type="dxa"/>
            <w:shd w:val="clear" w:color="auto" w:fill="auto"/>
            <w:vAlign w:val="center"/>
          </w:tcPr>
          <w:p>
            <w:pPr>
              <w:spacing w:before="60" w:after="60" w:line="240" w:lineRule="auto"/>
              <w:rPr>
                <w:noProof/>
              </w:rPr>
            </w:pPr>
            <w:r>
              <w:rPr>
                <w:noProof/>
              </w:rPr>
              <w:t>1701.13.10</w:t>
            </w:r>
          </w:p>
          <w:p>
            <w:pPr>
              <w:spacing w:before="60" w:after="60" w:line="240" w:lineRule="auto"/>
              <w:rPr>
                <w:noProof/>
              </w:rPr>
            </w:pPr>
            <w:r>
              <w:rPr>
                <w:noProof/>
              </w:rPr>
              <w:t>1701.13.90</w:t>
            </w:r>
          </w:p>
          <w:p>
            <w:pPr>
              <w:spacing w:before="60" w:after="60" w:line="240" w:lineRule="auto"/>
              <w:rPr>
                <w:noProof/>
              </w:rPr>
            </w:pPr>
            <w:r>
              <w:rPr>
                <w:noProof/>
              </w:rPr>
              <w:t>1701.14.10</w:t>
            </w:r>
          </w:p>
          <w:p>
            <w:pPr>
              <w:spacing w:before="60" w:after="60" w:line="240" w:lineRule="auto"/>
              <w:rPr>
                <w:noProof/>
              </w:rPr>
            </w:pPr>
            <w:r>
              <w:rPr>
                <w:noProof/>
              </w:rPr>
              <w:t>1701.91.00</w:t>
            </w:r>
          </w:p>
        </w:tc>
        <w:tc>
          <w:tcPr>
            <w:tcW w:w="1418" w:type="dxa"/>
            <w:shd w:val="clear" w:color="auto" w:fill="auto"/>
            <w:vAlign w:val="center"/>
          </w:tcPr>
          <w:p>
            <w:pPr>
              <w:spacing w:before="60" w:after="60" w:line="240" w:lineRule="auto"/>
              <w:rPr>
                <w:noProof/>
              </w:rPr>
            </w:pPr>
            <w:r>
              <w:rPr>
                <w:noProof/>
              </w:rPr>
              <w:t>1701.99.10</w:t>
            </w:r>
          </w:p>
          <w:p>
            <w:pPr>
              <w:spacing w:before="60" w:after="60" w:line="240" w:lineRule="auto"/>
              <w:rPr>
                <w:noProof/>
              </w:rPr>
            </w:pPr>
            <w:r>
              <w:rPr>
                <w:noProof/>
              </w:rPr>
              <w:t>1701.99.90</w:t>
            </w:r>
          </w:p>
          <w:p>
            <w:pPr>
              <w:spacing w:before="60" w:after="60" w:line="240" w:lineRule="auto"/>
              <w:rPr>
                <w:noProof/>
              </w:rPr>
            </w:pPr>
            <w:r>
              <w:rPr>
                <w:noProof/>
              </w:rPr>
              <w:t>1702.30.50</w:t>
            </w:r>
          </w:p>
          <w:p>
            <w:pPr>
              <w:spacing w:before="60" w:after="60" w:line="240" w:lineRule="auto"/>
              <w:rPr>
                <w:noProof/>
              </w:rPr>
            </w:pPr>
            <w:r>
              <w:rPr>
                <w:noProof/>
              </w:rPr>
              <w:t>1702.90.50</w:t>
            </w:r>
          </w:p>
        </w:tc>
        <w:tc>
          <w:tcPr>
            <w:tcW w:w="1559" w:type="dxa"/>
            <w:vAlign w:val="center"/>
          </w:tcPr>
          <w:p>
            <w:pPr>
              <w:spacing w:before="60" w:after="60" w:line="240" w:lineRule="auto"/>
              <w:rPr>
                <w:noProof/>
              </w:rPr>
            </w:pPr>
            <w:r>
              <w:rPr>
                <w:noProof/>
              </w:rPr>
              <w:t>1702.90.71</w:t>
            </w:r>
          </w:p>
          <w:p>
            <w:pPr>
              <w:spacing w:before="60" w:after="60" w:line="240" w:lineRule="auto"/>
              <w:rPr>
                <w:noProof/>
              </w:rPr>
            </w:pPr>
            <w:r>
              <w:rPr>
                <w:noProof/>
              </w:rPr>
              <w:t>1702.90.75</w:t>
            </w:r>
          </w:p>
          <w:p>
            <w:pPr>
              <w:spacing w:before="60" w:after="60" w:line="240" w:lineRule="auto"/>
              <w:rPr>
                <w:noProof/>
              </w:rPr>
            </w:pPr>
            <w:r>
              <w:rPr>
                <w:noProof/>
              </w:rPr>
              <w:t>1702.90.79</w:t>
            </w:r>
          </w:p>
          <w:p>
            <w:pPr>
              <w:spacing w:before="60" w:after="60" w:line="240" w:lineRule="auto"/>
              <w:rPr>
                <w:noProof/>
              </w:rPr>
            </w:pPr>
            <w:r>
              <w:rPr>
                <w:noProof/>
              </w:rPr>
              <w:t>1702.90.95</w:t>
            </w:r>
          </w:p>
        </w:tc>
        <w:tc>
          <w:tcPr>
            <w:tcW w:w="1454" w:type="dxa"/>
          </w:tcPr>
          <w:p>
            <w:pPr>
              <w:spacing w:before="60" w:after="60" w:line="240" w:lineRule="auto"/>
              <w:rPr>
                <w:noProof/>
              </w:rPr>
            </w:pPr>
            <w:r>
              <w:rPr>
                <w:noProof/>
              </w:rPr>
              <w:t>1806.10.30</w:t>
            </w:r>
          </w:p>
          <w:p>
            <w:pPr>
              <w:spacing w:before="60" w:after="60" w:line="240" w:lineRule="auto"/>
              <w:rPr>
                <w:noProof/>
              </w:rPr>
            </w:pPr>
            <w:r>
              <w:rPr>
                <w:noProof/>
              </w:rPr>
              <w:t>1806.10.90</w:t>
            </w:r>
          </w:p>
        </w:tc>
      </w:tr>
    </w:tbl>
    <w:p>
      <w:pPr>
        <w:rPr>
          <w:noProof/>
        </w:rPr>
      </w:pPr>
    </w:p>
    <w:p>
      <w:pPr>
        <w:rPr>
          <w:noProof/>
        </w:rPr>
      </w:pPr>
    </w:p>
    <w:p>
      <w:pPr>
        <w:rPr>
          <w:noProof/>
        </w:rPr>
      </w:pPr>
      <w:r>
        <w:rPr>
          <w:noProof/>
        </w:rPr>
        <w:t>Speciality sugar</w:t>
      </w:r>
    </w:p>
    <w:p>
      <w:pPr>
        <w:rPr>
          <w:noProof/>
        </w:rPr>
      </w:pPr>
    </w:p>
    <w:p>
      <w:pPr>
        <w:ind w:left="567" w:hanging="567"/>
        <w:rPr>
          <w:noProof/>
        </w:rPr>
      </w:pPr>
      <w:r>
        <w:rPr>
          <w:noProof/>
        </w:rPr>
        <w:t>15.</w:t>
      </w:r>
      <w:r>
        <w:rPr>
          <w:noProof/>
        </w:rPr>
        <w:tab/>
        <w:t>Originating goods classified in the tariff line 1701.14.90 in the Union's Schedule shall be duty</w:t>
      </w:r>
      <w:r>
        <w:rPr>
          <w:noProof/>
        </w:rPr>
        <w:noBreakHyphen/>
        <w:t>free within an aggregated annual quantity of 400 metric tonnes.</w:t>
      </w:r>
    </w:p>
    <w:p>
      <w:pPr>
        <w:rPr>
          <w:noProof/>
        </w:rPr>
      </w:pPr>
    </w:p>
    <w:p>
      <w:pPr>
        <w:rPr>
          <w:noProof/>
        </w:rPr>
      </w:pPr>
      <w:r>
        <w:rPr>
          <w:noProof/>
        </w:rPr>
        <w:br w:type="page"/>
        <w:t>Mushrooms</w:t>
      </w:r>
    </w:p>
    <w:p>
      <w:pPr>
        <w:rPr>
          <w:noProof/>
        </w:rPr>
      </w:pPr>
    </w:p>
    <w:p>
      <w:pPr>
        <w:ind w:left="567" w:hanging="567"/>
        <w:rPr>
          <w:noProof/>
        </w:rPr>
      </w:pPr>
      <w:r>
        <w:rPr>
          <w:noProof/>
        </w:rPr>
        <w:t>16.</w:t>
      </w:r>
      <w:r>
        <w:rPr>
          <w:noProof/>
        </w:rPr>
        <w:tab/>
        <w:t>Originating goods classified in the tariff lines 0711.51.00, 2001.90.50, 2003.10.20 and 2003.10.30 in the Union's Schedule shall be duty</w:t>
      </w:r>
      <w:r>
        <w:rPr>
          <w:noProof/>
        </w:rPr>
        <w:noBreakHyphen/>
        <w:t>free within an aggregated annual quantity of 350 metric tonnes:</w:t>
      </w:r>
    </w:p>
    <w:p>
      <w:pPr>
        <w:rPr>
          <w:noProof/>
        </w:rPr>
      </w:pPr>
    </w:p>
    <w:p>
      <w:pPr>
        <w:rPr>
          <w:noProof/>
        </w:rPr>
      </w:pPr>
      <w:r>
        <w:rPr>
          <w:noProof/>
        </w:rPr>
        <w:t>Ethanol</w:t>
      </w:r>
    </w:p>
    <w:p>
      <w:pPr>
        <w:rPr>
          <w:noProof/>
        </w:rPr>
      </w:pPr>
    </w:p>
    <w:p>
      <w:pPr>
        <w:ind w:left="567" w:hanging="567"/>
        <w:rPr>
          <w:noProof/>
        </w:rPr>
      </w:pPr>
      <w:r>
        <w:rPr>
          <w:noProof/>
        </w:rPr>
        <w:t>17.</w:t>
      </w:r>
      <w:r>
        <w:rPr>
          <w:noProof/>
        </w:rPr>
        <w:tab/>
        <w:t>Originating goods classified in tariff lines 2207.10.00 and 2207.20.00 in the Union's Schedule shall be duty</w:t>
      </w:r>
      <w:r>
        <w:rPr>
          <w:noProof/>
        </w:rPr>
        <w:noBreakHyphen/>
        <w:t>free within an aggregated annual quantity of 1 000 metric tonnes.</w:t>
      </w:r>
    </w:p>
    <w:p>
      <w:pPr>
        <w:rPr>
          <w:noProof/>
        </w:rPr>
      </w:pPr>
    </w:p>
    <w:p>
      <w:pPr>
        <w:rPr>
          <w:noProof/>
        </w:rPr>
      </w:pPr>
      <w:r>
        <w:rPr>
          <w:noProof/>
        </w:rPr>
        <w:t>Mannitol, Sorbitol, Dextrins and other modified starches</w:t>
      </w:r>
    </w:p>
    <w:p>
      <w:pPr>
        <w:rPr>
          <w:noProof/>
        </w:rPr>
      </w:pPr>
    </w:p>
    <w:p>
      <w:pPr>
        <w:ind w:left="567" w:hanging="567"/>
        <w:rPr>
          <w:noProof/>
        </w:rPr>
      </w:pPr>
      <w:r>
        <w:rPr>
          <w:noProof/>
        </w:rPr>
        <w:t>18.</w:t>
      </w:r>
      <w:r>
        <w:rPr>
          <w:noProof/>
        </w:rPr>
        <w:tab/>
        <w:t>Originating goods classified in the tariff lines 2905.43.00, 2905.44.11, 2905.44.19, 2905.44.91, 3505.10.10, 3505.10.90 and 3824.60.19 in the Union's Schedule shall be duty</w:t>
      </w:r>
      <w:r>
        <w:rPr>
          <w:noProof/>
        </w:rPr>
        <w:noBreakHyphen/>
        <w:t>free within an aggregated annual quantity of 2 000 metric tonnes.</w:t>
      </w:r>
    </w:p>
    <w:p>
      <w:pPr>
        <w:rPr>
          <w:noProof/>
        </w:rPr>
      </w:pPr>
    </w:p>
    <w:p>
      <w:pPr>
        <w:rPr>
          <w:noProof/>
        </w:rPr>
      </w:pPr>
    </w:p>
    <w:p>
      <w:pPr>
        <w:jc w:val="center"/>
        <w:rPr>
          <w:noProof/>
        </w:rPr>
      </w:pPr>
      <w:r>
        <w:rPr>
          <w:noProof/>
        </w:rPr>
        <w:br w:type="page"/>
        <w:t>SUB</w:t>
      </w:r>
      <w:r>
        <w:rPr>
          <w:noProof/>
        </w:rPr>
        <w:noBreakHyphen/>
        <w:t>SECTION 2</w:t>
      </w:r>
    </w:p>
    <w:p>
      <w:pPr>
        <w:jc w:val="center"/>
        <w:rPr>
          <w:noProof/>
        </w:rPr>
      </w:pPr>
    </w:p>
    <w:p>
      <w:pPr>
        <w:jc w:val="center"/>
        <w:rPr>
          <w:noProof/>
        </w:rPr>
      </w:pPr>
      <w:r>
        <w:rPr>
          <w:noProof/>
        </w:rPr>
        <w:t>VIET NAM TARIFF RATE QUOTA</w:t>
      </w:r>
    </w:p>
    <w:p>
      <w:pPr>
        <w:jc w:val="center"/>
        <w:rPr>
          <w:noProof/>
        </w:rPr>
      </w:pPr>
    </w:p>
    <w:p>
      <w:pPr>
        <w:ind w:left="567" w:hanging="567"/>
        <w:rPr>
          <w:noProof/>
        </w:rPr>
      </w:pPr>
      <w:r>
        <w:rPr>
          <w:noProof/>
        </w:rPr>
        <w:t>1.</w:t>
      </w:r>
      <w:r>
        <w:rPr>
          <w:noProof/>
        </w:rPr>
        <w:tab/>
        <w:t>The implementation period, volume of quotas, administration methods and other terms and conditions relating to the allocation of Viet Nam tariff rate quotas shall be consistent with Viet Nam's commitments in the WTO.</w:t>
      </w:r>
    </w:p>
    <w:p>
      <w:pPr>
        <w:ind w:left="567" w:hanging="567"/>
        <w:rPr>
          <w:noProof/>
        </w:rPr>
      </w:pPr>
    </w:p>
    <w:p>
      <w:pPr>
        <w:ind w:left="567" w:hanging="567"/>
        <w:rPr>
          <w:noProof/>
        </w:rPr>
      </w:pPr>
      <w:r>
        <w:rPr>
          <w:noProof/>
        </w:rPr>
        <w:t>2.</w:t>
      </w:r>
      <w:r>
        <w:rPr>
          <w:noProof/>
        </w:rPr>
        <w:tab/>
        <w:t>The in</w:t>
      </w:r>
      <w:r>
        <w:rPr>
          <w:noProof/>
        </w:rPr>
        <w:noBreakHyphen/>
        <w:t>quota customs duties on originating goods provided for in the items in staging category "B10</w:t>
      </w:r>
      <w:r>
        <w:rPr>
          <w:noProof/>
        </w:rPr>
        <w:noBreakHyphen/>
        <w:t>in</w:t>
      </w:r>
      <w:r>
        <w:rPr>
          <w:noProof/>
        </w:rPr>
        <w:noBreakHyphen/>
        <w:t>quota" in Viet Nam's Schedule shall be removed in 11 equal annual stages beginning on the date of entry into force of this Agreement, and such goods shall thereafter be free of any in</w:t>
      </w:r>
      <w:r>
        <w:rPr>
          <w:noProof/>
        </w:rPr>
        <w:noBreakHyphen/>
        <w:t>quota customs duty.</w:t>
      </w:r>
    </w:p>
    <w:p>
      <w:pPr>
        <w:ind w:left="567" w:hanging="567"/>
        <w:rPr>
          <w:noProof/>
        </w:rPr>
      </w:pPr>
    </w:p>
    <w:p>
      <w:pPr>
        <w:ind w:left="567" w:hanging="567"/>
        <w:rPr>
          <w:noProof/>
        </w:rPr>
      </w:pPr>
      <w:r>
        <w:rPr>
          <w:noProof/>
        </w:rPr>
        <w:t>3.</w:t>
      </w:r>
      <w:r>
        <w:rPr>
          <w:noProof/>
        </w:rPr>
        <w:tab/>
        <w:t>The out</w:t>
      </w:r>
      <w:r>
        <w:rPr>
          <w:noProof/>
        </w:rPr>
        <w:noBreakHyphen/>
        <w:t>of</w:t>
      </w:r>
      <w:r>
        <w:rPr>
          <w:noProof/>
        </w:rPr>
        <w:noBreakHyphen/>
        <w:t>quota customs duties on originating goods provided for in the items in staging category "B10</w:t>
      </w:r>
      <w:r>
        <w:rPr>
          <w:noProof/>
        </w:rPr>
        <w:noBreakHyphen/>
        <w:t>in</w:t>
      </w:r>
      <w:r>
        <w:rPr>
          <w:noProof/>
        </w:rPr>
        <w:noBreakHyphen/>
        <w:t>quota" in Viet Nam's Schedule are unbound.</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Appendix 2</w:t>
      </w:r>
      <w:r>
        <w:rPr>
          <w:b/>
          <w:bCs/>
          <w:noProof/>
          <w:u w:val="single"/>
        </w:rPr>
        <w:noBreakHyphen/>
        <w:t>A</w:t>
      </w:r>
      <w:r>
        <w:rPr>
          <w:b/>
          <w:bCs/>
          <w:noProof/>
          <w:u w:val="single"/>
        </w:rPr>
        <w:noBreakHyphen/>
        <w:t>1</w:t>
      </w:r>
    </w:p>
    <w:p>
      <w:pPr>
        <w:rPr>
          <w:noProof/>
        </w:rPr>
      </w:pPr>
    </w:p>
    <w:p>
      <w:pPr>
        <w:rPr>
          <w:noProof/>
        </w:rPr>
      </w:pPr>
    </w:p>
    <w:p>
      <w:pPr>
        <w:jc w:val="center"/>
        <w:rPr>
          <w:noProof/>
        </w:rPr>
      </w:pPr>
      <w:r>
        <w:rPr>
          <w:noProof/>
        </w:rPr>
        <w:t>Tariff Schedule of the Union</w:t>
      </w:r>
    </w:p>
    <w:p>
      <w:pPr>
        <w:rPr>
          <w:noProof/>
        </w:rPr>
      </w:pPr>
    </w:p>
    <w:p>
      <w:pPr>
        <w:rPr>
          <w:noProof/>
        </w:rPr>
      </w:pPr>
      <w:r>
        <w:rPr>
          <w:noProof/>
        </w:rPr>
        <w:t>General Notes</w:t>
      </w:r>
    </w:p>
    <w:p>
      <w:pPr>
        <w:rPr>
          <w:noProof/>
        </w:rPr>
      </w:pPr>
    </w:p>
    <w:p>
      <w:pPr>
        <w:rPr>
          <w:noProof/>
        </w:rPr>
      </w:pPr>
      <w:r>
        <w:rPr>
          <w:noProof/>
        </w:rPr>
        <w:t>Relation to the Combined Nomenclature (CN) of the Union</w:t>
      </w:r>
    </w:p>
    <w:p>
      <w:pPr>
        <w:rPr>
          <w:noProof/>
        </w:rPr>
      </w:pPr>
    </w:p>
    <w:p>
      <w:pPr>
        <w:ind w:left="567" w:hanging="567"/>
        <w:rPr>
          <w:noProof/>
        </w:rPr>
      </w:pPr>
      <w:r>
        <w:rPr>
          <w:noProof/>
        </w:rPr>
        <w:t>1.</w:t>
      </w:r>
      <w:r>
        <w:rPr>
          <w:noProof/>
        </w:rPr>
        <w:tab/>
        <w:t>The provisions of this Schedule are generally expressed in terms of the CN, and the interpretation of the provisions of this Schedule, including the product coverage of subheadings of this Schedule, shall be governed by the General Notes, Section Notes, and Chapter Notes of the CN. To the extent that the provisions of this Schedule are identical to the corresponding provisions of the CN, the provisions of this Schedule shall have the same meaning as the corresponding provisions of the CN.</w:t>
      </w:r>
    </w:p>
    <w:p>
      <w:pPr>
        <w:rPr>
          <w:noProof/>
        </w:rPr>
      </w:pPr>
    </w:p>
    <w:p>
      <w:pPr>
        <w:rPr>
          <w:noProof/>
        </w:rPr>
      </w:pPr>
      <w:r>
        <w:rPr>
          <w:noProof/>
        </w:rPr>
        <w:t>Base Rates of Customs Duty</w:t>
      </w:r>
    </w:p>
    <w:p>
      <w:pPr>
        <w:rPr>
          <w:noProof/>
        </w:rPr>
      </w:pPr>
    </w:p>
    <w:p>
      <w:pPr>
        <w:ind w:left="567" w:hanging="567"/>
        <w:rPr>
          <w:noProof/>
        </w:rPr>
      </w:pPr>
      <w:r>
        <w:rPr>
          <w:noProof/>
        </w:rPr>
        <w:t>2.</w:t>
      </w:r>
      <w:r>
        <w:rPr>
          <w:noProof/>
        </w:rPr>
        <w:tab/>
        <w:t>The base rates of customs duty provided for in this Schedule reflect the Union's Common Customs Tariff rates of duty in effect on 26 June 2012.</w:t>
      </w:r>
    </w:p>
    <w:p>
      <w:pPr>
        <w:rPr>
          <w:noProof/>
        </w:rPr>
      </w:pPr>
    </w:p>
    <w:p>
      <w:pPr>
        <w:rPr>
          <w:noProof/>
        </w:rPr>
      </w:pPr>
      <w:r>
        <w:rPr>
          <w:noProof/>
        </w:rPr>
        <w:br w:type="page"/>
        <w:t>Athletic/Sports Footwear</w:t>
      </w:r>
    </w:p>
    <w:p>
      <w:pPr>
        <w:rPr>
          <w:noProof/>
        </w:rPr>
      </w:pPr>
    </w:p>
    <w:p>
      <w:pPr>
        <w:ind w:left="567" w:hanging="567"/>
        <w:rPr>
          <w:noProof/>
        </w:rPr>
      </w:pPr>
      <w:r>
        <w:rPr>
          <w:noProof/>
        </w:rPr>
        <w:t>3.</w:t>
      </w:r>
      <w:r>
        <w:rPr>
          <w:noProof/>
        </w:rPr>
        <w:tab/>
        <w:t>Footwear covered by the ex</w:t>
      </w:r>
      <w:r>
        <w:rPr>
          <w:noProof/>
        </w:rPr>
        <w:noBreakHyphen/>
        <w:t>out description for CN codes 6403.91.11B, 6403.91.13B, 6403.91.16B, 6403.91.18B, 6403.99.91B, 6403.99.93B, 6403.99.96B and 6403.99.98B in the Union's Schedule must have a non</w:t>
      </w:r>
      <w:r>
        <w:rPr>
          <w:noProof/>
        </w:rPr>
        <w:noBreakHyphen/>
        <w:t>slip outer sole manufactured from synthetic materials such as low</w:t>
      </w:r>
      <w:r>
        <w:rPr>
          <w:noProof/>
        </w:rPr>
        <w:noBreakHyphen/>
        <w:t>density polymers or have technical features such as hermetic pads containing gas or fluid, mechanical components specially designed to absorb impacts, or special materials such as low</w:t>
      </w:r>
      <w:r>
        <w:rPr>
          <w:noProof/>
        </w:rPr>
        <w:noBreakHyphen/>
        <w:t>density polymers. In addition, such shoes must have a fastening device or lacing system with a minimum of five eyelet holes on each side of the upper of the shoe, which gives the foot stability in the shoe. The inner sole of such shoes must be moulded.</w:t>
      </w:r>
    </w:p>
    <w:p>
      <w:pPr>
        <w:rPr>
          <w:noProof/>
        </w:rPr>
      </w:pPr>
    </w:p>
    <w:p>
      <w:pPr>
        <w:jc w:val="cente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rPr>
      </w:pPr>
      <w:r>
        <w:rPr>
          <w:noProof/>
        </w:rPr>
        <w:t>Tariff Schedule of the Union</w:t>
      </w:r>
    </w:p>
    <w:p>
      <w:pPr>
        <w:rPr>
          <w:noProof/>
        </w:rPr>
      </w:pPr>
      <w:r>
        <w:rPr>
          <w:noProof/>
        </w:rPr>
        <w:t>[Insert Tariff Schedule of document 02]</w:t>
      </w:r>
    </w:p>
    <w:p>
      <w:pPr>
        <w:rPr>
          <w:noProof/>
        </w:rPr>
      </w:pPr>
    </w:p>
    <w:p>
      <w:pPr>
        <w:rPr>
          <w:noProof/>
        </w:rPr>
      </w:pPr>
    </w:p>
    <w:p>
      <w:pPr>
        <w:jc w:val="center"/>
        <w:rPr>
          <w:noProof/>
        </w:rPr>
      </w:pPr>
      <w:r>
        <w:rPr>
          <w:noProof/>
        </w:rPr>
        <w:t>________________</w:t>
      </w:r>
    </w:p>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2-A/en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2-A/en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2-A/en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Official Journal of the European Union L</w:t>
      </w:r>
      <w:r>
        <w:rPr>
          <w:rFonts w:hint="cs"/>
        </w:rPr>
        <w:t> </w:t>
      </w:r>
      <w:r>
        <w:t>157, 15.6.2011,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8">
    <w:nsid w:val="0EC12965"/>
    <w:multiLevelType w:val="hybridMultilevel"/>
    <w:tmpl w:val="3EDE36FA"/>
    <w:lvl w:ilvl="0" w:tplc="0809000F">
      <w:start w:val="1"/>
      <w:numFmt w:val="decimal"/>
      <w:lvlText w:val="%1."/>
      <w:lvlJc w:val="left"/>
      <w:pPr>
        <w:ind w:left="360" w:hanging="360"/>
      </w:pPr>
    </w:lvl>
    <w:lvl w:ilvl="1" w:tplc="9326AD3A">
      <w:start w:val="1"/>
      <w:numFmt w:val="lowerLetter"/>
      <w:lvlText w:val="(%2)"/>
      <w:lvlJc w:val="left"/>
      <w:pPr>
        <w:ind w:left="1596" w:hanging="876"/>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0">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1">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8">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2">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3">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5">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6">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29">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0">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3">
    <w:nsid w:val="756B6197"/>
    <w:multiLevelType w:val="hybridMultilevel"/>
    <w:tmpl w:val="4D0A053E"/>
    <w:lvl w:ilvl="0" w:tplc="E62AA0CC">
      <w:start w:val="1"/>
      <w:numFmt w:val="lowerLetter"/>
      <w:lvlText w:val="(%1)"/>
      <w:lvlJc w:val="left"/>
      <w:pPr>
        <w:ind w:left="-720" w:hanging="360"/>
      </w:pPr>
    </w:lvl>
    <w:lvl w:ilvl="1" w:tplc="E62AA0CC">
      <w:start w:val="1"/>
      <w:numFmt w:val="lowerLetter"/>
      <w:lvlText w:val="(%2)"/>
      <w:lvlJc w:val="left"/>
      <w:pPr>
        <w:ind w:left="0" w:hanging="360"/>
      </w:pPr>
    </w:lvl>
    <w:lvl w:ilvl="2" w:tplc="0809001B">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4">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7">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8">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9">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2"/>
  </w:num>
  <w:num w:numId="3">
    <w:abstractNumId w:val="36"/>
  </w:num>
  <w:num w:numId="4">
    <w:abstractNumId w:val="12"/>
  </w:num>
  <w:num w:numId="5">
    <w:abstractNumId w:val="24"/>
  </w:num>
  <w:num w:numId="6">
    <w:abstractNumId w:val="20"/>
  </w:num>
  <w:num w:numId="7">
    <w:abstractNumId w:val="23"/>
  </w:num>
  <w:num w:numId="8">
    <w:abstractNumId w:val="32"/>
  </w:num>
  <w:num w:numId="9">
    <w:abstractNumId w:val="15"/>
  </w:num>
  <w:num w:numId="10">
    <w:abstractNumId w:val="6"/>
  </w:num>
  <w:num w:numId="11">
    <w:abstractNumId w:val="13"/>
  </w:num>
  <w:num w:numId="12">
    <w:abstractNumId w:val="13"/>
  </w:num>
  <w:num w:numId="13">
    <w:abstractNumId w:val="13"/>
  </w:num>
  <w:num w:numId="14">
    <w:abstractNumId w:val="13"/>
  </w:num>
  <w:num w:numId="15">
    <w:abstractNumId w:val="3"/>
  </w:num>
  <w:num w:numId="16">
    <w:abstractNumId w:val="27"/>
  </w:num>
  <w:num w:numId="17">
    <w:abstractNumId w:val="19"/>
  </w:num>
  <w:num w:numId="18">
    <w:abstractNumId w:val="14"/>
  </w:num>
  <w:num w:numId="19">
    <w:abstractNumId w:val="7"/>
  </w:num>
  <w:num w:numId="20">
    <w:abstractNumId w:val="4"/>
  </w:num>
  <w:num w:numId="21">
    <w:abstractNumId w:val="21"/>
  </w:num>
  <w:num w:numId="22">
    <w:abstractNumId w:val="5"/>
  </w:num>
  <w:num w:numId="23">
    <w:abstractNumId w:val="2"/>
  </w:num>
  <w:num w:numId="24">
    <w:abstractNumId w:val="1"/>
  </w:num>
  <w:num w:numId="25">
    <w:abstractNumId w:val="0"/>
  </w:num>
  <w:num w:numId="26">
    <w:abstractNumId w:val="9"/>
  </w:num>
  <w:num w:numId="27">
    <w:abstractNumId w:val="17"/>
  </w:num>
  <w:num w:numId="28">
    <w:abstractNumId w:val="25"/>
  </w:num>
  <w:num w:numId="29">
    <w:abstractNumId w:val="26"/>
  </w:num>
  <w:num w:numId="30">
    <w:abstractNumId w:val="31"/>
  </w:num>
  <w:num w:numId="31">
    <w:abstractNumId w:val="30"/>
  </w:num>
  <w:num w:numId="32">
    <w:abstractNumId w:val="34"/>
  </w:num>
  <w:num w:numId="33">
    <w:abstractNumId w:val="38"/>
  </w:num>
  <w:num w:numId="34">
    <w:abstractNumId w:val="35"/>
  </w:num>
  <w:num w:numId="35">
    <w:abstractNumId w:val="10"/>
  </w:num>
  <w:num w:numId="36">
    <w:abstractNumId w:val="39"/>
  </w:num>
  <w:num w:numId="37">
    <w:abstractNumId w:val="18"/>
  </w:num>
  <w:num w:numId="38">
    <w:abstractNumId w:val="29"/>
  </w:num>
  <w:num w:numId="39">
    <w:abstractNumId w:val="37"/>
  </w:num>
  <w:num w:numId="40">
    <w:abstractNumId w:val="28"/>
  </w:num>
  <w:num w:numId="41">
    <w:abstractNumId w:val="11"/>
  </w:num>
  <w:num w:numId="42">
    <w:abstractNumId w:val="8"/>
  </w:num>
  <w:num w:numId="43">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2"/>
    <w:docVar w:name="LW_ANNEX_NBR_LAST" w:val="2"/>
    <w:docVar w:name="LW_ANNEX_UNIQUE" w:val="0"/>
    <w:docVar w:name="LW_CORRIGENDUM" w:val="&lt;UNUSED&gt;"/>
    <w:docVar w:name="LW_COVERPAGE_EXISTS" w:val="True"/>
    <w:docVar w:name="LW_COVERPAGE_GUID" w:val="C14FD84A-4DB8-48BA-9FF6-1498FE2A9F19"/>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Socialist Republic of Viet Nam"/>
    <w:docVar w:name="LW_PART_NBR" w:val="1"/>
    <w:docVar w:name="LW_PART_NBR_TOTAL" w:val="1"/>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288DC-536A-466D-93B4-2E9449F6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2501</Words>
  <Characters>12159</Characters>
  <Application>Microsoft Office Word</Application>
  <DocSecurity>0</DocSecurity>
  <Lines>607</Lines>
  <Paragraphs>444</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15</cp:revision>
  <cp:lastPrinted>2004-04-02T13:43:00Z</cp:lastPrinted>
  <dcterms:created xsi:type="dcterms:W3CDTF">2018-07-02T08:48:00Z</dcterms:created>
  <dcterms:modified xsi:type="dcterms:W3CDTF">2018-10-16T13:03:00Z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