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E7F0DA0-DFA2-4978-8505-34B65446ED5B" style="width:450.75pt;height:37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u w:val="single"/>
        </w:rPr>
      </w:pPr>
      <w:bookmarkStart w:id="1" w:name="_GoBack"/>
      <w:bookmarkEnd w:id="1"/>
      <w:r>
        <w:rPr>
          <w:b/>
          <w:noProof/>
          <w:u w:val="single"/>
        </w:rPr>
        <w:lastRenderedPageBreak/>
        <w:t>ПРИЛОЖЕНИЕ 1</w:t>
      </w:r>
    </w:p>
    <w:p>
      <w:pPr>
        <w:spacing w:after="240"/>
        <w:jc w:val="center"/>
        <w:rPr>
          <w:b/>
          <w:noProof/>
        </w:rPr>
      </w:pPr>
      <w:r>
        <w:rPr>
          <w:b/>
          <w:noProof/>
        </w:rPr>
        <w:t>Брой становища, получени от Комисията през 2017 г., по национални парламенти/камари (политически диалог и механизъм за контрол на субсидиарността)</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trPr>
          <w:cantSplit/>
          <w:tblHeader/>
        </w:trPr>
        <w:tc>
          <w:tcPr>
            <w:tcW w:w="1909" w:type="dxa"/>
            <w:shd w:val="clear" w:color="auto" w:fill="auto"/>
            <w:vAlign w:val="center"/>
          </w:tcPr>
          <w:p>
            <w:pPr>
              <w:spacing w:before="60" w:after="60"/>
              <w:jc w:val="center"/>
              <w:rPr>
                <w:b/>
                <w:bCs/>
                <w:noProof/>
                <w:color w:val="000000"/>
                <w:sz w:val="22"/>
                <w:szCs w:val="22"/>
              </w:rPr>
            </w:pPr>
            <w:r>
              <w:rPr>
                <w:b/>
                <w:noProof/>
                <w:color w:val="000000"/>
                <w:sz w:val="22"/>
              </w:rPr>
              <w:t>Държава членка</w:t>
            </w:r>
          </w:p>
        </w:tc>
        <w:tc>
          <w:tcPr>
            <w:tcW w:w="3609" w:type="dxa"/>
            <w:shd w:val="clear" w:color="auto" w:fill="auto"/>
            <w:vAlign w:val="center"/>
          </w:tcPr>
          <w:p>
            <w:pPr>
              <w:spacing w:before="60" w:after="60"/>
              <w:jc w:val="center"/>
              <w:rPr>
                <w:b/>
                <w:bCs/>
                <w:noProof/>
                <w:color w:val="000000"/>
                <w:sz w:val="22"/>
                <w:szCs w:val="22"/>
              </w:rPr>
            </w:pPr>
            <w:r>
              <w:rPr>
                <w:b/>
                <w:noProof/>
                <w:color w:val="000000"/>
                <w:sz w:val="22"/>
              </w:rPr>
              <w:t>Камара</w:t>
            </w:r>
          </w:p>
        </w:tc>
        <w:tc>
          <w:tcPr>
            <w:tcW w:w="1660" w:type="dxa"/>
            <w:shd w:val="clear" w:color="auto" w:fill="auto"/>
            <w:vAlign w:val="center"/>
          </w:tcPr>
          <w:p>
            <w:pPr>
              <w:spacing w:before="60" w:after="60"/>
              <w:jc w:val="center"/>
              <w:rPr>
                <w:b/>
                <w:bCs/>
                <w:noProof/>
                <w:color w:val="000000"/>
                <w:sz w:val="22"/>
                <w:szCs w:val="22"/>
              </w:rPr>
            </w:pPr>
            <w:r>
              <w:rPr>
                <w:b/>
                <w:noProof/>
                <w:color w:val="000000"/>
                <w:sz w:val="22"/>
              </w:rPr>
              <w:t>Общ</w:t>
            </w:r>
            <w:r>
              <w:rPr>
                <w:b/>
                <w:bCs/>
                <w:noProof/>
                <w:color w:val="000000"/>
                <w:sz w:val="22"/>
                <w:szCs w:val="22"/>
              </w:rPr>
              <w:br/>
            </w:r>
            <w:r>
              <w:rPr>
                <w:b/>
                <w:noProof/>
                <w:color w:val="000000"/>
                <w:sz w:val="22"/>
              </w:rPr>
              <w:t>брой</w:t>
            </w:r>
            <w:r>
              <w:rPr>
                <w:b/>
                <w:bCs/>
                <w:noProof/>
                <w:color w:val="000000"/>
                <w:sz w:val="22"/>
                <w:szCs w:val="22"/>
              </w:rPr>
              <w:br/>
            </w:r>
            <w:r>
              <w:rPr>
                <w:b/>
                <w:noProof/>
                <w:color w:val="000000"/>
                <w:sz w:val="22"/>
              </w:rPr>
              <w:t>становища</w:t>
            </w:r>
            <w:r>
              <w:rPr>
                <w:rStyle w:val="FootnoteReference"/>
                <w:noProof/>
                <w:sz w:val="22"/>
              </w:rPr>
              <w:footnoteReference w:id="1"/>
            </w:r>
          </w:p>
        </w:tc>
        <w:tc>
          <w:tcPr>
            <w:tcW w:w="2364" w:type="dxa"/>
            <w:shd w:val="clear" w:color="auto" w:fill="auto"/>
            <w:vAlign w:val="center"/>
          </w:tcPr>
          <w:p>
            <w:pPr>
              <w:spacing w:before="60" w:after="60"/>
              <w:jc w:val="center"/>
              <w:rPr>
                <w:b/>
                <w:bCs/>
                <w:noProof/>
                <w:color w:val="000000"/>
                <w:sz w:val="22"/>
                <w:szCs w:val="22"/>
              </w:rPr>
            </w:pPr>
            <w:r>
              <w:rPr>
                <w:b/>
                <w:noProof/>
                <w:color w:val="000000"/>
                <w:sz w:val="22"/>
              </w:rPr>
              <w:t>Брой</w:t>
            </w:r>
            <w:r>
              <w:rPr>
                <w:b/>
                <w:bCs/>
                <w:noProof/>
                <w:color w:val="000000"/>
                <w:sz w:val="22"/>
                <w:szCs w:val="22"/>
              </w:rPr>
              <w:br/>
            </w:r>
            <w:r>
              <w:rPr>
                <w:b/>
                <w:noProof/>
                <w:color w:val="000000"/>
                <w:sz w:val="22"/>
              </w:rPr>
              <w:t>мотивирани</w:t>
            </w:r>
            <w:r>
              <w:rPr>
                <w:b/>
                <w:bCs/>
                <w:noProof/>
                <w:color w:val="000000"/>
                <w:sz w:val="22"/>
                <w:szCs w:val="22"/>
              </w:rPr>
              <w:br/>
            </w:r>
            <w:r>
              <w:rPr>
                <w:b/>
                <w:noProof/>
                <w:color w:val="000000"/>
                <w:sz w:val="22"/>
              </w:rPr>
              <w:t>становища</w:t>
            </w:r>
            <w:r>
              <w:rPr>
                <w:b/>
                <w:bCs/>
                <w:noProof/>
                <w:color w:val="000000"/>
                <w:sz w:val="22"/>
                <w:szCs w:val="22"/>
              </w:rPr>
              <w:br/>
            </w:r>
            <w:r>
              <w:rPr>
                <w:b/>
                <w:noProof/>
                <w:sz w:val="22"/>
              </w:rPr>
              <w:t>(Протокол № 2)</w:t>
            </w:r>
            <w:r>
              <w:rPr>
                <w:rStyle w:val="FootnoteReference"/>
                <w:noProof/>
                <w:sz w:val="22"/>
              </w:rPr>
              <w:footnoteReference w:id="2"/>
            </w:r>
          </w:p>
        </w:tc>
      </w:tr>
      <w:tr>
        <w:trPr>
          <w:cantSplit/>
        </w:trPr>
        <w:tc>
          <w:tcPr>
            <w:tcW w:w="1909" w:type="dxa"/>
            <w:shd w:val="clear" w:color="auto" w:fill="auto"/>
            <w:vAlign w:val="center"/>
          </w:tcPr>
          <w:p>
            <w:pPr>
              <w:jc w:val="center"/>
              <w:rPr>
                <w:noProof/>
                <w:color w:val="000000"/>
                <w:sz w:val="22"/>
                <w:szCs w:val="22"/>
              </w:rPr>
            </w:pPr>
            <w:r>
              <w:rPr>
                <w:noProof/>
                <w:color w:val="000000"/>
                <w:sz w:val="22"/>
              </w:rPr>
              <w:t>Португалия</w:t>
            </w:r>
          </w:p>
        </w:tc>
        <w:tc>
          <w:tcPr>
            <w:tcW w:w="3609" w:type="dxa"/>
            <w:shd w:val="clear" w:color="auto" w:fill="auto"/>
            <w:vAlign w:val="center"/>
          </w:tcPr>
          <w:p>
            <w:pPr>
              <w:jc w:val="center"/>
              <w:rPr>
                <w:i/>
                <w:iCs/>
                <w:noProof/>
                <w:color w:val="000000"/>
                <w:sz w:val="22"/>
                <w:szCs w:val="22"/>
              </w:rPr>
            </w:pPr>
            <w:r>
              <w:rPr>
                <w:i/>
                <w:noProof/>
                <w:color w:val="000000"/>
                <w:sz w:val="22"/>
              </w:rPr>
              <w:t>Assembleia da República</w:t>
            </w:r>
          </w:p>
        </w:tc>
        <w:tc>
          <w:tcPr>
            <w:tcW w:w="1660" w:type="dxa"/>
            <w:shd w:val="clear" w:color="auto" w:fill="auto"/>
            <w:vAlign w:val="center"/>
          </w:tcPr>
          <w:p>
            <w:pPr>
              <w:jc w:val="center"/>
              <w:rPr>
                <w:noProof/>
                <w:color w:val="000000"/>
                <w:sz w:val="22"/>
                <w:szCs w:val="22"/>
              </w:rPr>
            </w:pPr>
            <w:r>
              <w:rPr>
                <w:noProof/>
                <w:color w:val="000000"/>
                <w:sz w:val="22"/>
              </w:rPr>
              <w:t>64</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 xml:space="preserve">Италия </w:t>
            </w:r>
          </w:p>
        </w:tc>
        <w:tc>
          <w:tcPr>
            <w:tcW w:w="3609" w:type="dxa"/>
            <w:shd w:val="clear" w:color="auto" w:fill="auto"/>
            <w:vAlign w:val="center"/>
          </w:tcPr>
          <w:p>
            <w:pPr>
              <w:jc w:val="center"/>
              <w:rPr>
                <w:i/>
                <w:iCs/>
                <w:noProof/>
                <w:color w:val="000000"/>
                <w:sz w:val="22"/>
                <w:szCs w:val="22"/>
              </w:rPr>
            </w:pPr>
            <w:r>
              <w:rPr>
                <w:i/>
                <w:noProof/>
                <w:color w:val="000000"/>
                <w:sz w:val="22"/>
              </w:rPr>
              <w:t>Senato della Repubblica</w:t>
            </w:r>
          </w:p>
        </w:tc>
        <w:tc>
          <w:tcPr>
            <w:tcW w:w="1660" w:type="dxa"/>
            <w:shd w:val="clear" w:color="auto" w:fill="auto"/>
            <w:vAlign w:val="center"/>
          </w:tcPr>
          <w:p>
            <w:pPr>
              <w:jc w:val="center"/>
              <w:rPr>
                <w:noProof/>
                <w:color w:val="000000"/>
                <w:sz w:val="22"/>
                <w:szCs w:val="22"/>
              </w:rPr>
            </w:pPr>
            <w:r>
              <w:rPr>
                <w:noProof/>
                <w:color w:val="000000"/>
                <w:sz w:val="22"/>
              </w:rPr>
              <w:t>56</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Чешка република</w:t>
            </w:r>
          </w:p>
        </w:tc>
        <w:tc>
          <w:tcPr>
            <w:tcW w:w="3609" w:type="dxa"/>
            <w:shd w:val="clear" w:color="auto" w:fill="auto"/>
            <w:vAlign w:val="center"/>
          </w:tcPr>
          <w:p>
            <w:pPr>
              <w:jc w:val="center"/>
              <w:rPr>
                <w:i/>
                <w:iCs/>
                <w:noProof/>
                <w:color w:val="000000"/>
                <w:sz w:val="22"/>
                <w:szCs w:val="22"/>
              </w:rPr>
            </w:pPr>
            <w:r>
              <w:rPr>
                <w:i/>
                <w:noProof/>
                <w:color w:val="000000"/>
                <w:sz w:val="22"/>
              </w:rPr>
              <w:t>Senát</w:t>
            </w:r>
          </w:p>
        </w:tc>
        <w:tc>
          <w:tcPr>
            <w:tcW w:w="1660" w:type="dxa"/>
            <w:shd w:val="clear" w:color="auto" w:fill="auto"/>
            <w:vAlign w:val="center"/>
          </w:tcPr>
          <w:p>
            <w:pPr>
              <w:jc w:val="center"/>
              <w:rPr>
                <w:noProof/>
                <w:color w:val="000000"/>
                <w:sz w:val="22"/>
                <w:szCs w:val="22"/>
              </w:rPr>
            </w:pPr>
            <w:r>
              <w:rPr>
                <w:noProof/>
                <w:color w:val="000000"/>
                <w:sz w:val="22"/>
              </w:rPr>
              <w:t>53</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Италия</w:t>
            </w:r>
          </w:p>
        </w:tc>
        <w:tc>
          <w:tcPr>
            <w:tcW w:w="3609" w:type="dxa"/>
            <w:shd w:val="clear" w:color="auto" w:fill="auto"/>
            <w:vAlign w:val="center"/>
          </w:tcPr>
          <w:p>
            <w:pPr>
              <w:jc w:val="center"/>
              <w:rPr>
                <w:i/>
                <w:iCs/>
                <w:noProof/>
                <w:color w:val="000000"/>
                <w:sz w:val="22"/>
                <w:szCs w:val="22"/>
              </w:rPr>
            </w:pPr>
            <w:r>
              <w:rPr>
                <w:i/>
                <w:noProof/>
                <w:color w:val="000000"/>
                <w:sz w:val="22"/>
              </w:rPr>
              <w:t>Camera dei Deputati</w:t>
            </w:r>
          </w:p>
        </w:tc>
        <w:tc>
          <w:tcPr>
            <w:tcW w:w="1660" w:type="dxa"/>
            <w:shd w:val="clear" w:color="auto" w:fill="auto"/>
            <w:vAlign w:val="center"/>
          </w:tcPr>
          <w:p>
            <w:pPr>
              <w:jc w:val="center"/>
              <w:rPr>
                <w:noProof/>
                <w:color w:val="000000"/>
                <w:sz w:val="22"/>
                <w:szCs w:val="22"/>
              </w:rPr>
            </w:pPr>
            <w:r>
              <w:rPr>
                <w:noProof/>
                <w:color w:val="000000"/>
                <w:sz w:val="22"/>
              </w:rPr>
              <w:t>45</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Германия</w:t>
            </w:r>
          </w:p>
        </w:tc>
        <w:tc>
          <w:tcPr>
            <w:tcW w:w="3609" w:type="dxa"/>
            <w:shd w:val="clear" w:color="auto" w:fill="auto"/>
            <w:vAlign w:val="center"/>
          </w:tcPr>
          <w:p>
            <w:pPr>
              <w:jc w:val="center"/>
              <w:rPr>
                <w:i/>
                <w:iCs/>
                <w:noProof/>
                <w:color w:val="000000"/>
                <w:sz w:val="22"/>
                <w:szCs w:val="22"/>
              </w:rPr>
            </w:pPr>
            <w:r>
              <w:rPr>
                <w:i/>
                <w:noProof/>
                <w:color w:val="000000"/>
                <w:sz w:val="22"/>
              </w:rPr>
              <w:t>Bundesrat</w:t>
            </w:r>
          </w:p>
        </w:tc>
        <w:tc>
          <w:tcPr>
            <w:tcW w:w="1660" w:type="dxa"/>
            <w:shd w:val="clear" w:color="auto" w:fill="auto"/>
            <w:vAlign w:val="center"/>
          </w:tcPr>
          <w:p>
            <w:pPr>
              <w:jc w:val="center"/>
              <w:rPr>
                <w:noProof/>
                <w:color w:val="000000"/>
                <w:sz w:val="22"/>
                <w:szCs w:val="22"/>
              </w:rPr>
            </w:pPr>
            <w:r>
              <w:rPr>
                <w:noProof/>
                <w:color w:val="000000"/>
                <w:sz w:val="22"/>
              </w:rPr>
              <w:t>43</w:t>
            </w:r>
          </w:p>
        </w:tc>
        <w:tc>
          <w:tcPr>
            <w:tcW w:w="2364" w:type="dxa"/>
            <w:shd w:val="clear" w:color="auto" w:fill="auto"/>
            <w:vAlign w:val="center"/>
          </w:tcPr>
          <w:p>
            <w:pPr>
              <w:jc w:val="center"/>
              <w:rPr>
                <w:noProof/>
                <w:color w:val="000000"/>
                <w:sz w:val="22"/>
                <w:szCs w:val="22"/>
              </w:rPr>
            </w:pPr>
            <w:r>
              <w:rPr>
                <w:noProof/>
                <w:color w:val="000000"/>
                <w:sz w:val="22"/>
              </w:rPr>
              <w:t>3</w:t>
            </w:r>
          </w:p>
        </w:tc>
      </w:tr>
      <w:tr>
        <w:trPr>
          <w:cantSplit/>
        </w:trPr>
        <w:tc>
          <w:tcPr>
            <w:tcW w:w="1909" w:type="dxa"/>
            <w:shd w:val="clear" w:color="auto" w:fill="auto"/>
            <w:vAlign w:val="center"/>
          </w:tcPr>
          <w:p>
            <w:pPr>
              <w:jc w:val="center"/>
              <w:rPr>
                <w:noProof/>
                <w:color w:val="000000"/>
                <w:sz w:val="22"/>
                <w:szCs w:val="22"/>
              </w:rPr>
            </w:pPr>
            <w:r>
              <w:rPr>
                <w:noProof/>
                <w:color w:val="000000"/>
                <w:sz w:val="22"/>
              </w:rPr>
              <w:t>Румъния</w:t>
            </w:r>
          </w:p>
        </w:tc>
        <w:tc>
          <w:tcPr>
            <w:tcW w:w="3609" w:type="dxa"/>
            <w:shd w:val="clear" w:color="auto" w:fill="auto"/>
            <w:vAlign w:val="center"/>
          </w:tcPr>
          <w:p>
            <w:pPr>
              <w:jc w:val="center"/>
              <w:rPr>
                <w:i/>
                <w:iCs/>
                <w:noProof/>
                <w:color w:val="000000"/>
                <w:sz w:val="22"/>
                <w:szCs w:val="22"/>
              </w:rPr>
            </w:pPr>
            <w:r>
              <w:rPr>
                <w:i/>
                <w:noProof/>
                <w:color w:val="000000"/>
                <w:sz w:val="22"/>
              </w:rPr>
              <w:t>Camera Deputaților</w:t>
            </w:r>
          </w:p>
        </w:tc>
        <w:tc>
          <w:tcPr>
            <w:tcW w:w="1660" w:type="dxa"/>
            <w:shd w:val="clear" w:color="auto" w:fill="auto"/>
            <w:vAlign w:val="center"/>
          </w:tcPr>
          <w:p>
            <w:pPr>
              <w:jc w:val="center"/>
              <w:rPr>
                <w:noProof/>
                <w:color w:val="000000"/>
                <w:sz w:val="22"/>
                <w:szCs w:val="22"/>
              </w:rPr>
            </w:pPr>
            <w:r>
              <w:rPr>
                <w:noProof/>
                <w:color w:val="000000"/>
                <w:sz w:val="22"/>
              </w:rPr>
              <w:t>41</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Испания</w:t>
            </w:r>
          </w:p>
        </w:tc>
        <w:tc>
          <w:tcPr>
            <w:tcW w:w="3609" w:type="dxa"/>
            <w:shd w:val="clear" w:color="auto" w:fill="auto"/>
            <w:vAlign w:val="center"/>
          </w:tcPr>
          <w:p>
            <w:pPr>
              <w:jc w:val="center"/>
              <w:rPr>
                <w:noProof/>
                <w:color w:val="000000"/>
                <w:sz w:val="22"/>
                <w:szCs w:val="22"/>
              </w:rPr>
            </w:pPr>
            <w:r>
              <w:rPr>
                <w:i/>
                <w:noProof/>
                <w:color w:val="000000"/>
                <w:sz w:val="22"/>
              </w:rPr>
              <w:t>Las Cortes Generales:</w:t>
            </w:r>
            <w:r>
              <w:rPr>
                <w:noProof/>
                <w:color w:val="000000"/>
                <w:sz w:val="22"/>
                <w:szCs w:val="22"/>
              </w:rPr>
              <w:br/>
            </w:r>
            <w:r>
              <w:rPr>
                <w:i/>
                <w:noProof/>
                <w:color w:val="000000"/>
                <w:sz w:val="22"/>
              </w:rPr>
              <w:t>Senado de España</w:t>
            </w:r>
            <w:r>
              <w:rPr>
                <w:noProof/>
                <w:color w:val="000000"/>
                <w:sz w:val="22"/>
              </w:rPr>
              <w:t xml:space="preserve"> и</w:t>
            </w:r>
            <w:r>
              <w:rPr>
                <w:noProof/>
                <w:color w:val="000000"/>
                <w:sz w:val="22"/>
                <w:szCs w:val="22"/>
              </w:rPr>
              <w:br/>
            </w:r>
            <w:r>
              <w:rPr>
                <w:i/>
                <w:noProof/>
                <w:color w:val="000000"/>
                <w:sz w:val="22"/>
              </w:rPr>
              <w:t>Congreso de los Diputados</w:t>
            </w:r>
          </w:p>
        </w:tc>
        <w:tc>
          <w:tcPr>
            <w:tcW w:w="1660" w:type="dxa"/>
            <w:shd w:val="clear" w:color="auto" w:fill="auto"/>
            <w:vAlign w:val="center"/>
          </w:tcPr>
          <w:p>
            <w:pPr>
              <w:jc w:val="center"/>
              <w:rPr>
                <w:noProof/>
                <w:color w:val="000000"/>
                <w:sz w:val="22"/>
                <w:szCs w:val="22"/>
              </w:rPr>
            </w:pPr>
            <w:r>
              <w:rPr>
                <w:noProof/>
                <w:color w:val="000000"/>
                <w:sz w:val="22"/>
              </w:rPr>
              <w:t>38</w:t>
            </w:r>
            <w:r>
              <w:rPr>
                <w:rStyle w:val="FootnoteReference"/>
                <w:noProof/>
                <w:color w:val="000000"/>
                <w:sz w:val="22"/>
              </w:rPr>
              <w:footnoteReference w:id="3"/>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Румъния</w:t>
            </w:r>
          </w:p>
        </w:tc>
        <w:tc>
          <w:tcPr>
            <w:tcW w:w="3609" w:type="dxa"/>
            <w:shd w:val="clear" w:color="auto" w:fill="auto"/>
            <w:vAlign w:val="center"/>
          </w:tcPr>
          <w:p>
            <w:pPr>
              <w:jc w:val="center"/>
              <w:rPr>
                <w:i/>
                <w:iCs/>
                <w:noProof/>
                <w:color w:val="000000"/>
                <w:sz w:val="22"/>
                <w:szCs w:val="22"/>
              </w:rPr>
            </w:pPr>
            <w:r>
              <w:rPr>
                <w:i/>
                <w:noProof/>
                <w:color w:val="000000"/>
                <w:sz w:val="22"/>
              </w:rPr>
              <w:t>Senatul</w:t>
            </w:r>
          </w:p>
        </w:tc>
        <w:tc>
          <w:tcPr>
            <w:tcW w:w="1660" w:type="dxa"/>
            <w:shd w:val="clear" w:color="auto" w:fill="auto"/>
            <w:vAlign w:val="center"/>
          </w:tcPr>
          <w:p>
            <w:pPr>
              <w:jc w:val="center"/>
              <w:rPr>
                <w:noProof/>
                <w:color w:val="000000"/>
                <w:sz w:val="22"/>
                <w:szCs w:val="22"/>
              </w:rPr>
            </w:pPr>
            <w:r>
              <w:rPr>
                <w:noProof/>
                <w:color w:val="000000"/>
                <w:sz w:val="22"/>
              </w:rPr>
              <w:t>33</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Франция</w:t>
            </w:r>
          </w:p>
        </w:tc>
        <w:tc>
          <w:tcPr>
            <w:tcW w:w="3609" w:type="dxa"/>
            <w:shd w:val="clear" w:color="auto" w:fill="auto"/>
            <w:vAlign w:val="center"/>
          </w:tcPr>
          <w:p>
            <w:pPr>
              <w:jc w:val="center"/>
              <w:rPr>
                <w:i/>
                <w:iCs/>
                <w:noProof/>
                <w:color w:val="000000"/>
                <w:sz w:val="22"/>
                <w:szCs w:val="22"/>
              </w:rPr>
            </w:pPr>
            <w:r>
              <w:rPr>
                <w:i/>
                <w:noProof/>
                <w:color w:val="000000"/>
                <w:sz w:val="22"/>
              </w:rPr>
              <w:t xml:space="preserve">Sénat  </w:t>
            </w:r>
          </w:p>
        </w:tc>
        <w:tc>
          <w:tcPr>
            <w:tcW w:w="1660" w:type="dxa"/>
            <w:shd w:val="clear" w:color="auto" w:fill="auto"/>
            <w:vAlign w:val="center"/>
          </w:tcPr>
          <w:p>
            <w:pPr>
              <w:jc w:val="center"/>
              <w:rPr>
                <w:noProof/>
                <w:color w:val="000000"/>
                <w:sz w:val="22"/>
                <w:szCs w:val="22"/>
              </w:rPr>
            </w:pPr>
            <w:r>
              <w:rPr>
                <w:noProof/>
                <w:color w:val="000000"/>
                <w:sz w:val="22"/>
              </w:rPr>
              <w:t>29</w:t>
            </w:r>
          </w:p>
        </w:tc>
        <w:tc>
          <w:tcPr>
            <w:tcW w:w="2364" w:type="dxa"/>
            <w:shd w:val="clear" w:color="auto" w:fill="auto"/>
            <w:vAlign w:val="center"/>
          </w:tcPr>
          <w:p>
            <w:pPr>
              <w:jc w:val="center"/>
              <w:rPr>
                <w:noProof/>
                <w:color w:val="000000"/>
                <w:sz w:val="22"/>
                <w:szCs w:val="22"/>
              </w:rPr>
            </w:pPr>
            <w:r>
              <w:rPr>
                <w:noProof/>
                <w:color w:val="000000"/>
                <w:sz w:val="22"/>
              </w:rPr>
              <w:t>7</w:t>
            </w:r>
          </w:p>
        </w:tc>
      </w:tr>
      <w:tr>
        <w:trPr>
          <w:cantSplit/>
        </w:trPr>
        <w:tc>
          <w:tcPr>
            <w:tcW w:w="1909" w:type="dxa"/>
            <w:shd w:val="clear" w:color="auto" w:fill="auto"/>
            <w:vAlign w:val="center"/>
          </w:tcPr>
          <w:p>
            <w:pPr>
              <w:jc w:val="center"/>
              <w:rPr>
                <w:noProof/>
                <w:color w:val="000000"/>
                <w:sz w:val="22"/>
                <w:szCs w:val="22"/>
              </w:rPr>
            </w:pPr>
            <w:r>
              <w:rPr>
                <w:noProof/>
                <w:color w:val="000000"/>
                <w:sz w:val="22"/>
              </w:rPr>
              <w:t>Обединено кралство</w:t>
            </w:r>
          </w:p>
        </w:tc>
        <w:tc>
          <w:tcPr>
            <w:tcW w:w="3609" w:type="dxa"/>
            <w:shd w:val="clear" w:color="auto" w:fill="auto"/>
            <w:vAlign w:val="center"/>
          </w:tcPr>
          <w:p>
            <w:pPr>
              <w:jc w:val="center"/>
              <w:rPr>
                <w:i/>
                <w:iCs/>
                <w:noProof/>
                <w:color w:val="000000"/>
                <w:sz w:val="22"/>
                <w:szCs w:val="22"/>
              </w:rPr>
            </w:pPr>
            <w:r>
              <w:rPr>
                <w:i/>
                <w:noProof/>
                <w:color w:val="000000"/>
                <w:sz w:val="22"/>
              </w:rPr>
              <w:t>House of Lords</w:t>
            </w:r>
          </w:p>
        </w:tc>
        <w:tc>
          <w:tcPr>
            <w:tcW w:w="1660" w:type="dxa"/>
            <w:shd w:val="clear" w:color="auto" w:fill="auto"/>
            <w:vAlign w:val="center"/>
          </w:tcPr>
          <w:p>
            <w:pPr>
              <w:jc w:val="center"/>
              <w:rPr>
                <w:noProof/>
                <w:color w:val="000000"/>
                <w:sz w:val="22"/>
                <w:szCs w:val="22"/>
              </w:rPr>
            </w:pPr>
            <w:r>
              <w:rPr>
                <w:noProof/>
                <w:color w:val="000000"/>
                <w:sz w:val="22"/>
              </w:rPr>
              <w:t>22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Чешка република</w:t>
            </w:r>
          </w:p>
        </w:tc>
        <w:tc>
          <w:tcPr>
            <w:tcW w:w="3609" w:type="dxa"/>
            <w:shd w:val="clear" w:color="auto" w:fill="auto"/>
            <w:vAlign w:val="center"/>
          </w:tcPr>
          <w:p>
            <w:pPr>
              <w:jc w:val="center"/>
              <w:rPr>
                <w:i/>
                <w:iCs/>
                <w:noProof/>
                <w:color w:val="000000"/>
                <w:sz w:val="22"/>
                <w:szCs w:val="22"/>
              </w:rPr>
            </w:pPr>
            <w:r>
              <w:rPr>
                <w:i/>
                <w:noProof/>
                <w:color w:val="000000"/>
                <w:sz w:val="22"/>
              </w:rPr>
              <w:t>Poslanecká sněmovna</w:t>
            </w:r>
          </w:p>
        </w:tc>
        <w:tc>
          <w:tcPr>
            <w:tcW w:w="1660" w:type="dxa"/>
            <w:shd w:val="clear" w:color="auto" w:fill="auto"/>
            <w:vAlign w:val="center"/>
          </w:tcPr>
          <w:p>
            <w:pPr>
              <w:jc w:val="center"/>
              <w:rPr>
                <w:noProof/>
                <w:color w:val="000000"/>
                <w:sz w:val="22"/>
                <w:szCs w:val="22"/>
              </w:rPr>
            </w:pPr>
            <w:r>
              <w:rPr>
                <w:noProof/>
                <w:color w:val="000000"/>
                <w:sz w:val="22"/>
              </w:rPr>
              <w:t>17</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Швеция</w:t>
            </w:r>
          </w:p>
        </w:tc>
        <w:tc>
          <w:tcPr>
            <w:tcW w:w="3609" w:type="dxa"/>
            <w:shd w:val="clear" w:color="auto" w:fill="auto"/>
            <w:vAlign w:val="center"/>
          </w:tcPr>
          <w:p>
            <w:pPr>
              <w:jc w:val="center"/>
              <w:rPr>
                <w:i/>
                <w:iCs/>
                <w:noProof/>
                <w:color w:val="000000"/>
                <w:sz w:val="22"/>
                <w:szCs w:val="22"/>
              </w:rPr>
            </w:pPr>
            <w:r>
              <w:rPr>
                <w:i/>
                <w:noProof/>
                <w:color w:val="000000"/>
                <w:sz w:val="22"/>
              </w:rPr>
              <w:t>Riksdag</w:t>
            </w:r>
          </w:p>
        </w:tc>
        <w:tc>
          <w:tcPr>
            <w:tcW w:w="1660" w:type="dxa"/>
            <w:shd w:val="clear" w:color="auto" w:fill="auto"/>
            <w:vAlign w:val="center"/>
          </w:tcPr>
          <w:p>
            <w:pPr>
              <w:jc w:val="center"/>
              <w:rPr>
                <w:noProof/>
                <w:color w:val="000000"/>
                <w:sz w:val="22"/>
                <w:szCs w:val="22"/>
              </w:rPr>
            </w:pPr>
            <w:r>
              <w:rPr>
                <w:noProof/>
                <w:color w:val="000000"/>
                <w:sz w:val="22"/>
              </w:rPr>
              <w:t>17</w:t>
            </w:r>
          </w:p>
        </w:tc>
        <w:tc>
          <w:tcPr>
            <w:tcW w:w="2364" w:type="dxa"/>
            <w:shd w:val="clear" w:color="auto" w:fill="auto"/>
            <w:vAlign w:val="center"/>
          </w:tcPr>
          <w:p>
            <w:pPr>
              <w:jc w:val="center"/>
              <w:rPr>
                <w:noProof/>
                <w:color w:val="000000"/>
                <w:sz w:val="22"/>
                <w:szCs w:val="22"/>
              </w:rPr>
            </w:pPr>
            <w:r>
              <w:rPr>
                <w:noProof/>
                <w:color w:val="000000"/>
                <w:sz w:val="22"/>
              </w:rPr>
              <w:t>4</w:t>
            </w:r>
          </w:p>
        </w:tc>
      </w:tr>
      <w:tr>
        <w:trPr>
          <w:cantSplit/>
        </w:trPr>
        <w:tc>
          <w:tcPr>
            <w:tcW w:w="1909" w:type="dxa"/>
            <w:shd w:val="clear" w:color="auto" w:fill="auto"/>
            <w:vAlign w:val="center"/>
          </w:tcPr>
          <w:p>
            <w:pPr>
              <w:jc w:val="center"/>
              <w:rPr>
                <w:noProof/>
                <w:color w:val="000000"/>
                <w:sz w:val="22"/>
                <w:szCs w:val="22"/>
              </w:rPr>
            </w:pPr>
            <w:r>
              <w:rPr>
                <w:noProof/>
                <w:color w:val="000000"/>
                <w:sz w:val="22"/>
              </w:rPr>
              <w:t>Франция</w:t>
            </w:r>
          </w:p>
        </w:tc>
        <w:tc>
          <w:tcPr>
            <w:tcW w:w="3609" w:type="dxa"/>
            <w:shd w:val="clear" w:color="auto" w:fill="auto"/>
            <w:vAlign w:val="center"/>
          </w:tcPr>
          <w:p>
            <w:pPr>
              <w:jc w:val="center"/>
              <w:rPr>
                <w:i/>
                <w:iCs/>
                <w:noProof/>
                <w:color w:val="000000"/>
                <w:sz w:val="22"/>
                <w:szCs w:val="22"/>
              </w:rPr>
            </w:pPr>
            <w:r>
              <w:rPr>
                <w:i/>
                <w:noProof/>
                <w:color w:val="000000"/>
                <w:sz w:val="22"/>
              </w:rPr>
              <w:t>Assemblée nationale</w:t>
            </w:r>
          </w:p>
        </w:tc>
        <w:tc>
          <w:tcPr>
            <w:tcW w:w="1660" w:type="dxa"/>
            <w:shd w:val="clear" w:color="auto" w:fill="auto"/>
            <w:vAlign w:val="center"/>
          </w:tcPr>
          <w:p>
            <w:pPr>
              <w:jc w:val="center"/>
              <w:rPr>
                <w:noProof/>
                <w:color w:val="000000"/>
                <w:sz w:val="22"/>
                <w:szCs w:val="22"/>
              </w:rPr>
            </w:pPr>
            <w:r>
              <w:rPr>
                <w:noProof/>
                <w:color w:val="000000"/>
                <w:sz w:val="22"/>
              </w:rPr>
              <w:t>16</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Австрия</w:t>
            </w:r>
          </w:p>
        </w:tc>
        <w:tc>
          <w:tcPr>
            <w:tcW w:w="3609" w:type="dxa"/>
            <w:shd w:val="clear" w:color="auto" w:fill="auto"/>
            <w:vAlign w:val="center"/>
          </w:tcPr>
          <w:p>
            <w:pPr>
              <w:jc w:val="center"/>
              <w:rPr>
                <w:i/>
                <w:iCs/>
                <w:noProof/>
                <w:color w:val="000000"/>
                <w:sz w:val="22"/>
                <w:szCs w:val="22"/>
              </w:rPr>
            </w:pPr>
            <w:r>
              <w:rPr>
                <w:i/>
                <w:noProof/>
                <w:color w:val="000000"/>
                <w:sz w:val="22"/>
              </w:rPr>
              <w:t>Bundesrat</w:t>
            </w:r>
          </w:p>
        </w:tc>
        <w:tc>
          <w:tcPr>
            <w:tcW w:w="1660" w:type="dxa"/>
            <w:shd w:val="clear" w:color="auto" w:fill="auto"/>
            <w:vAlign w:val="center"/>
          </w:tcPr>
          <w:p>
            <w:pPr>
              <w:jc w:val="center"/>
              <w:rPr>
                <w:noProof/>
                <w:color w:val="000000"/>
                <w:sz w:val="22"/>
                <w:szCs w:val="22"/>
              </w:rPr>
            </w:pPr>
            <w:r>
              <w:rPr>
                <w:noProof/>
                <w:color w:val="000000"/>
                <w:sz w:val="22"/>
              </w:rPr>
              <w:t>14</w:t>
            </w:r>
          </w:p>
        </w:tc>
        <w:tc>
          <w:tcPr>
            <w:tcW w:w="2364" w:type="dxa"/>
            <w:shd w:val="clear" w:color="auto" w:fill="auto"/>
            <w:vAlign w:val="center"/>
          </w:tcPr>
          <w:p>
            <w:pPr>
              <w:jc w:val="center"/>
              <w:rPr>
                <w:noProof/>
                <w:color w:val="000000"/>
                <w:sz w:val="22"/>
                <w:szCs w:val="22"/>
              </w:rPr>
            </w:pPr>
            <w:r>
              <w:rPr>
                <w:noProof/>
                <w:color w:val="000000"/>
                <w:sz w:val="22"/>
              </w:rPr>
              <w:t>6</w:t>
            </w:r>
          </w:p>
        </w:tc>
      </w:tr>
      <w:tr>
        <w:trPr>
          <w:cantSplit/>
        </w:trPr>
        <w:tc>
          <w:tcPr>
            <w:tcW w:w="1909" w:type="dxa"/>
            <w:shd w:val="clear" w:color="auto" w:fill="auto"/>
            <w:vAlign w:val="center"/>
          </w:tcPr>
          <w:p>
            <w:pPr>
              <w:jc w:val="center"/>
              <w:rPr>
                <w:noProof/>
                <w:color w:val="000000"/>
                <w:sz w:val="22"/>
                <w:szCs w:val="22"/>
              </w:rPr>
            </w:pPr>
            <w:r>
              <w:rPr>
                <w:noProof/>
                <w:color w:val="000000"/>
                <w:sz w:val="22"/>
              </w:rPr>
              <w:t>Полша</w:t>
            </w:r>
          </w:p>
        </w:tc>
        <w:tc>
          <w:tcPr>
            <w:tcW w:w="3609" w:type="dxa"/>
            <w:shd w:val="clear" w:color="auto" w:fill="auto"/>
            <w:vAlign w:val="center"/>
          </w:tcPr>
          <w:p>
            <w:pPr>
              <w:jc w:val="center"/>
              <w:rPr>
                <w:i/>
                <w:iCs/>
                <w:noProof/>
                <w:color w:val="000000"/>
                <w:sz w:val="22"/>
                <w:szCs w:val="22"/>
              </w:rPr>
            </w:pPr>
            <w:r>
              <w:rPr>
                <w:i/>
                <w:noProof/>
                <w:color w:val="000000"/>
                <w:sz w:val="22"/>
              </w:rPr>
              <w:t>Senat Rzeczypospolitej Polskiej</w:t>
            </w:r>
          </w:p>
        </w:tc>
        <w:tc>
          <w:tcPr>
            <w:tcW w:w="1660" w:type="dxa"/>
            <w:shd w:val="clear" w:color="auto" w:fill="auto"/>
            <w:vAlign w:val="center"/>
          </w:tcPr>
          <w:p>
            <w:pPr>
              <w:jc w:val="center"/>
              <w:rPr>
                <w:noProof/>
                <w:color w:val="000000"/>
                <w:sz w:val="22"/>
                <w:szCs w:val="22"/>
              </w:rPr>
            </w:pPr>
            <w:r>
              <w:rPr>
                <w:noProof/>
                <w:color w:val="000000"/>
                <w:sz w:val="22"/>
              </w:rPr>
              <w:t>14</w:t>
            </w:r>
          </w:p>
        </w:tc>
        <w:tc>
          <w:tcPr>
            <w:tcW w:w="2364" w:type="dxa"/>
            <w:shd w:val="clear" w:color="auto" w:fill="auto"/>
            <w:vAlign w:val="center"/>
          </w:tcPr>
          <w:p>
            <w:pPr>
              <w:jc w:val="center"/>
              <w:rPr>
                <w:noProof/>
                <w:color w:val="000000"/>
                <w:sz w:val="22"/>
                <w:szCs w:val="22"/>
              </w:rPr>
            </w:pPr>
            <w:r>
              <w:rPr>
                <w:noProof/>
                <w:color w:val="000000"/>
                <w:sz w:val="22"/>
              </w:rPr>
              <w:t>4</w:t>
            </w:r>
          </w:p>
        </w:tc>
      </w:tr>
      <w:tr>
        <w:trPr>
          <w:cantSplit/>
        </w:trPr>
        <w:tc>
          <w:tcPr>
            <w:tcW w:w="1909" w:type="dxa"/>
            <w:shd w:val="clear" w:color="auto" w:fill="auto"/>
            <w:vAlign w:val="center"/>
          </w:tcPr>
          <w:p>
            <w:pPr>
              <w:jc w:val="center"/>
              <w:rPr>
                <w:noProof/>
                <w:color w:val="000000"/>
                <w:sz w:val="22"/>
                <w:szCs w:val="22"/>
              </w:rPr>
            </w:pPr>
            <w:r>
              <w:rPr>
                <w:noProof/>
                <w:color w:val="000000"/>
                <w:sz w:val="22"/>
              </w:rPr>
              <w:t>Унгария</w:t>
            </w:r>
          </w:p>
        </w:tc>
        <w:tc>
          <w:tcPr>
            <w:tcW w:w="3609" w:type="dxa"/>
            <w:shd w:val="clear" w:color="auto" w:fill="auto"/>
            <w:vAlign w:val="center"/>
          </w:tcPr>
          <w:p>
            <w:pPr>
              <w:jc w:val="center"/>
              <w:rPr>
                <w:i/>
                <w:iCs/>
                <w:noProof/>
                <w:color w:val="000000"/>
                <w:sz w:val="22"/>
                <w:szCs w:val="22"/>
              </w:rPr>
            </w:pPr>
            <w:r>
              <w:rPr>
                <w:i/>
                <w:noProof/>
                <w:color w:val="000000"/>
                <w:sz w:val="22"/>
              </w:rPr>
              <w:t>Országgyűlés</w:t>
            </w:r>
          </w:p>
        </w:tc>
        <w:tc>
          <w:tcPr>
            <w:tcW w:w="1660" w:type="dxa"/>
            <w:shd w:val="clear" w:color="auto" w:fill="auto"/>
            <w:vAlign w:val="center"/>
          </w:tcPr>
          <w:p>
            <w:pPr>
              <w:jc w:val="center"/>
              <w:rPr>
                <w:noProof/>
                <w:color w:val="000000"/>
                <w:sz w:val="22"/>
                <w:szCs w:val="22"/>
              </w:rPr>
            </w:pPr>
            <w:r>
              <w:rPr>
                <w:noProof/>
                <w:color w:val="000000"/>
                <w:sz w:val="22"/>
              </w:rPr>
              <w:t>8</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Германия</w:t>
            </w:r>
          </w:p>
        </w:tc>
        <w:tc>
          <w:tcPr>
            <w:tcW w:w="3609" w:type="dxa"/>
            <w:shd w:val="clear" w:color="auto" w:fill="auto"/>
            <w:vAlign w:val="center"/>
          </w:tcPr>
          <w:p>
            <w:pPr>
              <w:jc w:val="center"/>
              <w:rPr>
                <w:i/>
                <w:iCs/>
                <w:noProof/>
                <w:color w:val="000000"/>
                <w:sz w:val="22"/>
                <w:szCs w:val="22"/>
              </w:rPr>
            </w:pPr>
            <w:r>
              <w:rPr>
                <w:i/>
                <w:noProof/>
                <w:color w:val="000000"/>
                <w:sz w:val="22"/>
              </w:rPr>
              <w:t>Bundestag</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6</w:t>
            </w:r>
          </w:p>
        </w:tc>
      </w:tr>
      <w:tr>
        <w:trPr>
          <w:cantSplit/>
        </w:trPr>
        <w:tc>
          <w:tcPr>
            <w:tcW w:w="1909" w:type="dxa"/>
            <w:shd w:val="clear" w:color="auto" w:fill="auto"/>
            <w:vAlign w:val="center"/>
          </w:tcPr>
          <w:p>
            <w:pPr>
              <w:jc w:val="center"/>
              <w:rPr>
                <w:noProof/>
                <w:color w:val="000000"/>
                <w:sz w:val="22"/>
                <w:szCs w:val="22"/>
              </w:rPr>
            </w:pPr>
            <w:r>
              <w:rPr>
                <w:noProof/>
                <w:color w:val="000000"/>
                <w:sz w:val="22"/>
              </w:rPr>
              <w:t>Нидерландия</w:t>
            </w:r>
          </w:p>
        </w:tc>
        <w:tc>
          <w:tcPr>
            <w:tcW w:w="3609" w:type="dxa"/>
            <w:shd w:val="clear" w:color="auto" w:fill="auto"/>
            <w:vAlign w:val="center"/>
          </w:tcPr>
          <w:p>
            <w:pPr>
              <w:jc w:val="center"/>
              <w:rPr>
                <w:i/>
                <w:iCs/>
                <w:noProof/>
                <w:color w:val="000000"/>
                <w:sz w:val="22"/>
                <w:szCs w:val="22"/>
              </w:rPr>
            </w:pPr>
            <w:r>
              <w:rPr>
                <w:i/>
                <w:noProof/>
                <w:color w:val="000000"/>
                <w:sz w:val="22"/>
              </w:rPr>
              <w:t>Eerste Kamer</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Полша</w:t>
            </w:r>
          </w:p>
        </w:tc>
        <w:tc>
          <w:tcPr>
            <w:tcW w:w="3609" w:type="dxa"/>
            <w:shd w:val="clear" w:color="auto" w:fill="auto"/>
            <w:vAlign w:val="center"/>
          </w:tcPr>
          <w:p>
            <w:pPr>
              <w:jc w:val="center"/>
              <w:rPr>
                <w:i/>
                <w:iCs/>
                <w:noProof/>
                <w:color w:val="000000"/>
                <w:sz w:val="22"/>
                <w:szCs w:val="22"/>
              </w:rPr>
            </w:pPr>
            <w:r>
              <w:rPr>
                <w:i/>
                <w:noProof/>
                <w:color w:val="000000"/>
                <w:sz w:val="22"/>
              </w:rPr>
              <w:t>Sejm Rzeczypospolitej Polskiej</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Ирландия</w:t>
            </w:r>
          </w:p>
        </w:tc>
        <w:tc>
          <w:tcPr>
            <w:tcW w:w="3609" w:type="dxa"/>
            <w:shd w:val="clear" w:color="auto" w:fill="auto"/>
            <w:vAlign w:val="center"/>
          </w:tcPr>
          <w:p>
            <w:pPr>
              <w:jc w:val="center"/>
              <w:rPr>
                <w:noProof/>
                <w:color w:val="000000"/>
                <w:sz w:val="22"/>
                <w:szCs w:val="22"/>
              </w:rPr>
            </w:pPr>
            <w:r>
              <w:rPr>
                <w:noProof/>
                <w:color w:val="000000"/>
                <w:sz w:val="22"/>
              </w:rPr>
              <w:t xml:space="preserve">Houses of the </w:t>
            </w:r>
            <w:r>
              <w:rPr>
                <w:i/>
                <w:noProof/>
                <w:color w:val="000000"/>
                <w:sz w:val="22"/>
              </w:rPr>
              <w:t>Oireachtas:</w:t>
            </w:r>
            <w:r>
              <w:rPr>
                <w:noProof/>
                <w:color w:val="000000"/>
                <w:sz w:val="22"/>
                <w:szCs w:val="22"/>
              </w:rPr>
              <w:br/>
            </w:r>
            <w:r>
              <w:rPr>
                <w:i/>
                <w:noProof/>
                <w:color w:val="000000"/>
                <w:sz w:val="22"/>
              </w:rPr>
              <w:t>Dáil</w:t>
            </w:r>
            <w:r>
              <w:rPr>
                <w:noProof/>
                <w:color w:val="000000"/>
                <w:sz w:val="22"/>
              </w:rPr>
              <w:t xml:space="preserve"> и</w:t>
            </w:r>
            <w:r>
              <w:rPr>
                <w:noProof/>
                <w:color w:val="000000"/>
                <w:sz w:val="22"/>
                <w:lang w:val="en-GB"/>
              </w:rPr>
              <w:t xml:space="preserve"> </w:t>
            </w:r>
            <w:r>
              <w:rPr>
                <w:i/>
                <w:noProof/>
                <w:color w:val="000000"/>
                <w:sz w:val="22"/>
              </w:rPr>
              <w:t xml:space="preserve">Seanad Éireann </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Дания</w:t>
            </w:r>
          </w:p>
        </w:tc>
        <w:tc>
          <w:tcPr>
            <w:tcW w:w="3609" w:type="dxa"/>
            <w:shd w:val="clear" w:color="auto" w:fill="auto"/>
            <w:vAlign w:val="center"/>
          </w:tcPr>
          <w:p>
            <w:pPr>
              <w:jc w:val="center"/>
              <w:rPr>
                <w:i/>
                <w:iCs/>
                <w:noProof/>
                <w:color w:val="000000"/>
                <w:sz w:val="22"/>
                <w:szCs w:val="22"/>
              </w:rPr>
            </w:pPr>
            <w:r>
              <w:rPr>
                <w:i/>
                <w:noProof/>
                <w:color w:val="000000"/>
                <w:sz w:val="22"/>
              </w:rPr>
              <w:t>Folketing</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Словакия</w:t>
            </w:r>
          </w:p>
        </w:tc>
        <w:tc>
          <w:tcPr>
            <w:tcW w:w="3609" w:type="dxa"/>
            <w:shd w:val="clear" w:color="auto" w:fill="auto"/>
            <w:vAlign w:val="center"/>
          </w:tcPr>
          <w:p>
            <w:pPr>
              <w:jc w:val="center"/>
              <w:rPr>
                <w:i/>
                <w:iCs/>
                <w:noProof/>
                <w:color w:val="000000"/>
                <w:sz w:val="22"/>
                <w:szCs w:val="22"/>
              </w:rPr>
            </w:pPr>
            <w:r>
              <w:rPr>
                <w:i/>
                <w:noProof/>
                <w:color w:val="000000"/>
                <w:sz w:val="22"/>
              </w:rPr>
              <w:t>Národná rada</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Нидерландия</w:t>
            </w:r>
          </w:p>
        </w:tc>
        <w:tc>
          <w:tcPr>
            <w:tcW w:w="3609" w:type="dxa"/>
            <w:shd w:val="clear" w:color="auto" w:fill="auto"/>
            <w:vAlign w:val="center"/>
          </w:tcPr>
          <w:p>
            <w:pPr>
              <w:jc w:val="center"/>
              <w:rPr>
                <w:i/>
                <w:iCs/>
                <w:noProof/>
                <w:color w:val="000000"/>
                <w:sz w:val="22"/>
                <w:szCs w:val="22"/>
              </w:rPr>
            </w:pPr>
            <w:r>
              <w:rPr>
                <w:i/>
                <w:noProof/>
                <w:color w:val="000000"/>
                <w:sz w:val="22"/>
              </w:rPr>
              <w:t>Tweede Kamer</w:t>
            </w:r>
          </w:p>
        </w:tc>
        <w:tc>
          <w:tcPr>
            <w:tcW w:w="1660" w:type="dxa"/>
            <w:shd w:val="clear" w:color="auto" w:fill="auto"/>
            <w:vAlign w:val="center"/>
          </w:tcPr>
          <w:p>
            <w:pPr>
              <w:jc w:val="center"/>
              <w:rPr>
                <w:noProof/>
                <w:color w:val="000000"/>
                <w:sz w:val="22"/>
                <w:szCs w:val="22"/>
              </w:rPr>
            </w:pPr>
            <w:r>
              <w:rPr>
                <w:noProof/>
                <w:color w:val="000000"/>
                <w:sz w:val="22"/>
              </w:rPr>
              <w:t>5</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Кипър</w:t>
            </w:r>
          </w:p>
        </w:tc>
        <w:tc>
          <w:tcPr>
            <w:tcW w:w="3609" w:type="dxa"/>
            <w:shd w:val="clear" w:color="auto" w:fill="auto"/>
            <w:vAlign w:val="center"/>
          </w:tcPr>
          <w:p>
            <w:pPr>
              <w:jc w:val="center"/>
              <w:rPr>
                <w:i/>
                <w:iCs/>
                <w:noProof/>
                <w:color w:val="000000"/>
                <w:sz w:val="22"/>
                <w:szCs w:val="22"/>
              </w:rPr>
            </w:pPr>
            <w:r>
              <w:rPr>
                <w:i/>
                <w:noProof/>
                <w:color w:val="000000"/>
                <w:sz w:val="22"/>
              </w:rPr>
              <w:t>Vouli ton Antiprosopon /</w:t>
            </w:r>
            <w:r>
              <w:rPr>
                <w:i/>
                <w:iCs/>
                <w:noProof/>
                <w:color w:val="000000"/>
                <w:sz w:val="22"/>
                <w:szCs w:val="22"/>
              </w:rPr>
              <w:br/>
            </w:r>
            <w:r>
              <w:rPr>
                <w:i/>
                <w:noProof/>
                <w:color w:val="000000"/>
                <w:sz w:val="22"/>
              </w:rPr>
              <w:t>Βουλή των Αντιπροσώπων</w:t>
            </w:r>
          </w:p>
        </w:tc>
        <w:tc>
          <w:tcPr>
            <w:tcW w:w="1660" w:type="dxa"/>
            <w:shd w:val="clear" w:color="auto" w:fill="auto"/>
            <w:vAlign w:val="center"/>
          </w:tcPr>
          <w:p>
            <w:pPr>
              <w:jc w:val="center"/>
              <w:rPr>
                <w:noProof/>
                <w:color w:val="000000"/>
                <w:sz w:val="22"/>
                <w:szCs w:val="22"/>
              </w:rPr>
            </w:pPr>
            <w:r>
              <w:rPr>
                <w:noProof/>
                <w:color w:val="000000"/>
                <w:sz w:val="22"/>
              </w:rPr>
              <w:t>4</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Обединено кралство</w:t>
            </w:r>
          </w:p>
        </w:tc>
        <w:tc>
          <w:tcPr>
            <w:tcW w:w="3609" w:type="dxa"/>
            <w:shd w:val="clear" w:color="auto" w:fill="auto"/>
            <w:vAlign w:val="center"/>
          </w:tcPr>
          <w:p>
            <w:pPr>
              <w:jc w:val="center"/>
              <w:rPr>
                <w:noProof/>
                <w:color w:val="000000"/>
                <w:sz w:val="22"/>
                <w:szCs w:val="22"/>
              </w:rPr>
            </w:pPr>
            <w:r>
              <w:rPr>
                <w:noProof/>
                <w:color w:val="000000"/>
                <w:sz w:val="22"/>
              </w:rPr>
              <w:t>House of Commons</w:t>
            </w:r>
          </w:p>
        </w:tc>
        <w:tc>
          <w:tcPr>
            <w:tcW w:w="1660" w:type="dxa"/>
            <w:shd w:val="clear" w:color="auto" w:fill="auto"/>
            <w:vAlign w:val="center"/>
          </w:tcPr>
          <w:p>
            <w:pPr>
              <w:jc w:val="center"/>
              <w:rPr>
                <w:noProof/>
                <w:color w:val="000000"/>
                <w:sz w:val="22"/>
                <w:szCs w:val="22"/>
              </w:rPr>
            </w:pPr>
            <w:r>
              <w:rPr>
                <w:noProof/>
                <w:color w:val="000000"/>
                <w:sz w:val="22"/>
              </w:rPr>
              <w:t>3</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Гърция</w:t>
            </w:r>
          </w:p>
        </w:tc>
        <w:tc>
          <w:tcPr>
            <w:tcW w:w="3609" w:type="dxa"/>
            <w:shd w:val="clear" w:color="auto" w:fill="auto"/>
            <w:vAlign w:val="center"/>
          </w:tcPr>
          <w:p>
            <w:pPr>
              <w:jc w:val="center"/>
              <w:rPr>
                <w:i/>
                <w:iCs/>
                <w:noProof/>
                <w:color w:val="000000"/>
                <w:sz w:val="22"/>
                <w:szCs w:val="22"/>
              </w:rPr>
            </w:pPr>
            <w:r>
              <w:rPr>
                <w:i/>
                <w:noProof/>
                <w:color w:val="000000"/>
                <w:sz w:val="22"/>
              </w:rPr>
              <w:t>Vouli ton Ellinon</w:t>
            </w:r>
          </w:p>
        </w:tc>
        <w:tc>
          <w:tcPr>
            <w:tcW w:w="1660" w:type="dxa"/>
            <w:shd w:val="clear" w:color="auto" w:fill="auto"/>
            <w:vAlign w:val="center"/>
          </w:tcPr>
          <w:p>
            <w:pPr>
              <w:jc w:val="center"/>
              <w:rPr>
                <w:noProof/>
                <w:color w:val="000000"/>
                <w:sz w:val="22"/>
                <w:szCs w:val="22"/>
              </w:rPr>
            </w:pPr>
            <w:r>
              <w:rPr>
                <w:noProof/>
                <w:color w:val="000000"/>
                <w:sz w:val="22"/>
              </w:rPr>
              <w:t>3</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Ирландия</w:t>
            </w:r>
          </w:p>
        </w:tc>
        <w:tc>
          <w:tcPr>
            <w:tcW w:w="3609" w:type="dxa"/>
            <w:shd w:val="clear" w:color="auto" w:fill="auto"/>
            <w:vAlign w:val="center"/>
          </w:tcPr>
          <w:p>
            <w:pPr>
              <w:jc w:val="center"/>
              <w:rPr>
                <w:noProof/>
                <w:color w:val="000000"/>
                <w:sz w:val="22"/>
                <w:szCs w:val="22"/>
              </w:rPr>
            </w:pPr>
            <w:r>
              <w:rPr>
                <w:noProof/>
                <w:color w:val="000000"/>
                <w:sz w:val="22"/>
              </w:rPr>
              <w:t xml:space="preserve">Houses of the </w:t>
            </w:r>
            <w:r>
              <w:rPr>
                <w:i/>
                <w:noProof/>
                <w:color w:val="000000"/>
                <w:sz w:val="22"/>
              </w:rPr>
              <w:t>Oireachtas:</w:t>
            </w:r>
            <w:r>
              <w:rPr>
                <w:noProof/>
                <w:color w:val="000000"/>
                <w:sz w:val="22"/>
                <w:szCs w:val="22"/>
              </w:rPr>
              <w:br/>
            </w:r>
            <w:r>
              <w:rPr>
                <w:i/>
                <w:noProof/>
                <w:color w:val="000000"/>
                <w:sz w:val="22"/>
              </w:rPr>
              <w:t xml:space="preserve">Seanad Éireann </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Белгия</w:t>
            </w:r>
          </w:p>
        </w:tc>
        <w:tc>
          <w:tcPr>
            <w:tcW w:w="3609" w:type="dxa"/>
            <w:shd w:val="clear" w:color="auto" w:fill="auto"/>
            <w:vAlign w:val="center"/>
          </w:tcPr>
          <w:p>
            <w:pPr>
              <w:jc w:val="center"/>
              <w:rPr>
                <w:i/>
                <w:iCs/>
                <w:noProof/>
                <w:color w:val="000000"/>
                <w:sz w:val="22"/>
                <w:szCs w:val="22"/>
              </w:rPr>
            </w:pPr>
            <w:r>
              <w:rPr>
                <w:i/>
                <w:noProof/>
                <w:color w:val="000000"/>
                <w:sz w:val="22"/>
              </w:rPr>
              <w:t>Chambre des Représentants de Belgique / Belgische Kamer van volksvertegenwoordigers</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Хърватия</w:t>
            </w:r>
          </w:p>
        </w:tc>
        <w:tc>
          <w:tcPr>
            <w:tcW w:w="3609" w:type="dxa"/>
            <w:shd w:val="clear" w:color="auto" w:fill="auto"/>
            <w:vAlign w:val="center"/>
          </w:tcPr>
          <w:p>
            <w:pPr>
              <w:jc w:val="center"/>
              <w:rPr>
                <w:i/>
                <w:iCs/>
                <w:noProof/>
                <w:color w:val="000000"/>
                <w:sz w:val="22"/>
                <w:szCs w:val="22"/>
              </w:rPr>
            </w:pPr>
            <w:r>
              <w:rPr>
                <w:i/>
                <w:noProof/>
                <w:color w:val="000000"/>
                <w:sz w:val="22"/>
              </w:rPr>
              <w:t xml:space="preserve">Hrvatski Sabor </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Литва</w:t>
            </w:r>
          </w:p>
        </w:tc>
        <w:tc>
          <w:tcPr>
            <w:tcW w:w="3609" w:type="dxa"/>
            <w:shd w:val="clear" w:color="auto" w:fill="auto"/>
            <w:vAlign w:val="center"/>
          </w:tcPr>
          <w:p>
            <w:pPr>
              <w:jc w:val="center"/>
              <w:rPr>
                <w:i/>
                <w:iCs/>
                <w:noProof/>
                <w:color w:val="000000"/>
                <w:sz w:val="22"/>
                <w:szCs w:val="22"/>
              </w:rPr>
            </w:pPr>
            <w:r>
              <w:rPr>
                <w:i/>
                <w:noProof/>
                <w:color w:val="000000"/>
                <w:sz w:val="22"/>
              </w:rPr>
              <w:t>Seimas</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Ирландия</w:t>
            </w:r>
          </w:p>
        </w:tc>
        <w:tc>
          <w:tcPr>
            <w:tcW w:w="3609" w:type="dxa"/>
            <w:shd w:val="clear" w:color="auto" w:fill="auto"/>
            <w:vAlign w:val="center"/>
          </w:tcPr>
          <w:p>
            <w:pPr>
              <w:jc w:val="center"/>
              <w:rPr>
                <w:noProof/>
                <w:color w:val="000000"/>
                <w:sz w:val="22"/>
                <w:szCs w:val="22"/>
              </w:rPr>
            </w:pPr>
            <w:r>
              <w:rPr>
                <w:noProof/>
                <w:color w:val="000000"/>
                <w:sz w:val="22"/>
              </w:rPr>
              <w:t xml:space="preserve">Houses of the </w:t>
            </w:r>
            <w:r>
              <w:rPr>
                <w:i/>
                <w:noProof/>
                <w:color w:val="000000"/>
                <w:sz w:val="22"/>
              </w:rPr>
              <w:t>Oireachtas:</w:t>
            </w:r>
            <w:r>
              <w:rPr>
                <w:noProof/>
                <w:color w:val="000000"/>
                <w:sz w:val="22"/>
                <w:szCs w:val="22"/>
              </w:rPr>
              <w:br/>
            </w:r>
            <w:r>
              <w:rPr>
                <w:i/>
                <w:noProof/>
                <w:color w:val="000000"/>
                <w:sz w:val="22"/>
              </w:rPr>
              <w:t xml:space="preserve">Dáil Éireann </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Австрия</w:t>
            </w:r>
          </w:p>
        </w:tc>
        <w:tc>
          <w:tcPr>
            <w:tcW w:w="3609" w:type="dxa"/>
            <w:shd w:val="clear" w:color="auto" w:fill="auto"/>
            <w:vAlign w:val="center"/>
          </w:tcPr>
          <w:p>
            <w:pPr>
              <w:jc w:val="center"/>
              <w:rPr>
                <w:i/>
                <w:iCs/>
                <w:noProof/>
                <w:color w:val="000000"/>
                <w:sz w:val="22"/>
                <w:szCs w:val="22"/>
              </w:rPr>
            </w:pPr>
            <w:r>
              <w:rPr>
                <w:i/>
                <w:noProof/>
                <w:color w:val="000000"/>
                <w:sz w:val="22"/>
              </w:rPr>
              <w:t>Nationalrat</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Белгия</w:t>
            </w:r>
          </w:p>
        </w:tc>
        <w:tc>
          <w:tcPr>
            <w:tcW w:w="3609" w:type="dxa"/>
            <w:shd w:val="clear" w:color="auto" w:fill="auto"/>
            <w:vAlign w:val="center"/>
          </w:tcPr>
          <w:p>
            <w:pPr>
              <w:jc w:val="center"/>
              <w:rPr>
                <w:i/>
                <w:iCs/>
                <w:noProof/>
                <w:color w:val="000000"/>
                <w:sz w:val="22"/>
                <w:szCs w:val="22"/>
              </w:rPr>
            </w:pPr>
            <w:r>
              <w:rPr>
                <w:i/>
                <w:noProof/>
                <w:color w:val="000000"/>
                <w:sz w:val="22"/>
              </w:rPr>
              <w:t>Sénat de Belgique / Belgische Senaat</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България</w:t>
            </w:r>
          </w:p>
        </w:tc>
        <w:tc>
          <w:tcPr>
            <w:tcW w:w="3609" w:type="dxa"/>
            <w:shd w:val="clear" w:color="auto" w:fill="auto"/>
            <w:vAlign w:val="center"/>
          </w:tcPr>
          <w:p>
            <w:pPr>
              <w:jc w:val="center"/>
              <w:rPr>
                <w:i/>
                <w:iCs/>
                <w:noProof/>
                <w:color w:val="000000"/>
                <w:sz w:val="22"/>
                <w:szCs w:val="22"/>
              </w:rPr>
            </w:pPr>
            <w:r>
              <w:rPr>
                <w:i/>
                <w:noProof/>
                <w:color w:val="000000"/>
                <w:sz w:val="22"/>
              </w:rPr>
              <w:t>Народно събрание</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Люксембург</w:t>
            </w:r>
          </w:p>
        </w:tc>
        <w:tc>
          <w:tcPr>
            <w:tcW w:w="3609" w:type="dxa"/>
            <w:shd w:val="clear" w:color="auto" w:fill="auto"/>
            <w:vAlign w:val="center"/>
          </w:tcPr>
          <w:p>
            <w:pPr>
              <w:jc w:val="center"/>
              <w:rPr>
                <w:i/>
                <w:iCs/>
                <w:noProof/>
                <w:color w:val="000000"/>
                <w:sz w:val="22"/>
                <w:szCs w:val="22"/>
              </w:rPr>
            </w:pPr>
            <w:r>
              <w:rPr>
                <w:i/>
                <w:noProof/>
                <w:color w:val="000000"/>
                <w:sz w:val="22"/>
              </w:rPr>
              <w:t>Chambre des Députés</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Малта</w:t>
            </w:r>
          </w:p>
        </w:tc>
        <w:tc>
          <w:tcPr>
            <w:tcW w:w="3609" w:type="dxa"/>
            <w:shd w:val="clear" w:color="auto" w:fill="auto"/>
            <w:vAlign w:val="center"/>
          </w:tcPr>
          <w:p>
            <w:pPr>
              <w:jc w:val="center"/>
              <w:rPr>
                <w:i/>
                <w:iCs/>
                <w:noProof/>
                <w:color w:val="000000"/>
                <w:sz w:val="22"/>
                <w:szCs w:val="22"/>
              </w:rPr>
            </w:pPr>
            <w:r>
              <w:rPr>
                <w:i/>
                <w:noProof/>
                <w:color w:val="000000"/>
                <w:sz w:val="22"/>
              </w:rPr>
              <w:t>Kamra tad-Deputati</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Словения</w:t>
            </w:r>
          </w:p>
        </w:tc>
        <w:tc>
          <w:tcPr>
            <w:tcW w:w="3609" w:type="dxa"/>
            <w:shd w:val="clear" w:color="auto" w:fill="auto"/>
            <w:vAlign w:val="center"/>
          </w:tcPr>
          <w:p>
            <w:pPr>
              <w:jc w:val="center"/>
              <w:rPr>
                <w:i/>
                <w:iCs/>
                <w:noProof/>
                <w:color w:val="000000"/>
                <w:sz w:val="22"/>
                <w:szCs w:val="22"/>
              </w:rPr>
            </w:pPr>
            <w:r>
              <w:rPr>
                <w:i/>
                <w:noProof/>
                <w:color w:val="000000"/>
                <w:sz w:val="22"/>
              </w:rPr>
              <w:t>Državni svet</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Естония</w:t>
            </w:r>
          </w:p>
        </w:tc>
        <w:tc>
          <w:tcPr>
            <w:tcW w:w="3609" w:type="dxa"/>
            <w:shd w:val="clear" w:color="auto" w:fill="auto"/>
            <w:vAlign w:val="center"/>
          </w:tcPr>
          <w:p>
            <w:pPr>
              <w:jc w:val="center"/>
              <w:rPr>
                <w:i/>
                <w:iCs/>
                <w:noProof/>
                <w:color w:val="000000"/>
                <w:sz w:val="22"/>
                <w:szCs w:val="22"/>
              </w:rPr>
            </w:pPr>
            <w:r>
              <w:rPr>
                <w:i/>
                <w:noProof/>
                <w:color w:val="000000"/>
                <w:sz w:val="22"/>
              </w:rPr>
              <w:t>Riigikogu</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Финландия</w:t>
            </w:r>
          </w:p>
        </w:tc>
        <w:tc>
          <w:tcPr>
            <w:tcW w:w="3609" w:type="dxa"/>
            <w:shd w:val="clear" w:color="auto" w:fill="auto"/>
            <w:vAlign w:val="center"/>
          </w:tcPr>
          <w:p>
            <w:pPr>
              <w:jc w:val="center"/>
              <w:rPr>
                <w:i/>
                <w:iCs/>
                <w:noProof/>
                <w:color w:val="000000"/>
                <w:sz w:val="22"/>
                <w:szCs w:val="22"/>
              </w:rPr>
            </w:pPr>
            <w:r>
              <w:rPr>
                <w:i/>
                <w:noProof/>
                <w:color w:val="000000"/>
                <w:sz w:val="22"/>
              </w:rPr>
              <w:t>Eduskunta</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Латвия</w:t>
            </w:r>
          </w:p>
        </w:tc>
        <w:tc>
          <w:tcPr>
            <w:tcW w:w="3609" w:type="dxa"/>
            <w:shd w:val="clear" w:color="auto" w:fill="auto"/>
            <w:vAlign w:val="center"/>
          </w:tcPr>
          <w:p>
            <w:pPr>
              <w:jc w:val="center"/>
              <w:rPr>
                <w:i/>
                <w:iCs/>
                <w:noProof/>
                <w:color w:val="000000"/>
                <w:sz w:val="22"/>
                <w:szCs w:val="22"/>
              </w:rPr>
            </w:pPr>
            <w:r>
              <w:rPr>
                <w:i/>
                <w:noProof/>
                <w:color w:val="000000"/>
                <w:sz w:val="22"/>
              </w:rPr>
              <w:t>Saeima</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Словения</w:t>
            </w:r>
          </w:p>
        </w:tc>
        <w:tc>
          <w:tcPr>
            <w:tcW w:w="3609" w:type="dxa"/>
            <w:shd w:val="clear" w:color="auto" w:fill="auto"/>
            <w:vAlign w:val="center"/>
          </w:tcPr>
          <w:p>
            <w:pPr>
              <w:jc w:val="center"/>
              <w:rPr>
                <w:i/>
                <w:iCs/>
                <w:noProof/>
                <w:color w:val="000000"/>
                <w:sz w:val="22"/>
                <w:szCs w:val="22"/>
              </w:rPr>
            </w:pPr>
            <w:r>
              <w:rPr>
                <w:i/>
                <w:noProof/>
                <w:color w:val="000000"/>
                <w:sz w:val="22"/>
              </w:rPr>
              <w:t>Državni zbor</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5518" w:type="dxa"/>
            <w:gridSpan w:val="2"/>
            <w:shd w:val="clear" w:color="auto" w:fill="auto"/>
            <w:vAlign w:val="center"/>
          </w:tcPr>
          <w:p>
            <w:pPr>
              <w:jc w:val="center"/>
              <w:rPr>
                <w:b/>
                <w:noProof/>
                <w:sz w:val="22"/>
                <w:szCs w:val="22"/>
              </w:rPr>
            </w:pPr>
            <w:r>
              <w:rPr>
                <w:b/>
                <w:noProof/>
                <w:sz w:val="22"/>
              </w:rPr>
              <w:t>ОБЩО</w:t>
            </w:r>
          </w:p>
        </w:tc>
        <w:tc>
          <w:tcPr>
            <w:tcW w:w="1660" w:type="dxa"/>
            <w:shd w:val="clear" w:color="auto" w:fill="auto"/>
          </w:tcPr>
          <w:p>
            <w:pPr>
              <w:jc w:val="center"/>
              <w:rPr>
                <w:b/>
                <w:noProof/>
                <w:sz w:val="22"/>
                <w:szCs w:val="22"/>
              </w:rPr>
            </w:pPr>
            <w:r>
              <w:rPr>
                <w:b/>
                <w:noProof/>
                <w:sz w:val="22"/>
              </w:rPr>
              <w:t>576</w:t>
            </w:r>
          </w:p>
        </w:tc>
        <w:tc>
          <w:tcPr>
            <w:tcW w:w="2364" w:type="dxa"/>
            <w:shd w:val="clear" w:color="auto" w:fill="auto"/>
          </w:tcPr>
          <w:p>
            <w:pPr>
              <w:jc w:val="center"/>
              <w:rPr>
                <w:b/>
                <w:noProof/>
                <w:sz w:val="22"/>
                <w:szCs w:val="22"/>
              </w:rPr>
            </w:pPr>
            <w:r>
              <w:rPr>
                <w:b/>
                <w:noProof/>
                <w:sz w:val="22"/>
              </w:rPr>
              <w:t>52</w:t>
            </w:r>
          </w:p>
        </w:tc>
      </w:tr>
    </w:tbl>
    <w:p>
      <w:pPr>
        <w:rPr>
          <w:b/>
          <w:noProof/>
          <w:u w:val="single"/>
        </w:rPr>
      </w:pPr>
    </w:p>
    <w:p>
      <w:pPr>
        <w:jc w:val="left"/>
        <w:rPr>
          <w:b/>
          <w:noProof/>
          <w:u w:val="single"/>
        </w:rPr>
      </w:pPr>
      <w:r>
        <w:rPr>
          <w:noProof/>
        </w:rPr>
        <w:br w:type="page"/>
      </w:r>
    </w:p>
    <w:p>
      <w:pPr>
        <w:spacing w:after="240"/>
        <w:jc w:val="center"/>
        <w:rPr>
          <w:b/>
          <w:noProof/>
          <w:u w:val="single"/>
        </w:rPr>
      </w:pPr>
      <w:r>
        <w:rPr>
          <w:b/>
          <w:noProof/>
          <w:u w:val="single"/>
        </w:rPr>
        <w:t>ПРИЛОЖЕНИЕ 2</w:t>
      </w:r>
    </w:p>
    <w:p>
      <w:pPr>
        <w:spacing w:after="240"/>
        <w:jc w:val="center"/>
        <w:rPr>
          <w:b/>
          <w:noProof/>
        </w:rPr>
      </w:pPr>
      <w:r>
        <w:rPr>
          <w:b/>
          <w:noProof/>
        </w:rPr>
        <w:t>Документи на Комисията, за които е получен най-голям брой становища</w:t>
      </w:r>
      <w:r>
        <w:rPr>
          <w:rStyle w:val="FootnoteReference"/>
          <w:noProof/>
        </w:rPr>
        <w:footnoteReference w:id="4"/>
      </w:r>
      <w:r>
        <w:rPr>
          <w:b/>
          <w:noProof/>
        </w:rPr>
        <w:t xml:space="preserve"> през 2017 г. (политически диалог и механизъм за контрол на субсидиарността)</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534"/>
        <w:gridCol w:w="1883"/>
        <w:gridCol w:w="4229"/>
        <w:gridCol w:w="1278"/>
        <w:gridCol w:w="1755"/>
      </w:tblGrid>
      <w:tr>
        <w:trPr>
          <w:cantSplit/>
          <w:tblHeader/>
        </w:trPr>
        <w:tc>
          <w:tcPr>
            <w:tcW w:w="534" w:type="dxa"/>
            <w:tcBorders>
              <w:top w:val="single" w:sz="4" w:space="0" w:color="auto"/>
              <w:left w:val="single" w:sz="4" w:space="0" w:color="auto"/>
              <w:bottom w:val="single" w:sz="4" w:space="0" w:color="auto"/>
            </w:tcBorders>
            <w:shd w:val="clear" w:color="auto" w:fill="auto"/>
            <w:noWrap/>
            <w:vAlign w:val="center"/>
            <w:hideMark/>
          </w:tcPr>
          <w:p>
            <w:pPr>
              <w:jc w:val="center"/>
              <w:rPr>
                <w:noProof/>
                <w:color w:val="000000"/>
                <w:sz w:val="22"/>
                <w:szCs w:val="22"/>
              </w:rPr>
            </w:pPr>
          </w:p>
        </w:tc>
        <w:tc>
          <w:tcPr>
            <w:tcW w:w="1883" w:type="dxa"/>
            <w:tcBorders>
              <w:top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Документ</w:t>
            </w:r>
            <w:r>
              <w:rPr>
                <w:b/>
                <w:bCs/>
                <w:noProof/>
                <w:color w:val="000000"/>
                <w:sz w:val="22"/>
                <w:szCs w:val="22"/>
              </w:rPr>
              <w:br/>
            </w:r>
            <w:r>
              <w:rPr>
                <w:b/>
                <w:noProof/>
                <w:color w:val="000000"/>
                <w:sz w:val="22"/>
              </w:rPr>
              <w:t>на Комисията</w:t>
            </w:r>
          </w:p>
        </w:tc>
        <w:tc>
          <w:tcPr>
            <w:tcW w:w="4343"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Заглавие</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Общ</w:t>
            </w:r>
            <w:r>
              <w:rPr>
                <w:b/>
                <w:bCs/>
                <w:noProof/>
                <w:color w:val="000000"/>
                <w:sz w:val="22"/>
                <w:szCs w:val="22"/>
              </w:rPr>
              <w:br/>
            </w:r>
            <w:r>
              <w:rPr>
                <w:b/>
                <w:noProof/>
                <w:color w:val="000000"/>
                <w:sz w:val="22"/>
              </w:rPr>
              <w:t>брой</w:t>
            </w:r>
            <w:r>
              <w:rPr>
                <w:b/>
                <w:bCs/>
                <w:noProof/>
                <w:color w:val="000000"/>
                <w:sz w:val="22"/>
                <w:szCs w:val="22"/>
              </w:rPr>
              <w:br/>
            </w:r>
            <w:r>
              <w:rPr>
                <w:b/>
                <w:noProof/>
                <w:color w:val="000000"/>
                <w:sz w:val="22"/>
              </w:rPr>
              <w:t>становища</w:t>
            </w:r>
            <w:r>
              <w:rPr>
                <w:rStyle w:val="FootnoteReference"/>
                <w:b/>
                <w:noProof/>
                <w:color w:val="000000"/>
                <w:sz w:val="22"/>
              </w:rPr>
              <w:footnoteReference w:id="5"/>
            </w:r>
          </w:p>
        </w:tc>
        <w:tc>
          <w:tcPr>
            <w:tcW w:w="175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Брой</w:t>
            </w:r>
            <w:r>
              <w:rPr>
                <w:b/>
                <w:bCs/>
                <w:noProof/>
                <w:color w:val="000000"/>
                <w:sz w:val="22"/>
                <w:szCs w:val="22"/>
              </w:rPr>
              <w:br/>
            </w:r>
            <w:r>
              <w:rPr>
                <w:b/>
                <w:noProof/>
                <w:color w:val="000000"/>
                <w:sz w:val="22"/>
              </w:rPr>
              <w:t>мотивирани</w:t>
            </w:r>
            <w:r>
              <w:rPr>
                <w:b/>
                <w:bCs/>
                <w:noProof/>
                <w:color w:val="000000"/>
                <w:sz w:val="22"/>
                <w:szCs w:val="22"/>
              </w:rPr>
              <w:br/>
            </w:r>
            <w:r>
              <w:rPr>
                <w:b/>
                <w:noProof/>
                <w:color w:val="000000"/>
                <w:sz w:val="22"/>
              </w:rPr>
              <w:t>становища</w:t>
            </w:r>
            <w:r>
              <w:rPr>
                <w:b/>
                <w:bCs/>
                <w:noProof/>
                <w:color w:val="000000"/>
                <w:sz w:val="22"/>
                <w:szCs w:val="22"/>
              </w:rPr>
              <w:br/>
            </w:r>
            <w:r>
              <w:rPr>
                <w:b/>
                <w:noProof/>
                <w:color w:val="000000"/>
                <w:sz w:val="22"/>
              </w:rPr>
              <w:t>(Протокол № 2)</w:t>
            </w:r>
            <w:r>
              <w:rPr>
                <w:rStyle w:val="FootnoteReference"/>
                <w:b/>
                <w:noProof/>
                <w:color w:val="000000"/>
                <w:sz w:val="22"/>
              </w:rPr>
              <w:footnoteReference w:id="6"/>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COM(2016)861</w:t>
            </w:r>
          </w:p>
        </w:tc>
        <w:tc>
          <w:tcPr>
            <w:tcW w:w="4343" w:type="dxa"/>
            <w:tcBorders>
              <w:top w:val="single" w:sz="4" w:space="0" w:color="auto"/>
              <w:left w:val="nil"/>
              <w:bottom w:val="single" w:sz="4" w:space="0" w:color="auto"/>
              <w:right w:val="single" w:sz="4" w:space="0" w:color="auto"/>
            </w:tcBorders>
            <w:shd w:val="clear" w:color="auto" w:fill="auto"/>
            <w:hideMark/>
          </w:tcPr>
          <w:p>
            <w:pPr>
              <w:jc w:val="left"/>
              <w:rPr>
                <w:noProof/>
                <w:color w:val="000000"/>
                <w:sz w:val="22"/>
                <w:szCs w:val="22"/>
              </w:rPr>
            </w:pPr>
            <w:r>
              <w:rPr>
                <w:noProof/>
                <w:color w:val="000000"/>
                <w:sz w:val="22"/>
              </w:rPr>
              <w:t xml:space="preserve">Предложение за регламент на Европейския Парламент и на Съвета относно </w:t>
            </w:r>
            <w:r>
              <w:rPr>
                <w:b/>
                <w:noProof/>
                <w:color w:val="000000"/>
                <w:sz w:val="22"/>
              </w:rPr>
              <w:t>вътрешния пазар на електроенергия</w:t>
            </w:r>
            <w:r>
              <w:rPr>
                <w:noProof/>
                <w:color w:val="000000"/>
                <w:sz w:val="22"/>
              </w:rPr>
              <w:t xml:space="preserve"> (преработен текст)</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16</w:t>
            </w:r>
            <w:r>
              <w:rPr>
                <w:rStyle w:val="FootnoteReference"/>
                <w:noProof/>
                <w:color w:val="000000"/>
                <w:sz w:val="22"/>
              </w:rPr>
              <w:footnoteReference w:id="7"/>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11</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COM(2017)253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относно </w:t>
            </w:r>
            <w:r>
              <w:rPr>
                <w:b/>
                <w:noProof/>
                <w:color w:val="000000"/>
                <w:sz w:val="22"/>
              </w:rPr>
              <w:t>равновесието между професионалния и личния живот на родителите и лицата, полагащи грижи</w:t>
            </w:r>
            <w:r>
              <w:rPr>
                <w:noProof/>
                <w:color w:val="000000"/>
                <w:sz w:val="22"/>
              </w:rPr>
              <w:t>, и за отмяна на Директива 2010/18/ЕС на Съвета</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10</w:t>
            </w:r>
            <w:r>
              <w:rPr>
                <w:rStyle w:val="FootnoteReference"/>
                <w:noProof/>
                <w:color w:val="000000"/>
                <w:sz w:val="22"/>
              </w:rPr>
              <w:footnoteReference w:id="8"/>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4</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COM(2016)864</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относно </w:t>
            </w:r>
            <w:r>
              <w:rPr>
                <w:b/>
                <w:noProof/>
                <w:color w:val="000000"/>
                <w:sz w:val="22"/>
              </w:rPr>
              <w:t>общите правила за вътрешния пазар на електроенергия</w:t>
            </w:r>
            <w:r>
              <w:rPr>
                <w:noProof/>
                <w:color w:val="000000"/>
                <w:sz w:val="22"/>
              </w:rPr>
              <w:t xml:space="preserve"> (преработен текст)</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10</w:t>
            </w:r>
            <w:r>
              <w:rPr>
                <w:rStyle w:val="FootnoteReference"/>
                <w:noProof/>
                <w:color w:val="000000"/>
                <w:sz w:val="22"/>
              </w:rPr>
              <w:footnoteReference w:id="9"/>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3</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COM(2016)767</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за </w:t>
            </w:r>
            <w:r>
              <w:rPr>
                <w:b/>
                <w:noProof/>
                <w:color w:val="000000"/>
                <w:sz w:val="22"/>
              </w:rPr>
              <w:t>насърчаване използването на енергия от възобновяеми източници</w:t>
            </w:r>
            <w:r>
              <w:rPr>
                <w:noProof/>
                <w:color w:val="000000"/>
                <w:sz w:val="22"/>
              </w:rPr>
              <w:t xml:space="preserve"> (преработен текст)</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10</w:t>
            </w:r>
            <w:r>
              <w:rPr>
                <w:rStyle w:val="FootnoteReference"/>
                <w:noProof/>
                <w:color w:val="000000"/>
                <w:sz w:val="22"/>
              </w:rPr>
              <w:footnoteReference w:id="10"/>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5</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COM(2017)10</w:t>
            </w:r>
          </w:p>
        </w:tc>
        <w:tc>
          <w:tcPr>
            <w:tcW w:w="4343" w:type="dxa"/>
            <w:tcBorders>
              <w:top w:val="single" w:sz="4" w:space="0" w:color="auto"/>
              <w:left w:val="nil"/>
              <w:bottom w:val="single" w:sz="4" w:space="0" w:color="auto"/>
              <w:right w:val="single" w:sz="4" w:space="0" w:color="auto"/>
            </w:tcBorders>
            <w:shd w:val="clear" w:color="auto" w:fill="auto"/>
            <w:hideMark/>
          </w:tcPr>
          <w:p>
            <w:pPr>
              <w:jc w:val="left"/>
              <w:rPr>
                <w:noProof/>
                <w:color w:val="000000"/>
                <w:sz w:val="22"/>
                <w:szCs w:val="22"/>
              </w:rPr>
            </w:pPr>
            <w:r>
              <w:rPr>
                <w:noProof/>
                <w:color w:val="000000"/>
                <w:sz w:val="22"/>
              </w:rPr>
              <w:t xml:space="preserve">Предложение за регламент на Европейския парламент и на Съвета относно </w:t>
            </w:r>
            <w:r>
              <w:rPr>
                <w:b/>
                <w:noProof/>
                <w:color w:val="000000"/>
                <w:sz w:val="22"/>
              </w:rPr>
              <w:t>зачитането на личния живот и защитата на личните данни в електронните съобщения</w:t>
            </w:r>
            <w:r>
              <w:rPr>
                <w:noProof/>
                <w:color w:val="000000"/>
                <w:sz w:val="22"/>
              </w:rPr>
              <w:t xml:space="preserve"> и за отмяна на Директива 2002/58/ЕО (Регламент за неприкосновеността на личния живот и електронните съобщения)</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10</w:t>
            </w:r>
            <w:r>
              <w:rPr>
                <w:rStyle w:val="FootnoteReference"/>
                <w:noProof/>
                <w:color w:val="000000"/>
                <w:sz w:val="22"/>
              </w:rPr>
              <w:footnoteReference w:id="11"/>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6</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COM(2016)822</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относно </w:t>
            </w:r>
            <w:r>
              <w:rPr>
                <w:b/>
                <w:noProof/>
                <w:color w:val="000000"/>
                <w:sz w:val="22"/>
              </w:rPr>
              <w:t>проверка за пропорционалност преди приемането на ново регулиране на професии</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9</w:t>
            </w:r>
            <w:r>
              <w:rPr>
                <w:rStyle w:val="FootnoteReference"/>
                <w:noProof/>
                <w:color w:val="000000"/>
                <w:sz w:val="22"/>
              </w:rPr>
              <w:footnoteReference w:id="12"/>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5</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7</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COM(2016)863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регламент на Европейския парламент и на Съвета за създаване на </w:t>
            </w:r>
            <w:r>
              <w:rPr>
                <w:b/>
                <w:noProof/>
                <w:color w:val="000000"/>
                <w:sz w:val="22"/>
              </w:rPr>
              <w:t>Агенция на Европейския съюз за сътрудничество между регулаторите на енергия</w:t>
            </w:r>
            <w:r>
              <w:rPr>
                <w:noProof/>
                <w:color w:val="000000"/>
                <w:sz w:val="22"/>
              </w:rPr>
              <w:t xml:space="preserve"> (преработен)</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9</w:t>
            </w:r>
            <w:r>
              <w:rPr>
                <w:rStyle w:val="FootnoteReference"/>
                <w:noProof/>
                <w:color w:val="000000"/>
                <w:sz w:val="22"/>
              </w:rPr>
              <w:footnoteReference w:id="13"/>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3</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8</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COM(2016)821</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w:t>
            </w:r>
            <w:r>
              <w:rPr>
                <w:b/>
                <w:noProof/>
                <w:color w:val="000000"/>
                <w:sz w:val="22"/>
              </w:rPr>
              <w:t>процедура за нотификация за разрешителни режими и изисквания, свързани с услугите</w:t>
            </w:r>
            <w:r>
              <w:rPr>
                <w:noProof/>
                <w:color w:val="000000"/>
                <w:sz w:val="22"/>
              </w:rPr>
              <w:t xml:space="preserve">, и за изменение на Директива 2006/123/ЕО и Регламент (ЕС) № 1024/2012 относно </w:t>
            </w:r>
            <w:r>
              <w:rPr>
                <w:b/>
                <w:noProof/>
                <w:color w:val="000000"/>
                <w:sz w:val="22"/>
              </w:rPr>
              <w:t>административно сътрудничество посредством Информационната система за вътрешния пазар</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8</w:t>
            </w:r>
            <w:r>
              <w:rPr>
                <w:rStyle w:val="FootnoteReference"/>
                <w:noProof/>
                <w:color w:val="000000"/>
                <w:sz w:val="22"/>
              </w:rPr>
              <w:footnoteReference w:id="14"/>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4</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9</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COM(2016)815</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регламент на Европейския парламент и на Съвета за изменение на Регламент (ЕО) № 883/2004 за </w:t>
            </w:r>
            <w:r>
              <w:rPr>
                <w:b/>
                <w:noProof/>
                <w:color w:val="000000"/>
                <w:sz w:val="22"/>
              </w:rPr>
              <w:t>координация на системите за социална сигурност</w:t>
            </w:r>
            <w:r>
              <w:rPr>
                <w:noProof/>
                <w:color w:val="000000"/>
                <w:sz w:val="22"/>
              </w:rPr>
              <w:t xml:space="preserve"> и на Регламент (ЕО) № 987/2009 за установяване процедурата за прилагане на Регламент (ЕО) № 883/2004</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8</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10</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COM(2016)710</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b/>
                <w:noProof/>
                <w:color w:val="000000"/>
                <w:sz w:val="22"/>
              </w:rPr>
              <w:t>Работна програма на Комисията за 2017 г.</w:t>
            </w:r>
            <w:r>
              <w:rPr>
                <w:noProof/>
                <w:color w:val="000000"/>
                <w:sz w:val="22"/>
              </w:rPr>
              <w:t>: Европа на резултатите: закрила, предоставяне на повече права и защита на гражданите</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8</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11</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COM(2016)765</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за изменение на Директива 2010/31/ЕС относно </w:t>
            </w:r>
            <w:r>
              <w:rPr>
                <w:b/>
                <w:noProof/>
                <w:color w:val="000000"/>
                <w:sz w:val="22"/>
              </w:rPr>
              <w:t>енергийните характеристики на сградите</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r>
              <w:rPr>
                <w:rStyle w:val="FootnoteReference"/>
                <w:noProof/>
                <w:color w:val="000000"/>
                <w:sz w:val="22"/>
              </w:rPr>
              <w:footnoteReference w:id="15"/>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COM(2016)723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директива на Европейския парламент и на Съвета относно </w:t>
            </w:r>
            <w:r>
              <w:rPr>
                <w:b/>
                <w:noProof/>
                <w:color w:val="000000"/>
                <w:sz w:val="22"/>
              </w:rPr>
              <w:t>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w:t>
            </w:r>
            <w:r>
              <w:rPr>
                <w:noProof/>
                <w:color w:val="000000"/>
                <w:sz w:val="22"/>
              </w:rPr>
              <w:t xml:space="preserve"> и за изменение на Директива 2012/30/ЕС</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COM(2016)759</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регламент на Европейския парламент и на Съвета относно </w:t>
            </w:r>
            <w:r>
              <w:rPr>
                <w:b/>
                <w:noProof/>
                <w:color w:val="000000"/>
                <w:sz w:val="22"/>
              </w:rPr>
              <w:t>управлението на Енергийния съюз</w:t>
            </w:r>
            <w:r>
              <w:rPr>
                <w:noProof/>
                <w:color w:val="000000"/>
                <w:sz w:val="22"/>
              </w:rPr>
              <w:t>,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r>
              <w:rPr>
                <w:rStyle w:val="FootnoteReference"/>
                <w:noProof/>
                <w:color w:val="000000"/>
                <w:sz w:val="22"/>
              </w:rPr>
              <w:footnoteReference w:id="16"/>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COM(2017)277</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Предложение за регламент на Европейския парламент и на Съвета за изменение на Регламент (ЕО) № 561/2006 по отношение на </w:t>
            </w:r>
            <w:r>
              <w:rPr>
                <w:b/>
                <w:noProof/>
                <w:color w:val="000000"/>
                <w:sz w:val="22"/>
              </w:rPr>
              <w:t>минималните изисквания за максималното дневно и седмично време на управление</w:t>
            </w:r>
            <w:r>
              <w:rPr>
                <w:noProof/>
                <w:color w:val="000000"/>
                <w:sz w:val="22"/>
              </w:rPr>
              <w:t xml:space="preserve">, минималните почивки по време на работа и периодите на дневна и седмична почивка, и на Регламент (ЕС) № 165/2014 по отношение на установяването на местоположението чрез </w:t>
            </w:r>
            <w:r>
              <w:rPr>
                <w:b/>
                <w:noProof/>
                <w:color w:val="000000"/>
                <w:sz w:val="22"/>
              </w:rPr>
              <w:t>тахографи</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r>
              <w:rPr>
                <w:rStyle w:val="FootnoteReference"/>
                <w:noProof/>
                <w:color w:val="000000"/>
                <w:sz w:val="22"/>
              </w:rPr>
              <w:footnoteReference w:id="17"/>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bl>
    <w:p>
      <w:pPr>
        <w:rPr>
          <w:b/>
          <w:noProof/>
        </w:rPr>
      </w:pPr>
      <w:r>
        <w:rPr>
          <w:noProof/>
        </w:rPr>
        <w:br w:type="page"/>
      </w:r>
    </w:p>
    <w:p>
      <w:pPr>
        <w:spacing w:after="240"/>
        <w:jc w:val="center"/>
        <w:rPr>
          <w:b/>
          <w:noProof/>
          <w:u w:val="single"/>
        </w:rPr>
      </w:pPr>
      <w:r>
        <w:rPr>
          <w:b/>
          <w:noProof/>
          <w:u w:val="single"/>
        </w:rPr>
        <w:t>ПРИЛОЖЕНИЕ 3</w:t>
      </w:r>
    </w:p>
    <w:p>
      <w:pPr>
        <w:spacing w:after="220"/>
        <w:jc w:val="center"/>
        <w:rPr>
          <w:b/>
          <w:noProof/>
        </w:rPr>
      </w:pPr>
      <w:r>
        <w:rPr>
          <w:b/>
          <w:noProof/>
        </w:rPr>
        <w:t>Брой становища, получени от Комисията през 2017 г., по водещи служби на Комисията (политически диалог и механизъм за контрол на субсидиарността)</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7219"/>
        <w:gridCol w:w="1921"/>
      </w:tblGrid>
      <w:tr>
        <w:trPr>
          <w:trHeight w:val="340"/>
        </w:trPr>
        <w:tc>
          <w:tcPr>
            <w:tcW w:w="0" w:type="auto"/>
            <w:vAlign w:val="center"/>
          </w:tcPr>
          <w:p>
            <w:pPr>
              <w:jc w:val="center"/>
              <w:rPr>
                <w:rFonts w:ascii="Times New Roman" w:hAnsi="Times New Roman" w:cs="Times New Roman"/>
                <w:b/>
                <w:noProof/>
                <w:sz w:val="22"/>
              </w:rPr>
            </w:pPr>
            <w:r>
              <w:rPr>
                <w:rFonts w:ascii="Times New Roman" w:hAnsi="Times New Roman"/>
                <w:b/>
                <w:noProof/>
                <w:sz w:val="22"/>
              </w:rPr>
              <w:t>Водеща служба на Комисията</w:t>
            </w:r>
          </w:p>
        </w:tc>
        <w:tc>
          <w:tcPr>
            <w:tcW w:w="2234" w:type="dxa"/>
            <w:vAlign w:val="center"/>
          </w:tcPr>
          <w:p>
            <w:pPr>
              <w:jc w:val="center"/>
              <w:rPr>
                <w:rFonts w:ascii="Times New Roman" w:hAnsi="Times New Roman" w:cs="Times New Roman"/>
                <w:b/>
                <w:noProof/>
                <w:sz w:val="22"/>
              </w:rPr>
            </w:pPr>
            <w:r>
              <w:rPr>
                <w:rFonts w:ascii="Times New Roman" w:hAnsi="Times New Roman"/>
                <w:b/>
                <w:noProof/>
                <w:sz w:val="22"/>
              </w:rPr>
              <w:t>Общ брой</w:t>
            </w:r>
            <w:r>
              <w:rPr>
                <w:rFonts w:ascii="Times New Roman" w:hAnsi="Times New Roman" w:cs="Times New Roman"/>
                <w:b/>
                <w:noProof/>
                <w:sz w:val="22"/>
              </w:rPr>
              <w:br/>
            </w:r>
            <w:r>
              <w:rPr>
                <w:rFonts w:ascii="Times New Roman" w:hAnsi="Times New Roman"/>
                <w:b/>
                <w:noProof/>
                <w:sz w:val="22"/>
              </w:rPr>
              <w:t>становища</w:t>
            </w:r>
            <w:r>
              <w:rPr>
                <w:rStyle w:val="FootnoteReference"/>
                <w:rFonts w:ascii="Times New Roman" w:hAnsi="Times New Roman"/>
                <w:noProof/>
                <w:sz w:val="22"/>
              </w:rPr>
              <w:footnoteReference w:id="18"/>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Генерален секретариат</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101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„Енергетика“</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65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„Вътрешен пазар, промишленост, предприемачество и МСП“ (GROW)</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52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„Миграция и вътрешни работи“</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41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„Правосъдие и потребители“</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38</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„Мобилност и транспорт“</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36</w:t>
            </w:r>
          </w:p>
        </w:tc>
      </w:tr>
      <w:tr>
        <w:trPr>
          <w:trHeight w:val="340"/>
        </w:trPr>
        <w:tc>
          <w:tcPr>
            <w:tcW w:w="0" w:type="auto"/>
            <w:noWrap/>
          </w:tcPr>
          <w:p>
            <w:pPr>
              <w:rPr>
                <w:rFonts w:ascii="Times New Roman" w:hAnsi="Times New Roman" w:cs="Times New Roman"/>
                <w:noProof/>
                <w:sz w:val="22"/>
              </w:rPr>
            </w:pPr>
            <w:r>
              <w:rPr>
                <w:rFonts w:ascii="Times New Roman" w:hAnsi="Times New Roman"/>
                <w:noProof/>
                <w:sz w:val="22"/>
              </w:rPr>
              <w:t>ГД „Финансова стабилност, финансови услуги и съюз на капиталовите пазари“ (FISMA)</w:t>
            </w:r>
          </w:p>
        </w:tc>
        <w:tc>
          <w:tcPr>
            <w:tcW w:w="2234" w:type="dxa"/>
            <w:noWrap/>
          </w:tcPr>
          <w:p>
            <w:pPr>
              <w:jc w:val="center"/>
              <w:rPr>
                <w:rFonts w:ascii="Times New Roman" w:hAnsi="Times New Roman" w:cs="Times New Roman"/>
                <w:noProof/>
                <w:sz w:val="22"/>
              </w:rPr>
            </w:pPr>
            <w:r>
              <w:rPr>
                <w:rFonts w:ascii="Times New Roman" w:hAnsi="Times New Roman"/>
                <w:noProof/>
                <w:sz w:val="22"/>
              </w:rPr>
              <w:t>33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„Съобщителни мрежи, съдържание и технологии“</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„Данъчно облагане и митнически съюз“</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29</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„Образование, младеж, спорт и култура“</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„Трудова заетост, социални въпроси и приобщаване“</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„Земеделие и развитие на селските райони“</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„Околна среда“</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Европейска служба за външна дейност</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10</w:t>
            </w:r>
            <w:r>
              <w:rPr>
                <w:rStyle w:val="FootnoteReference"/>
                <w:rFonts w:ascii="Times New Roman" w:hAnsi="Times New Roman"/>
                <w:noProof/>
                <w:sz w:val="22"/>
              </w:rPr>
              <w:footnoteReference w:id="19"/>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„Търговия“</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10</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Работната група по член 50</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9</w:t>
            </w:r>
            <w:r>
              <w:rPr>
                <w:rStyle w:val="FootnoteReference"/>
                <w:rFonts w:ascii="Times New Roman" w:hAnsi="Times New Roman"/>
                <w:noProof/>
                <w:sz w:val="22"/>
              </w:rPr>
              <w:footnoteReference w:id="20"/>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„Евростат“ — европейска статистика</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8</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„Конкуренция“</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6</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„Регионална и селищна политика“</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6</w:t>
            </w:r>
          </w:p>
        </w:tc>
      </w:tr>
      <w:tr>
        <w:trPr>
          <w:trHeight w:val="340"/>
        </w:trPr>
        <w:tc>
          <w:tcPr>
            <w:tcW w:w="0" w:type="auto"/>
            <w:noWrap/>
          </w:tcPr>
          <w:p>
            <w:pPr>
              <w:rPr>
                <w:rFonts w:ascii="Times New Roman" w:hAnsi="Times New Roman" w:cs="Times New Roman"/>
                <w:noProof/>
                <w:sz w:val="22"/>
              </w:rPr>
            </w:pPr>
            <w:r>
              <w:rPr>
                <w:rFonts w:ascii="Times New Roman" w:hAnsi="Times New Roman"/>
                <w:noProof/>
                <w:sz w:val="22"/>
              </w:rPr>
              <w:t>ГД „Бюджет“</w:t>
            </w:r>
          </w:p>
        </w:tc>
        <w:tc>
          <w:tcPr>
            <w:tcW w:w="2234" w:type="dxa"/>
            <w:noWrap/>
          </w:tcPr>
          <w:p>
            <w:pPr>
              <w:jc w:val="center"/>
              <w:rPr>
                <w:rFonts w:ascii="Times New Roman" w:hAnsi="Times New Roman" w:cs="Times New Roman"/>
                <w:noProof/>
                <w:sz w:val="22"/>
              </w:rPr>
            </w:pPr>
            <w:r>
              <w:rPr>
                <w:rFonts w:ascii="Times New Roman" w:hAnsi="Times New Roman"/>
                <w:noProof/>
                <w:sz w:val="22"/>
              </w:rPr>
              <w:t>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„Икономически и финансови въпроси“</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4</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„Морско дело и рибарство“</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4</w:t>
            </w:r>
          </w:p>
        </w:tc>
      </w:tr>
      <w:tr>
        <w:trPr>
          <w:trHeight w:val="340"/>
        </w:trPr>
        <w:tc>
          <w:tcPr>
            <w:tcW w:w="0" w:type="auto"/>
            <w:noWrap/>
          </w:tcPr>
          <w:p>
            <w:pPr>
              <w:rPr>
                <w:rFonts w:ascii="Times New Roman" w:hAnsi="Times New Roman" w:cs="Times New Roman"/>
                <w:noProof/>
                <w:sz w:val="22"/>
              </w:rPr>
            </w:pPr>
            <w:r>
              <w:rPr>
                <w:rFonts w:ascii="Times New Roman" w:hAnsi="Times New Roman"/>
                <w:noProof/>
                <w:sz w:val="22"/>
              </w:rPr>
              <w:t>ГД „Международно сътрудничество и развитие“</w:t>
            </w:r>
          </w:p>
        </w:tc>
        <w:tc>
          <w:tcPr>
            <w:tcW w:w="2234" w:type="dxa"/>
            <w:noWrap/>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„Европейска политика за съседство и преговори за разширяване“</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„Научни изследвания и иновации“ (RTD)</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„Здравеопазване и безопасност на храните“</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ГД „Действия по климата“</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w:t>
            </w:r>
          </w:p>
        </w:tc>
      </w:tr>
      <w:tr>
        <w:trPr>
          <w:trHeight w:val="148"/>
        </w:trPr>
        <w:tc>
          <w:tcPr>
            <w:tcW w:w="0" w:type="auto"/>
            <w:vAlign w:val="center"/>
          </w:tcPr>
          <w:p>
            <w:pPr>
              <w:rPr>
                <w:rFonts w:ascii="Times New Roman" w:hAnsi="Times New Roman" w:cs="Times New Roman"/>
                <w:noProof/>
                <w:sz w:val="22"/>
              </w:rPr>
            </w:pPr>
            <w:r>
              <w:rPr>
                <w:rFonts w:ascii="Times New Roman" w:hAnsi="Times New Roman"/>
                <w:noProof/>
                <w:sz w:val="22"/>
              </w:rPr>
              <w:t>ОБЩО</w:t>
            </w:r>
          </w:p>
        </w:tc>
        <w:tc>
          <w:tcPr>
            <w:tcW w:w="2234" w:type="dxa"/>
            <w:vAlign w:val="center"/>
          </w:tcPr>
          <w:p>
            <w:pPr>
              <w:jc w:val="center"/>
              <w:rPr>
                <w:rFonts w:ascii="Times New Roman" w:hAnsi="Times New Roman" w:cs="Times New Roman"/>
                <w:b/>
                <w:noProof/>
                <w:sz w:val="22"/>
              </w:rPr>
            </w:pPr>
            <w:r>
              <w:rPr>
                <w:rFonts w:ascii="Times New Roman" w:hAnsi="Times New Roman"/>
                <w:b/>
                <w:noProof/>
                <w:sz w:val="22"/>
              </w:rPr>
              <w:t>576</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 xml:space="preserve"> </w:t>
      </w:r>
      <w:r>
        <w:tab/>
        <w:t>В това число становища и мотивирани становища, получени от националните парламенти.</w:t>
      </w:r>
    </w:p>
  </w:footnote>
  <w:footnote w:id="2">
    <w:p>
      <w:pPr>
        <w:pStyle w:val="FootnoteText"/>
        <w:ind w:left="284" w:hanging="284"/>
      </w:pPr>
      <w:r>
        <w:rPr>
          <w:rStyle w:val="FootnoteReference"/>
        </w:rPr>
        <w:footnoteRef/>
      </w:r>
      <w:r>
        <w:t xml:space="preserve"> </w:t>
      </w:r>
      <w:r>
        <w:tab/>
        <w:t>За да може дадено становище да се определи като мотивирано становище съгласно определението в Протокол № 2, в него трябва ясно да се посочва нарушение на субсидиарността и то трябва да бъде изпратено до Комисията в срок от осем седмици, считано от момента на изпращането на законодателното предложение до националните парламенти.</w:t>
      </w:r>
    </w:p>
  </w:footnote>
  <w:footnote w:id="3">
    <w:p>
      <w:pPr>
        <w:pStyle w:val="FootnoteText"/>
        <w:ind w:left="284" w:hanging="284"/>
      </w:pPr>
      <w:r>
        <w:rPr>
          <w:rStyle w:val="FootnoteReference"/>
        </w:rPr>
        <w:footnoteRef/>
      </w:r>
      <w:r>
        <w:tab/>
        <w:t>Броят се за тридесет и осем съвместни становища от две камари.</w:t>
      </w:r>
    </w:p>
  </w:footnote>
  <w:footnote w:id="4">
    <w:p>
      <w:pPr>
        <w:pStyle w:val="FootnoteText"/>
        <w:tabs>
          <w:tab w:val="left" w:pos="284"/>
        </w:tabs>
        <w:ind w:left="284" w:hanging="284"/>
      </w:pPr>
      <w:r>
        <w:rPr>
          <w:rStyle w:val="FootnoteReference"/>
        </w:rPr>
        <w:footnoteRef/>
      </w:r>
      <w:r>
        <w:t xml:space="preserve"> </w:t>
      </w:r>
      <w:r>
        <w:tab/>
        <w:t>В таблицата са класирани всички документи на Комисията, за които са получени най-малко седем становища.</w:t>
      </w:r>
    </w:p>
  </w:footnote>
  <w:footnote w:id="5">
    <w:p>
      <w:pPr>
        <w:pStyle w:val="FootnoteText"/>
        <w:ind w:left="284" w:hanging="284"/>
      </w:pPr>
      <w:r>
        <w:rPr>
          <w:rStyle w:val="FootnoteReference"/>
        </w:rPr>
        <w:footnoteRef/>
      </w:r>
      <w:r>
        <w:t xml:space="preserve"> </w:t>
      </w:r>
      <w:r>
        <w:tab/>
        <w:t>В това число становища и мотивирани становища, получени от националните парламенти.</w:t>
      </w:r>
    </w:p>
  </w:footnote>
  <w:footnote w:id="6">
    <w:p>
      <w:pPr>
        <w:pStyle w:val="FootnoteText"/>
        <w:ind w:left="284" w:hanging="284"/>
      </w:pPr>
      <w:r>
        <w:rPr>
          <w:rStyle w:val="FootnoteReference"/>
        </w:rPr>
        <w:footnoteRef/>
      </w:r>
      <w:r>
        <w:t xml:space="preserve"> </w:t>
      </w:r>
      <w:r>
        <w:tab/>
        <w:t>За да може дадено становище да се определи като мотивирано становище съгласно определението в Протокол № 2, в него трябва ясно да се посочва нарушение на субсидиарността и то трябва да бъде изпратено до Комисията в срок от осем седмици, считано от момента на изпращането на законодателното предложение до националните парламенти.</w:t>
      </w:r>
    </w:p>
  </w:footnote>
  <w:footnote w:id="7">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чешкия </w:t>
      </w:r>
      <w:r>
        <w:rPr>
          <w:i/>
        </w:rPr>
        <w:t>Senát</w:t>
      </w:r>
      <w:r>
        <w:t xml:space="preserve">, се отнася едновременно за COM(2016)864, COM(2016)862, COM(2016)863 и COM(2016)861. Едно становище, представено от португалската </w:t>
      </w:r>
      <w:r>
        <w:rPr>
          <w:i/>
        </w:rPr>
        <w:t>Assambleia da República</w:t>
      </w:r>
      <w:r>
        <w:t xml:space="preserve">, се отнася едновременно за COM(2016)864, COM(2016)863 и COM(2016)861. </w:t>
      </w:r>
    </w:p>
  </w:footnote>
  <w:footnote w:id="8">
    <w:p>
      <w:pPr>
        <w:pStyle w:val="FootnoteText"/>
        <w:ind w:left="284" w:hanging="284"/>
      </w:pPr>
      <w:r>
        <w:rPr>
          <w:rStyle w:val="FootnoteReference"/>
        </w:rPr>
        <w:footnoteRef/>
      </w:r>
      <w:r>
        <w:t xml:space="preserve"> </w:t>
      </w:r>
      <w:r>
        <w:tab/>
        <w:t xml:space="preserve">Две становища — от португалската </w:t>
      </w:r>
      <w:r>
        <w:rPr>
          <w:i/>
        </w:rPr>
        <w:t>Assambleia da República</w:t>
      </w:r>
      <w:r>
        <w:t xml:space="preserve"> и румънската </w:t>
      </w:r>
      <w:r>
        <w:rPr>
          <w:i/>
        </w:rPr>
        <w:t>Camera Deputaților</w:t>
      </w:r>
      <w:r>
        <w:t xml:space="preserve"> — се отнасят едновременно за COM(2017)253 и COM(2017)252. </w:t>
      </w:r>
    </w:p>
  </w:footnote>
  <w:footnote w:id="9">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испанските </w:t>
      </w:r>
      <w:r>
        <w:rPr>
          <w:i/>
        </w:rPr>
        <w:t>Cortes Generales</w:t>
      </w:r>
      <w:r>
        <w:t xml:space="preserve">, се отнася едновременно за COM(2016)864 и COM(2016)767. Едно становище, представено от чешкия </w:t>
      </w:r>
      <w:r>
        <w:rPr>
          <w:i/>
        </w:rPr>
        <w:t>Senát,</w:t>
      </w:r>
      <w:r>
        <w:t xml:space="preserve">, се отнася едновременно за COM(2016)864, COM(2016)862, COM(2016)863 и COM(2016)861. Едно становище, представено от португалската </w:t>
      </w:r>
      <w:r>
        <w:rPr>
          <w:i/>
        </w:rPr>
        <w:t>Assembleia da República,</w:t>
      </w:r>
      <w:r>
        <w:t>, се отнася едновременно за COM(2016)864, COM(2016)863 и COM(2016)861.</w:t>
      </w:r>
    </w:p>
  </w:footnote>
  <w:footnote w:id="10">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чешкия </w:t>
      </w:r>
      <w:r>
        <w:rPr>
          <w:i/>
        </w:rPr>
        <w:t>Senát,</w:t>
      </w:r>
      <w:r>
        <w:t xml:space="preserve">, се отнася едновременно за COM(2016)759 и COM(2016)767. Едно становище, представено от чешката </w:t>
      </w:r>
      <w:r>
        <w:rPr>
          <w:i/>
        </w:rPr>
        <w:t>Poslanecká sněmovna</w:t>
      </w:r>
      <w:r>
        <w:t>, се отнася едновременно за COM(2016)759, COM(2016)767, COM(2016)761 и COM(2016)760.</w:t>
      </w:r>
    </w:p>
  </w:footnote>
  <w:footnote w:id="11">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чешката </w:t>
      </w:r>
      <w:r>
        <w:rPr>
          <w:i/>
        </w:rPr>
        <w:t>Poslanecká sněmovna</w:t>
      </w:r>
      <w:r>
        <w:t xml:space="preserve">, се отнася едновременно за COM(2017)10, COM(2017)8 и COM(2017)7. </w:t>
      </w:r>
    </w:p>
  </w:footnote>
  <w:footnote w:id="12">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португалската </w:t>
      </w:r>
      <w:r>
        <w:rPr>
          <w:i/>
        </w:rPr>
        <w:t xml:space="preserve">Assambleia da República, </w:t>
      </w:r>
      <w:r>
        <w:t xml:space="preserve">се отнася едновременно за COM(2016)824, COM(2016)823, COM(2016)821, COM(2016)822 и COM(2016)820. Едно становище, представено от испанските </w:t>
      </w:r>
      <w:r>
        <w:rPr>
          <w:i/>
        </w:rPr>
        <w:t>Cortes Generales,</w:t>
      </w:r>
      <w:r>
        <w:t>, се отнася едновременно за COM(2016)824, COM(2016)823 и COM(2016)822.</w:t>
      </w:r>
    </w:p>
  </w:footnote>
  <w:footnote w:id="13">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чешкия </w:t>
      </w:r>
      <w:r>
        <w:rPr>
          <w:i/>
        </w:rPr>
        <w:t>Senát</w:t>
      </w:r>
      <w:r>
        <w:t xml:space="preserve">, се отнася едновременно за COM(2016)864, COM(2016)862, COM(2016)863 и COM(2016)861. Едно становище, представено от португалската </w:t>
      </w:r>
      <w:r>
        <w:rPr>
          <w:i/>
        </w:rPr>
        <w:t>Assembleia da República,</w:t>
      </w:r>
      <w:r>
        <w:t xml:space="preserve">, се отнася едновременно за COM(2016)864, COM(2016)863 и COM(2016)861. Едно становище, представено от френския Sénat, се отнася едновременно за COM(2016)863 и COM(2016)861. Едно становище, представено от австрийския </w:t>
      </w:r>
      <w:r>
        <w:rPr>
          <w:i/>
        </w:rPr>
        <w:t xml:space="preserve">Bundesrat, </w:t>
      </w:r>
      <w:r>
        <w:t>, се отнася едновременно за COM(2016)862 и COM(2016)863.</w:t>
      </w:r>
    </w:p>
  </w:footnote>
  <w:footnote w:id="14">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португалската </w:t>
      </w:r>
      <w:r>
        <w:rPr>
          <w:i/>
        </w:rPr>
        <w:t>Assambleia da República,</w:t>
      </w:r>
      <w:r>
        <w:t xml:space="preserve"> се отнася едновременно за COM(2016)824, COM(2016)823, COM(2016)863, COM(2016)822 и COM(2016)820. </w:t>
      </w:r>
    </w:p>
  </w:footnote>
  <w:footnote w:id="15">
    <w:p>
      <w:pPr>
        <w:pStyle w:val="FootnoteText"/>
        <w:ind w:left="284" w:hanging="284"/>
      </w:pPr>
      <w:r>
        <w:rPr>
          <w:rStyle w:val="FootnoteReference"/>
        </w:rPr>
        <w:footnoteRef/>
      </w:r>
      <w:r>
        <w:t xml:space="preserve"> </w:t>
      </w:r>
      <w:r>
        <w:tab/>
        <w:t xml:space="preserve">Две становища — от австрийския </w:t>
      </w:r>
      <w:r>
        <w:rPr>
          <w:i/>
        </w:rPr>
        <w:t>Bundesrat</w:t>
      </w:r>
      <w:r>
        <w:t xml:space="preserve"> и португалската </w:t>
      </w:r>
      <w:r>
        <w:rPr>
          <w:i/>
        </w:rPr>
        <w:t>Assambleia da República</w:t>
      </w:r>
      <w:r>
        <w:t xml:space="preserve"> — се отнасят едновременно за COM(2016)765 и COM(2016)761. Едно становище, представено от чешкия </w:t>
      </w:r>
      <w:r>
        <w:rPr>
          <w:i/>
        </w:rPr>
        <w:t>Senát,</w:t>
      </w:r>
      <w:r>
        <w:t xml:space="preserve">, се отнася едновременно за COM(2017)277, COM(2016)765 и COM(2016)761. </w:t>
      </w:r>
    </w:p>
  </w:footnote>
  <w:footnote w:id="16">
    <w:p>
      <w:pPr>
        <w:pStyle w:val="FootnoteText"/>
        <w:ind w:left="284" w:hanging="284"/>
      </w:pPr>
      <w:r>
        <w:rPr>
          <w:rStyle w:val="FootnoteReference"/>
        </w:rPr>
        <w:footnoteRef/>
      </w:r>
      <w:r>
        <w:t xml:space="preserve"> </w:t>
      </w:r>
      <w:r>
        <w:tab/>
        <w:t xml:space="preserve">Едно от становищата във връзка с този документ на Комисията, представено от чешкия </w:t>
      </w:r>
      <w:r>
        <w:rPr>
          <w:i/>
        </w:rPr>
        <w:t>Senát,</w:t>
      </w:r>
      <w:r>
        <w:t xml:space="preserve">, се отнася едновременно за COM(2016)759 и COM(2016)767. Едно становище, представено от чешката </w:t>
      </w:r>
      <w:r>
        <w:rPr>
          <w:i/>
        </w:rPr>
        <w:t>Poslanecká sněmovna</w:t>
      </w:r>
      <w:r>
        <w:t xml:space="preserve">, се отнася едновременно за COM(2016)759, COM(2016)767, COM(2016)761 и COM(2016)860. Едно становище, представено от полския </w:t>
      </w:r>
      <w:r>
        <w:rPr>
          <w:i/>
        </w:rPr>
        <w:t xml:space="preserve">Sejm, </w:t>
      </w:r>
      <w:r>
        <w:t xml:space="preserve">се отнася едновременно за COM(2016)759 и COM(2016)860. Едно становище, представено от испанските </w:t>
      </w:r>
      <w:r>
        <w:rPr>
          <w:i/>
        </w:rPr>
        <w:t>Cortes Generales</w:t>
      </w:r>
      <w:r>
        <w:t xml:space="preserve">, се отнася едновременно за COM(2016)759 и COM(2016)862. </w:t>
      </w:r>
    </w:p>
  </w:footnote>
  <w:footnote w:id="17">
    <w:p>
      <w:pPr>
        <w:pStyle w:val="FootnoteText"/>
        <w:ind w:left="284" w:hanging="284"/>
      </w:pPr>
      <w:r>
        <w:rPr>
          <w:rStyle w:val="FootnoteReference"/>
        </w:rPr>
        <w:footnoteRef/>
      </w:r>
      <w:r>
        <w:t xml:space="preserve"> </w:t>
      </w:r>
      <w:r>
        <w:tab/>
        <w:t xml:space="preserve">Две становища — от унгарския </w:t>
      </w:r>
      <w:r>
        <w:rPr>
          <w:i/>
        </w:rPr>
        <w:t>Országgyűlés</w:t>
      </w:r>
      <w:r>
        <w:t xml:space="preserve"> и от португалската </w:t>
      </w:r>
      <w:r>
        <w:rPr>
          <w:i/>
        </w:rPr>
        <w:t>Assambleia da República</w:t>
      </w:r>
      <w:r>
        <w:t xml:space="preserve"> — се отнасят едновременно за COM(2017)277 и COM(2017)278. Едно становище, представено от френския </w:t>
      </w:r>
      <w:r>
        <w:rPr>
          <w:i/>
        </w:rPr>
        <w:t>Sénat</w:t>
      </w:r>
      <w:r>
        <w:t xml:space="preserve">, се отнася едновременно за COM(2017)277, COM(2017)278 и COM(2017)281. Едно становище, представено от чешкия </w:t>
      </w:r>
      <w:r>
        <w:rPr>
          <w:i/>
        </w:rPr>
        <w:t>Senát,</w:t>
      </w:r>
      <w:r>
        <w:t>, се отнася едновременно за COM(2017)282, COM(2017)277, COM(2017)278 и COM(2017)281.</w:t>
      </w:r>
    </w:p>
  </w:footnote>
  <w:footnote w:id="18">
    <w:p>
      <w:pPr>
        <w:pStyle w:val="FootnoteText"/>
        <w:tabs>
          <w:tab w:val="left" w:pos="284"/>
        </w:tabs>
        <w:ind w:left="284" w:hanging="284"/>
      </w:pPr>
      <w:r>
        <w:rPr>
          <w:rStyle w:val="FootnoteReference"/>
        </w:rPr>
        <w:footnoteRef/>
      </w:r>
      <w:r>
        <w:t xml:space="preserve"> </w:t>
      </w:r>
      <w:r>
        <w:tab/>
        <w:t>В това число становища и мотивирани становища, получени от националните парламенти.</w:t>
      </w:r>
    </w:p>
  </w:footnote>
  <w:footnote w:id="19">
    <w:p>
      <w:pPr>
        <w:pStyle w:val="FootnoteText"/>
        <w:ind w:left="284" w:hanging="284"/>
      </w:pPr>
      <w:r>
        <w:rPr>
          <w:rStyle w:val="FootnoteReference"/>
        </w:rPr>
        <w:footnoteRef/>
      </w:r>
      <w:r>
        <w:t xml:space="preserve"> </w:t>
      </w:r>
      <w:r>
        <w:tab/>
        <w:t>ЕСВД не е служба на Комисията, а независим орган.</w:t>
      </w:r>
    </w:p>
  </w:footnote>
  <w:footnote w:id="20">
    <w:p>
      <w:pPr>
        <w:pStyle w:val="FootnoteText"/>
        <w:ind w:left="284" w:hanging="284"/>
      </w:pPr>
      <w:r>
        <w:rPr>
          <w:rStyle w:val="FootnoteReference"/>
        </w:rPr>
        <w:footnoteRef/>
      </w:r>
      <w:r>
        <w:t xml:space="preserve"> </w:t>
      </w:r>
      <w:r>
        <w:tab/>
        <w:t>Работната група по член 50 не е служба на Комисията, а независим орган.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5E7F0DA0-DFA2-4978-8505-34B65446ED5B"/>
    <w:docVar w:name="LW_COVERPAGE_TYPE" w:val="1"/>
    <w:docVar w:name="LW_CROSSREFERENCE" w:val="&lt;UNUSED&gt;"/>
    <w:docVar w:name="LW_DocType" w:val="REP"/>
    <w:docVar w:name="LW_EMISSION" w:val="23.10.2018"/>
    <w:docVar w:name="LW_EMISSION_ISODATE" w:val="2018-10-23"/>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4?\u1058?\u1053?\u1054?\u1057?\u1053?\u1054? \u1054?\u1058?\u1053?\u1054?\u1064?\u1045?\u1053?\u1048?\u1071?\u1058?\u1040? \u1052?\u1045?\u1046?\u1044?\u1059? \u1045?\u1042?\u1056?\u1054?\u1055?\u1045?\u1049?\u1057?\u1050?\u1040?\u1058?\u1040? \u1050?\u1054?\u1052?\u1048?\u1057?\u1048?\u1071? \u1048? \u1053?\u1040?\u1062?\u1048?\u1054?\u1053?\u1040?\u1051?\u1053?\u1048?\u1058?\u1045? \u1055?\u1040?\u1056?\u1051?\u1040?\u1052?\u1045?\u1053?\u1058?\u1048?"/>
    <w:docVar w:name="LW_PART_NBR" w:val="&lt;UNUSED&gt;"/>
    <w:docVar w:name="LW_PART_NBR_TOTAL" w:val="&lt;UNUSED&gt;"/>
    <w:docVar w:name="LW_REF.INST.NEW" w:val="COM"/>
    <w:docVar w:name="LW_REF.INST.NEW_ADOPTED" w:val="final"/>
    <w:docVar w:name="LW_REF.INST.NEW_TEXT" w:val="(2018)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44?\u1054?\u1050?\u1051?\u1040?\u1044?\u1040?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noteTextChar">
    <w:name w:val="Footnote Text Char"/>
    <w:basedOn w:val="DefaultParagraphFont"/>
    <w:link w:val="FootnoteText"/>
    <w:uiPriority w:val="99"/>
    <w:semiHidden/>
    <w:rPr>
      <w:lang w:eastAsia="bg-BG"/>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noteTextChar">
    <w:name w:val="Footnote Text Char"/>
    <w:basedOn w:val="DefaultParagraphFont"/>
    <w:link w:val="FootnoteText"/>
    <w:uiPriority w:val="99"/>
    <w:semiHidden/>
    <w:rPr>
      <w:lang w:eastAsia="bg-BG"/>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3.xml><?xml version="1.0" encoding="utf-8"?>
<EurolookProperties>
  <Created>
    <Version>4.6</Version>
    <Date>2018-08-29T12:28:07</Date>
    <Language>EN</Language>
  </Created>
  <Edited>
    <Version>10.0.37441.0</Version>
    <Date>2018-08-29T12:31:20</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D78C-AD8C-44D8-9F36-C303026A0844}">
  <ds:schemaRefs/>
</ds:datastoreItem>
</file>

<file path=customXml/itemProps2.xml><?xml version="1.0" encoding="utf-8"?>
<ds:datastoreItem xmlns:ds="http://schemas.openxmlformats.org/officeDocument/2006/customXml" ds:itemID="{749A81CD-47B2-43EE-A84B-07911B2F577B}">
  <ds:schemaRefs/>
</ds:datastoreItem>
</file>

<file path=customXml/itemProps3.xml><?xml version="1.0" encoding="utf-8"?>
<ds:datastoreItem xmlns:ds="http://schemas.openxmlformats.org/officeDocument/2006/customXml" ds:itemID="{E0D61C8E-61D8-48E1-A8A1-D7C9F052D3FF}">
  <ds:schemaRefs/>
</ds:datastoreItem>
</file>

<file path=customXml/itemProps4.xml><?xml version="1.0" encoding="utf-8"?>
<ds:datastoreItem xmlns:ds="http://schemas.openxmlformats.org/officeDocument/2006/customXml" ds:itemID="{31A2E6FD-969E-45A7-B12A-5D8612A5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1031</Words>
  <Characters>5798</Characters>
  <Application>Microsoft Office Word</Application>
  <DocSecurity>0</DocSecurity>
  <PresentationFormat>Microsoft Word 14.0</PresentationFormat>
  <Lines>446</Lines>
  <Paragraphs>359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Therace</dc:creator>
  <cp:keywords>EL4</cp:keywords>
  <cp:lastModifiedBy>DIGIT/C6</cp:lastModifiedBy>
  <cp:revision>14</cp:revision>
  <dcterms:created xsi:type="dcterms:W3CDTF">2018-08-29T10:28:00Z</dcterms:created>
  <dcterms:modified xsi:type="dcterms:W3CDTF">2018-10-18T07:30:00Z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3</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