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4500D39-FADB-4E21-9951-2BCF2F98E391" style="width:450.7pt;height:392.7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spacing w:after="240"/>
        <w:jc w:val="center"/>
        <w:rPr>
          <w:b/>
          <w:noProof/>
          <w:u w:val="single"/>
        </w:rPr>
      </w:pPr>
      <w:bookmarkStart w:id="1" w:name="_GoBack"/>
      <w:bookmarkEnd w:id="1"/>
      <w:r>
        <w:rPr>
          <w:b/>
          <w:noProof/>
          <w:u w:val="single"/>
        </w:rPr>
        <w:lastRenderedPageBreak/>
        <w:t>ANNEXE 1</w:t>
      </w:r>
    </w:p>
    <w:p>
      <w:pPr>
        <w:spacing w:after="240"/>
        <w:jc w:val="center"/>
        <w:rPr>
          <w:b/>
          <w:noProof/>
        </w:rPr>
      </w:pPr>
      <w:r>
        <w:rPr>
          <w:b/>
          <w:noProof/>
        </w:rPr>
        <w:t>Nombre d’avis reçus par la Commission en 2017 par parlement national/chambre nationale (dialogue politique et mécanisme de contrôle de la subsidiarité)</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9"/>
        <w:gridCol w:w="3609"/>
        <w:gridCol w:w="1660"/>
        <w:gridCol w:w="2364"/>
      </w:tblGrid>
      <w:tr>
        <w:trPr>
          <w:cantSplit/>
          <w:tblHeader/>
        </w:trPr>
        <w:tc>
          <w:tcPr>
            <w:tcW w:w="1909" w:type="dxa"/>
            <w:shd w:val="clear" w:color="auto" w:fill="auto"/>
            <w:vAlign w:val="center"/>
          </w:tcPr>
          <w:p>
            <w:pPr>
              <w:spacing w:before="60" w:after="60"/>
              <w:jc w:val="center"/>
              <w:rPr>
                <w:b/>
                <w:bCs/>
                <w:noProof/>
                <w:color w:val="000000"/>
                <w:sz w:val="22"/>
                <w:szCs w:val="22"/>
              </w:rPr>
            </w:pPr>
            <w:r>
              <w:rPr>
                <w:b/>
                <w:noProof/>
                <w:color w:val="000000"/>
                <w:sz w:val="22"/>
              </w:rPr>
              <w:t>État membre</w:t>
            </w:r>
          </w:p>
        </w:tc>
        <w:tc>
          <w:tcPr>
            <w:tcW w:w="3609" w:type="dxa"/>
            <w:shd w:val="clear" w:color="auto" w:fill="auto"/>
            <w:vAlign w:val="center"/>
          </w:tcPr>
          <w:p>
            <w:pPr>
              <w:spacing w:before="60" w:after="60"/>
              <w:jc w:val="center"/>
              <w:rPr>
                <w:b/>
                <w:bCs/>
                <w:noProof/>
                <w:color w:val="000000"/>
                <w:sz w:val="22"/>
                <w:szCs w:val="22"/>
              </w:rPr>
            </w:pPr>
            <w:r>
              <w:rPr>
                <w:b/>
                <w:noProof/>
                <w:color w:val="000000"/>
                <w:sz w:val="22"/>
              </w:rPr>
              <w:t>Chambre</w:t>
            </w:r>
          </w:p>
        </w:tc>
        <w:tc>
          <w:tcPr>
            <w:tcW w:w="1660" w:type="dxa"/>
            <w:shd w:val="clear" w:color="auto" w:fill="auto"/>
            <w:vAlign w:val="center"/>
          </w:tcPr>
          <w:p>
            <w:pPr>
              <w:spacing w:before="60" w:after="60"/>
              <w:jc w:val="center"/>
              <w:rPr>
                <w:b/>
                <w:bCs/>
                <w:noProof/>
                <w:color w:val="000000"/>
                <w:sz w:val="22"/>
                <w:szCs w:val="22"/>
              </w:rPr>
            </w:pPr>
            <w:r>
              <w:rPr>
                <w:b/>
                <w:noProof/>
                <w:color w:val="000000"/>
                <w:sz w:val="22"/>
              </w:rPr>
              <w:t>Nombre</w:t>
            </w:r>
            <w:r>
              <w:rPr>
                <w:b/>
                <w:bCs/>
                <w:noProof/>
                <w:color w:val="000000"/>
                <w:sz w:val="22"/>
                <w:szCs w:val="22"/>
              </w:rPr>
              <w:br/>
            </w:r>
            <w:r>
              <w:rPr>
                <w:b/>
                <w:noProof/>
                <w:color w:val="000000"/>
                <w:sz w:val="22"/>
              </w:rPr>
              <w:t>total</w:t>
            </w:r>
            <w:r>
              <w:rPr>
                <w:b/>
                <w:bCs/>
                <w:noProof/>
                <w:color w:val="000000"/>
                <w:sz w:val="22"/>
                <w:szCs w:val="22"/>
              </w:rPr>
              <w:br/>
            </w:r>
            <w:r>
              <w:rPr>
                <w:b/>
                <w:noProof/>
                <w:color w:val="000000"/>
                <w:sz w:val="22"/>
              </w:rPr>
              <w:t>d’avis</w:t>
            </w:r>
            <w:r>
              <w:rPr>
                <w:rStyle w:val="FootnoteReference"/>
                <w:noProof/>
                <w:sz w:val="22"/>
              </w:rPr>
              <w:footnoteReference w:id="1"/>
            </w:r>
          </w:p>
        </w:tc>
        <w:tc>
          <w:tcPr>
            <w:tcW w:w="2364" w:type="dxa"/>
            <w:shd w:val="clear" w:color="auto" w:fill="auto"/>
            <w:vAlign w:val="center"/>
          </w:tcPr>
          <w:p>
            <w:pPr>
              <w:spacing w:before="60" w:after="60"/>
              <w:jc w:val="center"/>
              <w:rPr>
                <w:b/>
                <w:bCs/>
                <w:noProof/>
                <w:color w:val="000000"/>
                <w:sz w:val="22"/>
                <w:szCs w:val="22"/>
              </w:rPr>
            </w:pPr>
            <w:r>
              <w:rPr>
                <w:b/>
                <w:noProof/>
                <w:color w:val="000000"/>
                <w:sz w:val="22"/>
              </w:rPr>
              <w:t>Dont</w:t>
            </w:r>
            <w:r>
              <w:rPr>
                <w:b/>
                <w:bCs/>
                <w:noProof/>
                <w:color w:val="000000"/>
                <w:sz w:val="22"/>
                <w:szCs w:val="22"/>
              </w:rPr>
              <w:br/>
            </w:r>
            <w:r>
              <w:rPr>
                <w:b/>
                <w:noProof/>
                <w:color w:val="000000"/>
                <w:sz w:val="22"/>
              </w:rPr>
              <w:t>avis</w:t>
            </w:r>
            <w:r>
              <w:rPr>
                <w:b/>
                <w:bCs/>
                <w:noProof/>
                <w:color w:val="000000"/>
                <w:sz w:val="22"/>
                <w:szCs w:val="22"/>
              </w:rPr>
              <w:br/>
            </w:r>
            <w:r>
              <w:rPr>
                <w:b/>
                <w:noProof/>
                <w:color w:val="000000"/>
                <w:sz w:val="22"/>
              </w:rPr>
              <w:t>motivés</w:t>
            </w:r>
            <w:r>
              <w:rPr>
                <w:b/>
                <w:bCs/>
                <w:noProof/>
                <w:color w:val="000000"/>
                <w:sz w:val="22"/>
                <w:szCs w:val="22"/>
              </w:rPr>
              <w:br/>
            </w:r>
            <w:r>
              <w:rPr>
                <w:b/>
                <w:noProof/>
                <w:sz w:val="22"/>
              </w:rPr>
              <w:t>(protocole nº 2)</w:t>
            </w:r>
            <w:r>
              <w:rPr>
                <w:rStyle w:val="FootnoteReference"/>
                <w:noProof/>
                <w:sz w:val="22"/>
              </w:rPr>
              <w:footnoteReference w:id="2"/>
            </w:r>
          </w:p>
        </w:tc>
      </w:tr>
      <w:tr>
        <w:trPr>
          <w:cantSplit/>
        </w:trPr>
        <w:tc>
          <w:tcPr>
            <w:tcW w:w="1909" w:type="dxa"/>
            <w:shd w:val="clear" w:color="auto" w:fill="auto"/>
            <w:vAlign w:val="center"/>
          </w:tcPr>
          <w:p>
            <w:pPr>
              <w:jc w:val="center"/>
              <w:rPr>
                <w:noProof/>
                <w:color w:val="000000"/>
                <w:sz w:val="22"/>
                <w:szCs w:val="22"/>
              </w:rPr>
            </w:pPr>
            <w:r>
              <w:rPr>
                <w:noProof/>
                <w:color w:val="000000"/>
                <w:sz w:val="22"/>
              </w:rPr>
              <w:t>Portugal</w:t>
            </w:r>
          </w:p>
        </w:tc>
        <w:tc>
          <w:tcPr>
            <w:tcW w:w="3609" w:type="dxa"/>
            <w:shd w:val="clear" w:color="auto" w:fill="auto"/>
            <w:vAlign w:val="center"/>
          </w:tcPr>
          <w:p>
            <w:pPr>
              <w:jc w:val="center"/>
              <w:rPr>
                <w:i/>
                <w:iCs/>
                <w:noProof/>
                <w:color w:val="000000"/>
                <w:sz w:val="22"/>
                <w:szCs w:val="22"/>
              </w:rPr>
            </w:pPr>
            <w:r>
              <w:rPr>
                <w:i/>
                <w:noProof/>
                <w:color w:val="000000"/>
                <w:sz w:val="22"/>
              </w:rPr>
              <w:t>Assembleia da Republica</w:t>
            </w:r>
          </w:p>
        </w:tc>
        <w:tc>
          <w:tcPr>
            <w:tcW w:w="1660" w:type="dxa"/>
            <w:shd w:val="clear" w:color="auto" w:fill="auto"/>
            <w:vAlign w:val="center"/>
          </w:tcPr>
          <w:p>
            <w:pPr>
              <w:jc w:val="center"/>
              <w:rPr>
                <w:noProof/>
                <w:color w:val="000000"/>
                <w:sz w:val="22"/>
                <w:szCs w:val="22"/>
              </w:rPr>
            </w:pPr>
            <w:r>
              <w:rPr>
                <w:noProof/>
                <w:color w:val="000000"/>
                <w:sz w:val="22"/>
              </w:rPr>
              <w:t>64</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 xml:space="preserve">Italie </w:t>
            </w:r>
          </w:p>
        </w:tc>
        <w:tc>
          <w:tcPr>
            <w:tcW w:w="3609" w:type="dxa"/>
            <w:shd w:val="clear" w:color="auto" w:fill="auto"/>
            <w:vAlign w:val="center"/>
          </w:tcPr>
          <w:p>
            <w:pPr>
              <w:jc w:val="center"/>
              <w:rPr>
                <w:i/>
                <w:iCs/>
                <w:noProof/>
                <w:color w:val="000000"/>
                <w:sz w:val="22"/>
                <w:szCs w:val="22"/>
              </w:rPr>
            </w:pPr>
            <w:r>
              <w:rPr>
                <w:i/>
                <w:noProof/>
                <w:color w:val="000000"/>
                <w:sz w:val="22"/>
              </w:rPr>
              <w:t>Senato della Repubblica</w:t>
            </w:r>
          </w:p>
        </w:tc>
        <w:tc>
          <w:tcPr>
            <w:tcW w:w="1660" w:type="dxa"/>
            <w:shd w:val="clear" w:color="auto" w:fill="auto"/>
            <w:vAlign w:val="center"/>
          </w:tcPr>
          <w:p>
            <w:pPr>
              <w:jc w:val="center"/>
              <w:rPr>
                <w:noProof/>
                <w:color w:val="000000"/>
                <w:sz w:val="22"/>
                <w:szCs w:val="22"/>
              </w:rPr>
            </w:pPr>
            <w:r>
              <w:rPr>
                <w:noProof/>
                <w:color w:val="000000"/>
                <w:sz w:val="22"/>
              </w:rPr>
              <w:t>56</w:t>
            </w:r>
          </w:p>
        </w:tc>
        <w:tc>
          <w:tcPr>
            <w:tcW w:w="2364" w:type="dxa"/>
            <w:shd w:val="clear" w:color="auto" w:fill="auto"/>
            <w:vAlign w:val="center"/>
          </w:tcPr>
          <w:p>
            <w:pPr>
              <w:jc w:val="center"/>
              <w:rPr>
                <w:noProof/>
                <w:color w:val="000000"/>
                <w:sz w:val="22"/>
                <w:szCs w:val="22"/>
              </w:rPr>
            </w:pPr>
            <w:r>
              <w:rPr>
                <w:noProof/>
                <w:color w:val="000000"/>
                <w:sz w:val="22"/>
              </w:rPr>
              <w:t>1</w:t>
            </w:r>
          </w:p>
        </w:tc>
      </w:tr>
      <w:tr>
        <w:trPr>
          <w:cantSplit/>
        </w:trPr>
        <w:tc>
          <w:tcPr>
            <w:tcW w:w="1909" w:type="dxa"/>
            <w:shd w:val="clear" w:color="auto" w:fill="auto"/>
            <w:vAlign w:val="center"/>
          </w:tcPr>
          <w:p>
            <w:pPr>
              <w:jc w:val="center"/>
              <w:rPr>
                <w:noProof/>
                <w:color w:val="000000"/>
                <w:sz w:val="22"/>
                <w:szCs w:val="22"/>
              </w:rPr>
            </w:pPr>
            <w:r>
              <w:rPr>
                <w:noProof/>
                <w:color w:val="000000"/>
                <w:sz w:val="22"/>
              </w:rPr>
              <w:t>République tchèque</w:t>
            </w:r>
          </w:p>
        </w:tc>
        <w:tc>
          <w:tcPr>
            <w:tcW w:w="3609" w:type="dxa"/>
            <w:shd w:val="clear" w:color="auto" w:fill="auto"/>
            <w:vAlign w:val="center"/>
          </w:tcPr>
          <w:p>
            <w:pPr>
              <w:jc w:val="center"/>
              <w:rPr>
                <w:i/>
                <w:iCs/>
                <w:noProof/>
                <w:color w:val="000000"/>
                <w:sz w:val="22"/>
                <w:szCs w:val="22"/>
              </w:rPr>
            </w:pPr>
            <w:r>
              <w:rPr>
                <w:i/>
                <w:noProof/>
                <w:color w:val="000000"/>
                <w:sz w:val="22"/>
              </w:rPr>
              <w:t>Senát</w:t>
            </w:r>
          </w:p>
        </w:tc>
        <w:tc>
          <w:tcPr>
            <w:tcW w:w="1660" w:type="dxa"/>
            <w:shd w:val="clear" w:color="auto" w:fill="auto"/>
            <w:vAlign w:val="center"/>
          </w:tcPr>
          <w:p>
            <w:pPr>
              <w:jc w:val="center"/>
              <w:rPr>
                <w:noProof/>
                <w:color w:val="000000"/>
                <w:sz w:val="22"/>
                <w:szCs w:val="22"/>
              </w:rPr>
            </w:pPr>
            <w:r>
              <w:rPr>
                <w:noProof/>
                <w:color w:val="000000"/>
                <w:sz w:val="22"/>
              </w:rPr>
              <w:t>53</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Italie</w:t>
            </w:r>
          </w:p>
        </w:tc>
        <w:tc>
          <w:tcPr>
            <w:tcW w:w="3609" w:type="dxa"/>
            <w:shd w:val="clear" w:color="auto" w:fill="auto"/>
            <w:vAlign w:val="center"/>
          </w:tcPr>
          <w:p>
            <w:pPr>
              <w:jc w:val="center"/>
              <w:rPr>
                <w:i/>
                <w:iCs/>
                <w:noProof/>
                <w:color w:val="000000"/>
                <w:sz w:val="22"/>
                <w:szCs w:val="22"/>
              </w:rPr>
            </w:pPr>
            <w:r>
              <w:rPr>
                <w:i/>
                <w:noProof/>
                <w:color w:val="000000"/>
                <w:sz w:val="22"/>
              </w:rPr>
              <w:t>Camera dei Deputati</w:t>
            </w:r>
          </w:p>
        </w:tc>
        <w:tc>
          <w:tcPr>
            <w:tcW w:w="1660" w:type="dxa"/>
            <w:shd w:val="clear" w:color="auto" w:fill="auto"/>
            <w:vAlign w:val="center"/>
          </w:tcPr>
          <w:p>
            <w:pPr>
              <w:jc w:val="center"/>
              <w:rPr>
                <w:noProof/>
                <w:color w:val="000000"/>
                <w:sz w:val="22"/>
                <w:szCs w:val="22"/>
              </w:rPr>
            </w:pPr>
            <w:r>
              <w:rPr>
                <w:noProof/>
                <w:color w:val="000000"/>
                <w:sz w:val="22"/>
              </w:rPr>
              <w:t>45</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Allemagne</w:t>
            </w:r>
          </w:p>
        </w:tc>
        <w:tc>
          <w:tcPr>
            <w:tcW w:w="3609" w:type="dxa"/>
            <w:shd w:val="clear" w:color="auto" w:fill="auto"/>
            <w:vAlign w:val="center"/>
          </w:tcPr>
          <w:p>
            <w:pPr>
              <w:jc w:val="center"/>
              <w:rPr>
                <w:i/>
                <w:iCs/>
                <w:noProof/>
                <w:color w:val="000000"/>
                <w:sz w:val="22"/>
                <w:szCs w:val="22"/>
              </w:rPr>
            </w:pPr>
            <w:r>
              <w:rPr>
                <w:i/>
                <w:noProof/>
                <w:color w:val="000000"/>
                <w:sz w:val="22"/>
              </w:rPr>
              <w:t>Bundesrat</w:t>
            </w:r>
          </w:p>
        </w:tc>
        <w:tc>
          <w:tcPr>
            <w:tcW w:w="1660" w:type="dxa"/>
            <w:shd w:val="clear" w:color="auto" w:fill="auto"/>
            <w:vAlign w:val="center"/>
          </w:tcPr>
          <w:p>
            <w:pPr>
              <w:jc w:val="center"/>
              <w:rPr>
                <w:noProof/>
                <w:color w:val="000000"/>
                <w:sz w:val="22"/>
                <w:szCs w:val="22"/>
              </w:rPr>
            </w:pPr>
            <w:r>
              <w:rPr>
                <w:noProof/>
                <w:color w:val="000000"/>
                <w:sz w:val="22"/>
              </w:rPr>
              <w:t>43</w:t>
            </w:r>
          </w:p>
        </w:tc>
        <w:tc>
          <w:tcPr>
            <w:tcW w:w="2364" w:type="dxa"/>
            <w:shd w:val="clear" w:color="auto" w:fill="auto"/>
            <w:vAlign w:val="center"/>
          </w:tcPr>
          <w:p>
            <w:pPr>
              <w:jc w:val="center"/>
              <w:rPr>
                <w:noProof/>
                <w:color w:val="000000"/>
                <w:sz w:val="22"/>
                <w:szCs w:val="22"/>
              </w:rPr>
            </w:pPr>
            <w:r>
              <w:rPr>
                <w:noProof/>
                <w:color w:val="000000"/>
                <w:sz w:val="22"/>
              </w:rPr>
              <w:t>3</w:t>
            </w:r>
          </w:p>
        </w:tc>
      </w:tr>
      <w:tr>
        <w:trPr>
          <w:cantSplit/>
        </w:trPr>
        <w:tc>
          <w:tcPr>
            <w:tcW w:w="1909" w:type="dxa"/>
            <w:shd w:val="clear" w:color="auto" w:fill="auto"/>
            <w:vAlign w:val="center"/>
          </w:tcPr>
          <w:p>
            <w:pPr>
              <w:jc w:val="center"/>
              <w:rPr>
                <w:noProof/>
                <w:color w:val="000000"/>
                <w:sz w:val="22"/>
                <w:szCs w:val="22"/>
              </w:rPr>
            </w:pPr>
            <w:r>
              <w:rPr>
                <w:noProof/>
                <w:color w:val="000000"/>
                <w:sz w:val="22"/>
              </w:rPr>
              <w:t>Roumanie</w:t>
            </w:r>
          </w:p>
        </w:tc>
        <w:tc>
          <w:tcPr>
            <w:tcW w:w="3609" w:type="dxa"/>
            <w:shd w:val="clear" w:color="auto" w:fill="auto"/>
            <w:vAlign w:val="center"/>
          </w:tcPr>
          <w:p>
            <w:pPr>
              <w:jc w:val="center"/>
              <w:rPr>
                <w:i/>
                <w:iCs/>
                <w:noProof/>
                <w:color w:val="000000"/>
                <w:sz w:val="22"/>
                <w:szCs w:val="22"/>
              </w:rPr>
            </w:pPr>
            <w:r>
              <w:rPr>
                <w:i/>
                <w:noProof/>
                <w:color w:val="000000"/>
                <w:sz w:val="22"/>
              </w:rPr>
              <w:t>Camera Deputaților</w:t>
            </w:r>
          </w:p>
        </w:tc>
        <w:tc>
          <w:tcPr>
            <w:tcW w:w="1660" w:type="dxa"/>
            <w:shd w:val="clear" w:color="auto" w:fill="auto"/>
            <w:vAlign w:val="center"/>
          </w:tcPr>
          <w:p>
            <w:pPr>
              <w:jc w:val="center"/>
              <w:rPr>
                <w:noProof/>
                <w:color w:val="000000"/>
                <w:sz w:val="22"/>
                <w:szCs w:val="22"/>
              </w:rPr>
            </w:pPr>
            <w:r>
              <w:rPr>
                <w:noProof/>
                <w:color w:val="000000"/>
                <w:sz w:val="22"/>
              </w:rPr>
              <w:t>41</w:t>
            </w:r>
          </w:p>
        </w:tc>
        <w:tc>
          <w:tcPr>
            <w:tcW w:w="2364" w:type="dxa"/>
            <w:shd w:val="clear" w:color="auto" w:fill="auto"/>
            <w:vAlign w:val="center"/>
          </w:tcPr>
          <w:p>
            <w:pPr>
              <w:jc w:val="center"/>
              <w:rPr>
                <w:noProof/>
                <w:color w:val="000000"/>
                <w:sz w:val="22"/>
                <w:szCs w:val="22"/>
              </w:rPr>
            </w:pPr>
            <w:r>
              <w:rPr>
                <w:noProof/>
                <w:color w:val="000000"/>
                <w:sz w:val="22"/>
              </w:rPr>
              <w:t>1</w:t>
            </w:r>
          </w:p>
        </w:tc>
      </w:tr>
      <w:tr>
        <w:trPr>
          <w:cantSplit/>
        </w:trPr>
        <w:tc>
          <w:tcPr>
            <w:tcW w:w="1909" w:type="dxa"/>
            <w:shd w:val="clear" w:color="auto" w:fill="auto"/>
            <w:vAlign w:val="center"/>
          </w:tcPr>
          <w:p>
            <w:pPr>
              <w:jc w:val="center"/>
              <w:rPr>
                <w:noProof/>
                <w:color w:val="000000"/>
                <w:sz w:val="22"/>
                <w:szCs w:val="22"/>
              </w:rPr>
            </w:pPr>
            <w:r>
              <w:rPr>
                <w:noProof/>
                <w:color w:val="000000"/>
                <w:sz w:val="22"/>
              </w:rPr>
              <w:t>Espagne</w:t>
            </w:r>
          </w:p>
        </w:tc>
        <w:tc>
          <w:tcPr>
            <w:tcW w:w="3609" w:type="dxa"/>
            <w:shd w:val="clear" w:color="auto" w:fill="auto"/>
            <w:vAlign w:val="center"/>
          </w:tcPr>
          <w:p>
            <w:pPr>
              <w:jc w:val="center"/>
              <w:rPr>
                <w:noProof/>
                <w:color w:val="000000"/>
                <w:sz w:val="22"/>
                <w:szCs w:val="22"/>
                <w:lang w:val="es-ES"/>
              </w:rPr>
            </w:pPr>
            <w:r>
              <w:rPr>
                <w:i/>
                <w:noProof/>
                <w:color w:val="000000"/>
                <w:sz w:val="22"/>
                <w:lang w:val="es-ES"/>
              </w:rPr>
              <w:t>Las Cortes Generales:</w:t>
            </w:r>
            <w:r>
              <w:rPr>
                <w:noProof/>
                <w:color w:val="000000"/>
                <w:sz w:val="22"/>
                <w:szCs w:val="22"/>
                <w:lang w:val="es-ES"/>
              </w:rPr>
              <w:br/>
            </w:r>
            <w:r>
              <w:rPr>
                <w:i/>
                <w:noProof/>
                <w:color w:val="000000"/>
                <w:sz w:val="22"/>
                <w:lang w:val="es-ES"/>
              </w:rPr>
              <w:t>Senado de España</w:t>
            </w:r>
            <w:r>
              <w:rPr>
                <w:noProof/>
                <w:color w:val="000000"/>
                <w:sz w:val="22"/>
                <w:lang w:val="es-ES"/>
              </w:rPr>
              <w:t xml:space="preserve"> et</w:t>
            </w:r>
            <w:r>
              <w:rPr>
                <w:noProof/>
                <w:color w:val="000000"/>
                <w:sz w:val="22"/>
                <w:szCs w:val="22"/>
                <w:lang w:val="es-ES"/>
              </w:rPr>
              <w:br/>
            </w:r>
            <w:r>
              <w:rPr>
                <w:i/>
                <w:noProof/>
                <w:color w:val="000000"/>
                <w:sz w:val="22"/>
                <w:lang w:val="es-ES"/>
              </w:rPr>
              <w:t>Congreso de los Diputados</w:t>
            </w:r>
          </w:p>
        </w:tc>
        <w:tc>
          <w:tcPr>
            <w:tcW w:w="1660" w:type="dxa"/>
            <w:shd w:val="clear" w:color="auto" w:fill="auto"/>
            <w:vAlign w:val="center"/>
          </w:tcPr>
          <w:p>
            <w:pPr>
              <w:jc w:val="center"/>
              <w:rPr>
                <w:noProof/>
                <w:color w:val="000000"/>
                <w:sz w:val="22"/>
                <w:szCs w:val="22"/>
              </w:rPr>
            </w:pPr>
            <w:r>
              <w:rPr>
                <w:noProof/>
                <w:color w:val="000000"/>
                <w:sz w:val="22"/>
              </w:rPr>
              <w:t>38</w:t>
            </w:r>
            <w:r>
              <w:rPr>
                <w:rStyle w:val="FootnoteReference"/>
                <w:noProof/>
                <w:color w:val="000000"/>
                <w:sz w:val="22"/>
              </w:rPr>
              <w:footnoteReference w:id="3"/>
            </w:r>
          </w:p>
        </w:tc>
        <w:tc>
          <w:tcPr>
            <w:tcW w:w="2364" w:type="dxa"/>
            <w:shd w:val="clear" w:color="auto" w:fill="auto"/>
            <w:vAlign w:val="center"/>
          </w:tcPr>
          <w:p>
            <w:pPr>
              <w:jc w:val="center"/>
              <w:rPr>
                <w:noProof/>
                <w:color w:val="000000"/>
                <w:sz w:val="22"/>
                <w:szCs w:val="22"/>
              </w:rPr>
            </w:pPr>
            <w:r>
              <w:rPr>
                <w:noProof/>
                <w:color w:val="000000"/>
                <w:sz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rPr>
              <w:t>Roumanie</w:t>
            </w:r>
          </w:p>
        </w:tc>
        <w:tc>
          <w:tcPr>
            <w:tcW w:w="3609" w:type="dxa"/>
            <w:shd w:val="clear" w:color="auto" w:fill="auto"/>
            <w:vAlign w:val="center"/>
          </w:tcPr>
          <w:p>
            <w:pPr>
              <w:jc w:val="center"/>
              <w:rPr>
                <w:i/>
                <w:iCs/>
                <w:noProof/>
                <w:color w:val="000000"/>
                <w:sz w:val="22"/>
                <w:szCs w:val="22"/>
              </w:rPr>
            </w:pPr>
            <w:r>
              <w:rPr>
                <w:i/>
                <w:noProof/>
                <w:color w:val="000000"/>
                <w:sz w:val="22"/>
              </w:rPr>
              <w:t>Senatul</w:t>
            </w:r>
          </w:p>
        </w:tc>
        <w:tc>
          <w:tcPr>
            <w:tcW w:w="1660" w:type="dxa"/>
            <w:shd w:val="clear" w:color="auto" w:fill="auto"/>
            <w:vAlign w:val="center"/>
          </w:tcPr>
          <w:p>
            <w:pPr>
              <w:jc w:val="center"/>
              <w:rPr>
                <w:noProof/>
                <w:color w:val="000000"/>
                <w:sz w:val="22"/>
                <w:szCs w:val="22"/>
              </w:rPr>
            </w:pPr>
            <w:r>
              <w:rPr>
                <w:noProof/>
                <w:color w:val="000000"/>
                <w:sz w:val="22"/>
              </w:rPr>
              <w:t>33</w:t>
            </w:r>
          </w:p>
        </w:tc>
        <w:tc>
          <w:tcPr>
            <w:tcW w:w="2364" w:type="dxa"/>
            <w:shd w:val="clear" w:color="auto" w:fill="auto"/>
            <w:vAlign w:val="center"/>
          </w:tcPr>
          <w:p>
            <w:pPr>
              <w:jc w:val="center"/>
              <w:rPr>
                <w:noProof/>
                <w:color w:val="000000"/>
                <w:sz w:val="22"/>
                <w:szCs w:val="22"/>
              </w:rPr>
            </w:pPr>
            <w:r>
              <w:rPr>
                <w:noProof/>
                <w:color w:val="000000"/>
                <w:sz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rPr>
              <w:t>France</w:t>
            </w:r>
          </w:p>
        </w:tc>
        <w:tc>
          <w:tcPr>
            <w:tcW w:w="3609" w:type="dxa"/>
            <w:shd w:val="clear" w:color="auto" w:fill="auto"/>
            <w:vAlign w:val="center"/>
          </w:tcPr>
          <w:p>
            <w:pPr>
              <w:jc w:val="center"/>
              <w:rPr>
                <w:i/>
                <w:iCs/>
                <w:noProof/>
                <w:color w:val="000000"/>
                <w:sz w:val="22"/>
                <w:szCs w:val="22"/>
              </w:rPr>
            </w:pPr>
            <w:r>
              <w:rPr>
                <w:i/>
                <w:noProof/>
                <w:color w:val="000000"/>
                <w:sz w:val="22"/>
              </w:rPr>
              <w:t xml:space="preserve">Sénat  </w:t>
            </w:r>
          </w:p>
        </w:tc>
        <w:tc>
          <w:tcPr>
            <w:tcW w:w="1660" w:type="dxa"/>
            <w:shd w:val="clear" w:color="auto" w:fill="auto"/>
            <w:vAlign w:val="center"/>
          </w:tcPr>
          <w:p>
            <w:pPr>
              <w:jc w:val="center"/>
              <w:rPr>
                <w:noProof/>
                <w:color w:val="000000"/>
                <w:sz w:val="22"/>
                <w:szCs w:val="22"/>
              </w:rPr>
            </w:pPr>
            <w:r>
              <w:rPr>
                <w:noProof/>
                <w:color w:val="000000"/>
                <w:sz w:val="22"/>
              </w:rPr>
              <w:t>29</w:t>
            </w:r>
          </w:p>
        </w:tc>
        <w:tc>
          <w:tcPr>
            <w:tcW w:w="2364" w:type="dxa"/>
            <w:shd w:val="clear" w:color="auto" w:fill="auto"/>
            <w:vAlign w:val="center"/>
          </w:tcPr>
          <w:p>
            <w:pPr>
              <w:jc w:val="center"/>
              <w:rPr>
                <w:noProof/>
                <w:color w:val="000000"/>
                <w:sz w:val="22"/>
                <w:szCs w:val="22"/>
              </w:rPr>
            </w:pPr>
            <w:r>
              <w:rPr>
                <w:noProof/>
                <w:color w:val="000000"/>
                <w:sz w:val="22"/>
              </w:rPr>
              <w:t>7</w:t>
            </w:r>
          </w:p>
        </w:tc>
      </w:tr>
      <w:tr>
        <w:trPr>
          <w:cantSplit/>
        </w:trPr>
        <w:tc>
          <w:tcPr>
            <w:tcW w:w="1909" w:type="dxa"/>
            <w:shd w:val="clear" w:color="auto" w:fill="auto"/>
            <w:vAlign w:val="center"/>
          </w:tcPr>
          <w:p>
            <w:pPr>
              <w:jc w:val="center"/>
              <w:rPr>
                <w:noProof/>
                <w:color w:val="000000"/>
                <w:sz w:val="22"/>
                <w:szCs w:val="22"/>
              </w:rPr>
            </w:pPr>
            <w:r>
              <w:rPr>
                <w:noProof/>
                <w:color w:val="000000"/>
                <w:sz w:val="22"/>
              </w:rPr>
              <w:t>Royaume-Uni</w:t>
            </w:r>
          </w:p>
        </w:tc>
        <w:tc>
          <w:tcPr>
            <w:tcW w:w="3609" w:type="dxa"/>
            <w:shd w:val="clear" w:color="auto" w:fill="auto"/>
            <w:vAlign w:val="center"/>
          </w:tcPr>
          <w:p>
            <w:pPr>
              <w:jc w:val="center"/>
              <w:rPr>
                <w:i/>
                <w:iCs/>
                <w:noProof/>
                <w:color w:val="000000"/>
                <w:sz w:val="22"/>
                <w:szCs w:val="22"/>
              </w:rPr>
            </w:pPr>
            <w:r>
              <w:rPr>
                <w:i/>
                <w:noProof/>
                <w:color w:val="000000"/>
                <w:sz w:val="22"/>
              </w:rPr>
              <w:t>House of Lords</w:t>
            </w:r>
          </w:p>
        </w:tc>
        <w:tc>
          <w:tcPr>
            <w:tcW w:w="1660" w:type="dxa"/>
            <w:shd w:val="clear" w:color="auto" w:fill="auto"/>
            <w:vAlign w:val="center"/>
          </w:tcPr>
          <w:p>
            <w:pPr>
              <w:jc w:val="center"/>
              <w:rPr>
                <w:noProof/>
                <w:color w:val="000000"/>
                <w:sz w:val="22"/>
                <w:szCs w:val="22"/>
              </w:rPr>
            </w:pPr>
            <w:r>
              <w:rPr>
                <w:noProof/>
                <w:color w:val="000000"/>
                <w:sz w:val="22"/>
              </w:rPr>
              <w:t>22</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République tchèque</w:t>
            </w:r>
          </w:p>
        </w:tc>
        <w:tc>
          <w:tcPr>
            <w:tcW w:w="3609" w:type="dxa"/>
            <w:shd w:val="clear" w:color="auto" w:fill="auto"/>
            <w:vAlign w:val="center"/>
          </w:tcPr>
          <w:p>
            <w:pPr>
              <w:jc w:val="center"/>
              <w:rPr>
                <w:i/>
                <w:iCs/>
                <w:noProof/>
                <w:color w:val="000000"/>
                <w:sz w:val="22"/>
                <w:szCs w:val="22"/>
              </w:rPr>
            </w:pPr>
            <w:r>
              <w:rPr>
                <w:i/>
                <w:noProof/>
                <w:color w:val="000000"/>
                <w:sz w:val="22"/>
              </w:rPr>
              <w:t>Poslanecká sněmovna</w:t>
            </w:r>
          </w:p>
        </w:tc>
        <w:tc>
          <w:tcPr>
            <w:tcW w:w="1660" w:type="dxa"/>
            <w:shd w:val="clear" w:color="auto" w:fill="auto"/>
            <w:vAlign w:val="center"/>
          </w:tcPr>
          <w:p>
            <w:pPr>
              <w:jc w:val="center"/>
              <w:rPr>
                <w:noProof/>
                <w:color w:val="000000"/>
                <w:sz w:val="22"/>
                <w:szCs w:val="22"/>
              </w:rPr>
            </w:pPr>
            <w:r>
              <w:rPr>
                <w:noProof/>
                <w:color w:val="000000"/>
                <w:sz w:val="22"/>
              </w:rPr>
              <w:t>17</w:t>
            </w:r>
          </w:p>
        </w:tc>
        <w:tc>
          <w:tcPr>
            <w:tcW w:w="2364" w:type="dxa"/>
            <w:shd w:val="clear" w:color="auto" w:fill="auto"/>
            <w:vAlign w:val="center"/>
          </w:tcPr>
          <w:p>
            <w:pPr>
              <w:jc w:val="center"/>
              <w:rPr>
                <w:noProof/>
                <w:color w:val="000000"/>
                <w:sz w:val="22"/>
                <w:szCs w:val="22"/>
              </w:rPr>
            </w:pPr>
            <w:r>
              <w:rPr>
                <w:noProof/>
                <w:color w:val="000000"/>
                <w:sz w:val="22"/>
              </w:rPr>
              <w:t>1</w:t>
            </w:r>
          </w:p>
        </w:tc>
      </w:tr>
      <w:tr>
        <w:trPr>
          <w:cantSplit/>
        </w:trPr>
        <w:tc>
          <w:tcPr>
            <w:tcW w:w="1909" w:type="dxa"/>
            <w:shd w:val="clear" w:color="auto" w:fill="auto"/>
            <w:vAlign w:val="center"/>
          </w:tcPr>
          <w:p>
            <w:pPr>
              <w:jc w:val="center"/>
              <w:rPr>
                <w:noProof/>
                <w:color w:val="000000"/>
                <w:sz w:val="22"/>
                <w:szCs w:val="22"/>
              </w:rPr>
            </w:pPr>
            <w:r>
              <w:rPr>
                <w:noProof/>
                <w:color w:val="000000"/>
                <w:sz w:val="22"/>
              </w:rPr>
              <w:t>Suède</w:t>
            </w:r>
          </w:p>
        </w:tc>
        <w:tc>
          <w:tcPr>
            <w:tcW w:w="3609" w:type="dxa"/>
            <w:shd w:val="clear" w:color="auto" w:fill="auto"/>
            <w:vAlign w:val="center"/>
          </w:tcPr>
          <w:p>
            <w:pPr>
              <w:jc w:val="center"/>
              <w:rPr>
                <w:i/>
                <w:iCs/>
                <w:noProof/>
                <w:color w:val="000000"/>
                <w:sz w:val="22"/>
                <w:szCs w:val="22"/>
              </w:rPr>
            </w:pPr>
            <w:r>
              <w:rPr>
                <w:i/>
                <w:noProof/>
                <w:color w:val="000000"/>
                <w:sz w:val="22"/>
              </w:rPr>
              <w:t>Riksdag</w:t>
            </w:r>
          </w:p>
        </w:tc>
        <w:tc>
          <w:tcPr>
            <w:tcW w:w="1660" w:type="dxa"/>
            <w:shd w:val="clear" w:color="auto" w:fill="auto"/>
            <w:vAlign w:val="center"/>
          </w:tcPr>
          <w:p>
            <w:pPr>
              <w:jc w:val="center"/>
              <w:rPr>
                <w:noProof/>
                <w:color w:val="000000"/>
                <w:sz w:val="22"/>
                <w:szCs w:val="22"/>
              </w:rPr>
            </w:pPr>
            <w:r>
              <w:rPr>
                <w:noProof/>
                <w:color w:val="000000"/>
                <w:sz w:val="22"/>
              </w:rPr>
              <w:t>17</w:t>
            </w:r>
          </w:p>
        </w:tc>
        <w:tc>
          <w:tcPr>
            <w:tcW w:w="2364" w:type="dxa"/>
            <w:shd w:val="clear" w:color="auto" w:fill="auto"/>
            <w:vAlign w:val="center"/>
          </w:tcPr>
          <w:p>
            <w:pPr>
              <w:jc w:val="center"/>
              <w:rPr>
                <w:noProof/>
                <w:color w:val="000000"/>
                <w:sz w:val="22"/>
                <w:szCs w:val="22"/>
              </w:rPr>
            </w:pPr>
            <w:r>
              <w:rPr>
                <w:noProof/>
                <w:color w:val="000000"/>
                <w:sz w:val="22"/>
              </w:rPr>
              <w:t>4</w:t>
            </w:r>
          </w:p>
        </w:tc>
      </w:tr>
      <w:tr>
        <w:trPr>
          <w:cantSplit/>
        </w:trPr>
        <w:tc>
          <w:tcPr>
            <w:tcW w:w="1909" w:type="dxa"/>
            <w:shd w:val="clear" w:color="auto" w:fill="auto"/>
            <w:vAlign w:val="center"/>
          </w:tcPr>
          <w:p>
            <w:pPr>
              <w:jc w:val="center"/>
              <w:rPr>
                <w:noProof/>
                <w:color w:val="000000"/>
                <w:sz w:val="22"/>
                <w:szCs w:val="22"/>
              </w:rPr>
            </w:pPr>
            <w:r>
              <w:rPr>
                <w:noProof/>
                <w:color w:val="000000"/>
                <w:sz w:val="22"/>
              </w:rPr>
              <w:t>France</w:t>
            </w:r>
          </w:p>
        </w:tc>
        <w:tc>
          <w:tcPr>
            <w:tcW w:w="3609" w:type="dxa"/>
            <w:shd w:val="clear" w:color="auto" w:fill="auto"/>
            <w:vAlign w:val="center"/>
          </w:tcPr>
          <w:p>
            <w:pPr>
              <w:jc w:val="center"/>
              <w:rPr>
                <w:i/>
                <w:iCs/>
                <w:noProof/>
                <w:color w:val="000000"/>
                <w:sz w:val="22"/>
                <w:szCs w:val="22"/>
              </w:rPr>
            </w:pPr>
            <w:r>
              <w:rPr>
                <w:i/>
                <w:noProof/>
                <w:color w:val="000000"/>
                <w:sz w:val="22"/>
              </w:rPr>
              <w:t>Assemblée nationale</w:t>
            </w:r>
          </w:p>
        </w:tc>
        <w:tc>
          <w:tcPr>
            <w:tcW w:w="1660" w:type="dxa"/>
            <w:shd w:val="clear" w:color="auto" w:fill="auto"/>
            <w:vAlign w:val="center"/>
          </w:tcPr>
          <w:p>
            <w:pPr>
              <w:jc w:val="center"/>
              <w:rPr>
                <w:noProof/>
                <w:color w:val="000000"/>
                <w:sz w:val="22"/>
                <w:szCs w:val="22"/>
              </w:rPr>
            </w:pPr>
            <w:r>
              <w:rPr>
                <w:noProof/>
                <w:color w:val="000000"/>
                <w:sz w:val="22"/>
              </w:rPr>
              <w:t>16</w:t>
            </w:r>
          </w:p>
        </w:tc>
        <w:tc>
          <w:tcPr>
            <w:tcW w:w="2364" w:type="dxa"/>
            <w:shd w:val="clear" w:color="auto" w:fill="auto"/>
            <w:vAlign w:val="center"/>
          </w:tcPr>
          <w:p>
            <w:pPr>
              <w:jc w:val="center"/>
              <w:rPr>
                <w:noProof/>
                <w:color w:val="000000"/>
                <w:sz w:val="22"/>
                <w:szCs w:val="22"/>
              </w:rPr>
            </w:pPr>
            <w:r>
              <w:rPr>
                <w:noProof/>
                <w:color w:val="000000"/>
                <w:sz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rPr>
              <w:t>Autriche</w:t>
            </w:r>
          </w:p>
        </w:tc>
        <w:tc>
          <w:tcPr>
            <w:tcW w:w="3609" w:type="dxa"/>
            <w:shd w:val="clear" w:color="auto" w:fill="auto"/>
            <w:vAlign w:val="center"/>
          </w:tcPr>
          <w:p>
            <w:pPr>
              <w:jc w:val="center"/>
              <w:rPr>
                <w:i/>
                <w:iCs/>
                <w:noProof/>
                <w:color w:val="000000"/>
                <w:sz w:val="22"/>
                <w:szCs w:val="22"/>
              </w:rPr>
            </w:pPr>
            <w:r>
              <w:rPr>
                <w:i/>
                <w:noProof/>
                <w:color w:val="000000"/>
                <w:sz w:val="22"/>
              </w:rPr>
              <w:t>Bundesrat</w:t>
            </w:r>
          </w:p>
        </w:tc>
        <w:tc>
          <w:tcPr>
            <w:tcW w:w="1660" w:type="dxa"/>
            <w:shd w:val="clear" w:color="auto" w:fill="auto"/>
            <w:vAlign w:val="center"/>
          </w:tcPr>
          <w:p>
            <w:pPr>
              <w:jc w:val="center"/>
              <w:rPr>
                <w:noProof/>
                <w:color w:val="000000"/>
                <w:sz w:val="22"/>
                <w:szCs w:val="22"/>
              </w:rPr>
            </w:pPr>
            <w:r>
              <w:rPr>
                <w:noProof/>
                <w:color w:val="000000"/>
                <w:sz w:val="22"/>
              </w:rPr>
              <w:t>14</w:t>
            </w:r>
          </w:p>
        </w:tc>
        <w:tc>
          <w:tcPr>
            <w:tcW w:w="2364" w:type="dxa"/>
            <w:shd w:val="clear" w:color="auto" w:fill="auto"/>
            <w:vAlign w:val="center"/>
          </w:tcPr>
          <w:p>
            <w:pPr>
              <w:jc w:val="center"/>
              <w:rPr>
                <w:noProof/>
                <w:color w:val="000000"/>
                <w:sz w:val="22"/>
                <w:szCs w:val="22"/>
              </w:rPr>
            </w:pPr>
            <w:r>
              <w:rPr>
                <w:noProof/>
                <w:color w:val="000000"/>
                <w:sz w:val="22"/>
              </w:rPr>
              <w:t>6</w:t>
            </w:r>
          </w:p>
        </w:tc>
      </w:tr>
      <w:tr>
        <w:trPr>
          <w:cantSplit/>
        </w:trPr>
        <w:tc>
          <w:tcPr>
            <w:tcW w:w="1909" w:type="dxa"/>
            <w:shd w:val="clear" w:color="auto" w:fill="auto"/>
            <w:vAlign w:val="center"/>
          </w:tcPr>
          <w:p>
            <w:pPr>
              <w:jc w:val="center"/>
              <w:rPr>
                <w:noProof/>
                <w:color w:val="000000"/>
                <w:sz w:val="22"/>
                <w:szCs w:val="22"/>
              </w:rPr>
            </w:pPr>
            <w:r>
              <w:rPr>
                <w:noProof/>
                <w:color w:val="000000"/>
                <w:sz w:val="22"/>
              </w:rPr>
              <w:t>Pologne</w:t>
            </w:r>
          </w:p>
        </w:tc>
        <w:tc>
          <w:tcPr>
            <w:tcW w:w="3609" w:type="dxa"/>
            <w:shd w:val="clear" w:color="auto" w:fill="auto"/>
            <w:vAlign w:val="center"/>
          </w:tcPr>
          <w:p>
            <w:pPr>
              <w:jc w:val="center"/>
              <w:rPr>
                <w:i/>
                <w:iCs/>
                <w:noProof/>
                <w:color w:val="000000"/>
                <w:sz w:val="22"/>
                <w:szCs w:val="22"/>
              </w:rPr>
            </w:pPr>
            <w:r>
              <w:rPr>
                <w:i/>
                <w:noProof/>
                <w:color w:val="000000"/>
                <w:sz w:val="22"/>
              </w:rPr>
              <w:t>Senat Rzeczypospolitej Polskiej</w:t>
            </w:r>
          </w:p>
        </w:tc>
        <w:tc>
          <w:tcPr>
            <w:tcW w:w="1660" w:type="dxa"/>
            <w:shd w:val="clear" w:color="auto" w:fill="auto"/>
            <w:vAlign w:val="center"/>
          </w:tcPr>
          <w:p>
            <w:pPr>
              <w:jc w:val="center"/>
              <w:rPr>
                <w:noProof/>
                <w:color w:val="000000"/>
                <w:sz w:val="22"/>
                <w:szCs w:val="22"/>
              </w:rPr>
            </w:pPr>
            <w:r>
              <w:rPr>
                <w:noProof/>
                <w:color w:val="000000"/>
                <w:sz w:val="22"/>
              </w:rPr>
              <w:t>14</w:t>
            </w:r>
          </w:p>
        </w:tc>
        <w:tc>
          <w:tcPr>
            <w:tcW w:w="2364" w:type="dxa"/>
            <w:shd w:val="clear" w:color="auto" w:fill="auto"/>
            <w:vAlign w:val="center"/>
          </w:tcPr>
          <w:p>
            <w:pPr>
              <w:jc w:val="center"/>
              <w:rPr>
                <w:noProof/>
                <w:color w:val="000000"/>
                <w:sz w:val="22"/>
                <w:szCs w:val="22"/>
              </w:rPr>
            </w:pPr>
            <w:r>
              <w:rPr>
                <w:noProof/>
                <w:color w:val="000000"/>
                <w:sz w:val="22"/>
              </w:rPr>
              <w:t>4</w:t>
            </w:r>
          </w:p>
        </w:tc>
      </w:tr>
      <w:tr>
        <w:trPr>
          <w:cantSplit/>
        </w:trPr>
        <w:tc>
          <w:tcPr>
            <w:tcW w:w="1909" w:type="dxa"/>
            <w:shd w:val="clear" w:color="auto" w:fill="auto"/>
            <w:vAlign w:val="center"/>
          </w:tcPr>
          <w:p>
            <w:pPr>
              <w:jc w:val="center"/>
              <w:rPr>
                <w:noProof/>
                <w:color w:val="000000"/>
                <w:sz w:val="22"/>
                <w:szCs w:val="22"/>
              </w:rPr>
            </w:pPr>
            <w:r>
              <w:rPr>
                <w:noProof/>
                <w:color w:val="000000"/>
                <w:sz w:val="22"/>
              </w:rPr>
              <w:t>Hongrie</w:t>
            </w:r>
          </w:p>
        </w:tc>
        <w:tc>
          <w:tcPr>
            <w:tcW w:w="3609" w:type="dxa"/>
            <w:shd w:val="clear" w:color="auto" w:fill="auto"/>
            <w:vAlign w:val="center"/>
          </w:tcPr>
          <w:p>
            <w:pPr>
              <w:jc w:val="center"/>
              <w:rPr>
                <w:i/>
                <w:iCs/>
                <w:noProof/>
                <w:color w:val="000000"/>
                <w:sz w:val="22"/>
                <w:szCs w:val="22"/>
              </w:rPr>
            </w:pPr>
            <w:r>
              <w:rPr>
                <w:i/>
                <w:noProof/>
                <w:color w:val="000000"/>
                <w:sz w:val="22"/>
              </w:rPr>
              <w:t>Országgyűlés</w:t>
            </w:r>
          </w:p>
        </w:tc>
        <w:tc>
          <w:tcPr>
            <w:tcW w:w="1660" w:type="dxa"/>
            <w:shd w:val="clear" w:color="auto" w:fill="auto"/>
            <w:vAlign w:val="center"/>
          </w:tcPr>
          <w:p>
            <w:pPr>
              <w:jc w:val="center"/>
              <w:rPr>
                <w:noProof/>
                <w:color w:val="000000"/>
                <w:sz w:val="22"/>
                <w:szCs w:val="22"/>
              </w:rPr>
            </w:pPr>
            <w:r>
              <w:rPr>
                <w:noProof/>
                <w:color w:val="000000"/>
                <w:sz w:val="22"/>
              </w:rPr>
              <w:t>8</w:t>
            </w:r>
          </w:p>
        </w:tc>
        <w:tc>
          <w:tcPr>
            <w:tcW w:w="2364" w:type="dxa"/>
            <w:shd w:val="clear" w:color="auto" w:fill="auto"/>
            <w:vAlign w:val="center"/>
          </w:tcPr>
          <w:p>
            <w:pPr>
              <w:jc w:val="center"/>
              <w:rPr>
                <w:noProof/>
                <w:color w:val="000000"/>
                <w:sz w:val="22"/>
                <w:szCs w:val="22"/>
              </w:rPr>
            </w:pPr>
            <w:r>
              <w:rPr>
                <w:noProof/>
                <w:color w:val="000000"/>
                <w:sz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rPr>
              <w:t>Allemagne</w:t>
            </w:r>
          </w:p>
        </w:tc>
        <w:tc>
          <w:tcPr>
            <w:tcW w:w="3609" w:type="dxa"/>
            <w:shd w:val="clear" w:color="auto" w:fill="auto"/>
            <w:vAlign w:val="center"/>
          </w:tcPr>
          <w:p>
            <w:pPr>
              <w:jc w:val="center"/>
              <w:rPr>
                <w:i/>
                <w:iCs/>
                <w:noProof/>
                <w:color w:val="000000"/>
                <w:sz w:val="22"/>
                <w:szCs w:val="22"/>
              </w:rPr>
            </w:pPr>
            <w:r>
              <w:rPr>
                <w:i/>
                <w:noProof/>
                <w:color w:val="000000"/>
                <w:sz w:val="22"/>
              </w:rPr>
              <w:t>Bundestag</w:t>
            </w:r>
          </w:p>
        </w:tc>
        <w:tc>
          <w:tcPr>
            <w:tcW w:w="1660" w:type="dxa"/>
            <w:shd w:val="clear" w:color="auto" w:fill="auto"/>
            <w:vAlign w:val="center"/>
          </w:tcPr>
          <w:p>
            <w:pPr>
              <w:jc w:val="center"/>
              <w:rPr>
                <w:noProof/>
                <w:color w:val="000000"/>
                <w:sz w:val="22"/>
                <w:szCs w:val="22"/>
              </w:rPr>
            </w:pPr>
            <w:r>
              <w:rPr>
                <w:noProof/>
                <w:color w:val="000000"/>
                <w:sz w:val="22"/>
              </w:rPr>
              <w:t>6</w:t>
            </w:r>
          </w:p>
        </w:tc>
        <w:tc>
          <w:tcPr>
            <w:tcW w:w="2364" w:type="dxa"/>
            <w:shd w:val="clear" w:color="auto" w:fill="auto"/>
            <w:vAlign w:val="center"/>
          </w:tcPr>
          <w:p>
            <w:pPr>
              <w:jc w:val="center"/>
              <w:rPr>
                <w:noProof/>
                <w:color w:val="000000"/>
                <w:sz w:val="22"/>
                <w:szCs w:val="22"/>
              </w:rPr>
            </w:pPr>
            <w:r>
              <w:rPr>
                <w:noProof/>
                <w:color w:val="000000"/>
                <w:sz w:val="22"/>
              </w:rPr>
              <w:t>6</w:t>
            </w:r>
          </w:p>
        </w:tc>
      </w:tr>
      <w:tr>
        <w:trPr>
          <w:cantSplit/>
        </w:trPr>
        <w:tc>
          <w:tcPr>
            <w:tcW w:w="1909" w:type="dxa"/>
            <w:shd w:val="clear" w:color="auto" w:fill="auto"/>
            <w:vAlign w:val="center"/>
          </w:tcPr>
          <w:p>
            <w:pPr>
              <w:jc w:val="center"/>
              <w:rPr>
                <w:noProof/>
                <w:color w:val="000000"/>
                <w:sz w:val="22"/>
                <w:szCs w:val="22"/>
              </w:rPr>
            </w:pPr>
            <w:r>
              <w:rPr>
                <w:noProof/>
                <w:color w:val="000000"/>
                <w:sz w:val="22"/>
              </w:rPr>
              <w:t>Pays-Bas</w:t>
            </w:r>
          </w:p>
        </w:tc>
        <w:tc>
          <w:tcPr>
            <w:tcW w:w="3609" w:type="dxa"/>
            <w:shd w:val="clear" w:color="auto" w:fill="auto"/>
            <w:vAlign w:val="center"/>
          </w:tcPr>
          <w:p>
            <w:pPr>
              <w:jc w:val="center"/>
              <w:rPr>
                <w:i/>
                <w:iCs/>
                <w:noProof/>
                <w:color w:val="000000"/>
                <w:sz w:val="22"/>
                <w:szCs w:val="22"/>
              </w:rPr>
            </w:pPr>
            <w:r>
              <w:rPr>
                <w:i/>
                <w:noProof/>
                <w:color w:val="000000"/>
                <w:sz w:val="22"/>
              </w:rPr>
              <w:t>Eerste Kamer</w:t>
            </w:r>
          </w:p>
        </w:tc>
        <w:tc>
          <w:tcPr>
            <w:tcW w:w="1660" w:type="dxa"/>
            <w:shd w:val="clear" w:color="auto" w:fill="auto"/>
            <w:vAlign w:val="center"/>
          </w:tcPr>
          <w:p>
            <w:pPr>
              <w:jc w:val="center"/>
              <w:rPr>
                <w:noProof/>
                <w:color w:val="000000"/>
                <w:sz w:val="22"/>
                <w:szCs w:val="22"/>
              </w:rPr>
            </w:pPr>
            <w:r>
              <w:rPr>
                <w:noProof/>
                <w:color w:val="000000"/>
                <w:sz w:val="22"/>
              </w:rPr>
              <w:t>6</w:t>
            </w:r>
          </w:p>
        </w:tc>
        <w:tc>
          <w:tcPr>
            <w:tcW w:w="2364" w:type="dxa"/>
            <w:shd w:val="clear" w:color="auto" w:fill="auto"/>
            <w:vAlign w:val="center"/>
          </w:tcPr>
          <w:p>
            <w:pPr>
              <w:jc w:val="center"/>
              <w:rPr>
                <w:noProof/>
                <w:color w:val="000000"/>
                <w:sz w:val="22"/>
                <w:szCs w:val="22"/>
              </w:rPr>
            </w:pPr>
            <w:r>
              <w:rPr>
                <w:noProof/>
                <w:color w:val="000000"/>
                <w:sz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rPr>
              <w:t>Pologne</w:t>
            </w:r>
          </w:p>
        </w:tc>
        <w:tc>
          <w:tcPr>
            <w:tcW w:w="3609" w:type="dxa"/>
            <w:shd w:val="clear" w:color="auto" w:fill="auto"/>
            <w:vAlign w:val="center"/>
          </w:tcPr>
          <w:p>
            <w:pPr>
              <w:jc w:val="center"/>
              <w:rPr>
                <w:i/>
                <w:iCs/>
                <w:noProof/>
                <w:color w:val="000000"/>
                <w:sz w:val="22"/>
                <w:szCs w:val="22"/>
              </w:rPr>
            </w:pPr>
            <w:r>
              <w:rPr>
                <w:i/>
                <w:noProof/>
                <w:color w:val="000000"/>
                <w:sz w:val="22"/>
              </w:rPr>
              <w:t>Sejm Rzeczypospolitej Polskiej</w:t>
            </w:r>
          </w:p>
        </w:tc>
        <w:tc>
          <w:tcPr>
            <w:tcW w:w="1660" w:type="dxa"/>
            <w:shd w:val="clear" w:color="auto" w:fill="auto"/>
            <w:vAlign w:val="center"/>
          </w:tcPr>
          <w:p>
            <w:pPr>
              <w:jc w:val="center"/>
              <w:rPr>
                <w:noProof/>
                <w:color w:val="000000"/>
                <w:sz w:val="22"/>
                <w:szCs w:val="22"/>
              </w:rPr>
            </w:pPr>
            <w:r>
              <w:rPr>
                <w:noProof/>
                <w:color w:val="000000"/>
                <w:sz w:val="22"/>
              </w:rPr>
              <w:t>6</w:t>
            </w:r>
          </w:p>
        </w:tc>
        <w:tc>
          <w:tcPr>
            <w:tcW w:w="2364" w:type="dxa"/>
            <w:shd w:val="clear" w:color="auto" w:fill="auto"/>
            <w:vAlign w:val="center"/>
          </w:tcPr>
          <w:p>
            <w:pPr>
              <w:jc w:val="center"/>
              <w:rPr>
                <w:noProof/>
                <w:color w:val="000000"/>
                <w:sz w:val="22"/>
                <w:szCs w:val="22"/>
              </w:rPr>
            </w:pPr>
            <w:r>
              <w:rPr>
                <w:noProof/>
                <w:color w:val="000000"/>
                <w:sz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rPr>
              <w:t>Irlande</w:t>
            </w:r>
          </w:p>
        </w:tc>
        <w:tc>
          <w:tcPr>
            <w:tcW w:w="3609" w:type="dxa"/>
            <w:shd w:val="clear" w:color="auto" w:fill="auto"/>
            <w:vAlign w:val="center"/>
          </w:tcPr>
          <w:p>
            <w:pPr>
              <w:jc w:val="center"/>
              <w:rPr>
                <w:noProof/>
                <w:color w:val="000000"/>
                <w:sz w:val="22"/>
                <w:szCs w:val="22"/>
              </w:rPr>
            </w:pPr>
            <w:r>
              <w:rPr>
                <w:noProof/>
                <w:color w:val="000000"/>
                <w:sz w:val="22"/>
              </w:rPr>
              <w:t xml:space="preserve">Chambres du </w:t>
            </w:r>
            <w:r>
              <w:rPr>
                <w:i/>
                <w:noProof/>
                <w:color w:val="000000"/>
                <w:sz w:val="22"/>
              </w:rPr>
              <w:t>Oireachtas</w:t>
            </w:r>
            <w:r>
              <w:rPr>
                <w:noProof/>
                <w:color w:val="000000"/>
                <w:sz w:val="22"/>
                <w:szCs w:val="22"/>
              </w:rPr>
              <w:br/>
            </w:r>
            <w:r>
              <w:rPr>
                <w:i/>
                <w:noProof/>
                <w:color w:val="000000"/>
                <w:sz w:val="22"/>
              </w:rPr>
              <w:t>Dáil</w:t>
            </w:r>
            <w:r>
              <w:rPr>
                <w:noProof/>
                <w:color w:val="000000"/>
                <w:sz w:val="22"/>
              </w:rPr>
              <w:t xml:space="preserve"> et </w:t>
            </w:r>
            <w:r>
              <w:rPr>
                <w:i/>
                <w:noProof/>
                <w:color w:val="000000"/>
                <w:sz w:val="22"/>
              </w:rPr>
              <w:t xml:space="preserve">Seanad Éireann </w:t>
            </w:r>
          </w:p>
        </w:tc>
        <w:tc>
          <w:tcPr>
            <w:tcW w:w="1660" w:type="dxa"/>
            <w:shd w:val="clear" w:color="auto" w:fill="auto"/>
            <w:vAlign w:val="center"/>
          </w:tcPr>
          <w:p>
            <w:pPr>
              <w:jc w:val="center"/>
              <w:rPr>
                <w:noProof/>
                <w:color w:val="000000"/>
                <w:sz w:val="22"/>
                <w:szCs w:val="22"/>
              </w:rPr>
            </w:pPr>
            <w:r>
              <w:rPr>
                <w:noProof/>
                <w:color w:val="000000"/>
                <w:sz w:val="22"/>
              </w:rPr>
              <w:t>6</w:t>
            </w:r>
          </w:p>
        </w:tc>
        <w:tc>
          <w:tcPr>
            <w:tcW w:w="2364" w:type="dxa"/>
            <w:shd w:val="clear" w:color="auto" w:fill="auto"/>
            <w:vAlign w:val="center"/>
          </w:tcPr>
          <w:p>
            <w:pPr>
              <w:jc w:val="center"/>
              <w:rPr>
                <w:noProof/>
                <w:color w:val="000000"/>
                <w:sz w:val="22"/>
                <w:szCs w:val="22"/>
              </w:rPr>
            </w:pPr>
            <w:r>
              <w:rPr>
                <w:noProof/>
                <w:color w:val="000000"/>
                <w:sz w:val="22"/>
              </w:rPr>
              <w:t>1</w:t>
            </w:r>
          </w:p>
        </w:tc>
      </w:tr>
      <w:tr>
        <w:trPr>
          <w:cantSplit/>
        </w:trPr>
        <w:tc>
          <w:tcPr>
            <w:tcW w:w="1909" w:type="dxa"/>
            <w:shd w:val="clear" w:color="auto" w:fill="auto"/>
            <w:vAlign w:val="center"/>
          </w:tcPr>
          <w:p>
            <w:pPr>
              <w:jc w:val="center"/>
              <w:rPr>
                <w:noProof/>
                <w:color w:val="000000"/>
                <w:sz w:val="22"/>
                <w:szCs w:val="22"/>
              </w:rPr>
            </w:pPr>
            <w:r>
              <w:rPr>
                <w:noProof/>
                <w:color w:val="000000"/>
                <w:sz w:val="22"/>
              </w:rPr>
              <w:t>Danemark</w:t>
            </w:r>
          </w:p>
        </w:tc>
        <w:tc>
          <w:tcPr>
            <w:tcW w:w="3609" w:type="dxa"/>
            <w:shd w:val="clear" w:color="auto" w:fill="auto"/>
            <w:vAlign w:val="center"/>
          </w:tcPr>
          <w:p>
            <w:pPr>
              <w:jc w:val="center"/>
              <w:rPr>
                <w:i/>
                <w:iCs/>
                <w:noProof/>
                <w:color w:val="000000"/>
                <w:sz w:val="22"/>
                <w:szCs w:val="22"/>
              </w:rPr>
            </w:pPr>
            <w:r>
              <w:rPr>
                <w:i/>
                <w:noProof/>
                <w:color w:val="000000"/>
                <w:sz w:val="22"/>
              </w:rPr>
              <w:t>Folketing</w:t>
            </w:r>
          </w:p>
        </w:tc>
        <w:tc>
          <w:tcPr>
            <w:tcW w:w="1660" w:type="dxa"/>
            <w:shd w:val="clear" w:color="auto" w:fill="auto"/>
            <w:vAlign w:val="center"/>
          </w:tcPr>
          <w:p>
            <w:pPr>
              <w:jc w:val="center"/>
              <w:rPr>
                <w:noProof/>
                <w:color w:val="000000"/>
                <w:sz w:val="22"/>
                <w:szCs w:val="22"/>
              </w:rPr>
            </w:pPr>
            <w:r>
              <w:rPr>
                <w:noProof/>
                <w:color w:val="000000"/>
                <w:sz w:val="22"/>
              </w:rPr>
              <w:t>6</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Slovaquie</w:t>
            </w:r>
          </w:p>
        </w:tc>
        <w:tc>
          <w:tcPr>
            <w:tcW w:w="3609" w:type="dxa"/>
            <w:shd w:val="clear" w:color="auto" w:fill="auto"/>
            <w:vAlign w:val="center"/>
          </w:tcPr>
          <w:p>
            <w:pPr>
              <w:jc w:val="center"/>
              <w:rPr>
                <w:i/>
                <w:iCs/>
                <w:noProof/>
                <w:color w:val="000000"/>
                <w:sz w:val="22"/>
                <w:szCs w:val="22"/>
              </w:rPr>
            </w:pPr>
            <w:r>
              <w:rPr>
                <w:i/>
                <w:noProof/>
                <w:color w:val="000000"/>
                <w:sz w:val="22"/>
              </w:rPr>
              <w:t>Národná rada</w:t>
            </w:r>
          </w:p>
        </w:tc>
        <w:tc>
          <w:tcPr>
            <w:tcW w:w="1660" w:type="dxa"/>
            <w:shd w:val="clear" w:color="auto" w:fill="auto"/>
            <w:vAlign w:val="center"/>
          </w:tcPr>
          <w:p>
            <w:pPr>
              <w:jc w:val="center"/>
              <w:rPr>
                <w:noProof/>
                <w:color w:val="000000"/>
                <w:sz w:val="22"/>
                <w:szCs w:val="22"/>
              </w:rPr>
            </w:pPr>
            <w:r>
              <w:rPr>
                <w:noProof/>
                <w:color w:val="000000"/>
                <w:sz w:val="22"/>
              </w:rPr>
              <w:t>6</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Pays-Bas</w:t>
            </w:r>
          </w:p>
        </w:tc>
        <w:tc>
          <w:tcPr>
            <w:tcW w:w="3609" w:type="dxa"/>
            <w:shd w:val="clear" w:color="auto" w:fill="auto"/>
            <w:vAlign w:val="center"/>
          </w:tcPr>
          <w:p>
            <w:pPr>
              <w:jc w:val="center"/>
              <w:rPr>
                <w:i/>
                <w:iCs/>
                <w:noProof/>
                <w:color w:val="000000"/>
                <w:sz w:val="22"/>
                <w:szCs w:val="22"/>
              </w:rPr>
            </w:pPr>
            <w:r>
              <w:rPr>
                <w:i/>
                <w:noProof/>
                <w:color w:val="000000"/>
                <w:sz w:val="22"/>
              </w:rPr>
              <w:t>Tweede Kamer</w:t>
            </w:r>
          </w:p>
        </w:tc>
        <w:tc>
          <w:tcPr>
            <w:tcW w:w="1660" w:type="dxa"/>
            <w:shd w:val="clear" w:color="auto" w:fill="auto"/>
            <w:vAlign w:val="center"/>
          </w:tcPr>
          <w:p>
            <w:pPr>
              <w:jc w:val="center"/>
              <w:rPr>
                <w:noProof/>
                <w:color w:val="000000"/>
                <w:sz w:val="22"/>
                <w:szCs w:val="22"/>
              </w:rPr>
            </w:pPr>
            <w:r>
              <w:rPr>
                <w:noProof/>
                <w:color w:val="000000"/>
                <w:sz w:val="22"/>
              </w:rPr>
              <w:t>5</w:t>
            </w:r>
          </w:p>
        </w:tc>
        <w:tc>
          <w:tcPr>
            <w:tcW w:w="2364" w:type="dxa"/>
            <w:shd w:val="clear" w:color="auto" w:fill="auto"/>
            <w:vAlign w:val="center"/>
          </w:tcPr>
          <w:p>
            <w:pPr>
              <w:jc w:val="center"/>
              <w:rPr>
                <w:noProof/>
                <w:color w:val="000000"/>
                <w:sz w:val="22"/>
                <w:szCs w:val="22"/>
              </w:rPr>
            </w:pPr>
            <w:r>
              <w:rPr>
                <w:noProof/>
                <w:color w:val="000000"/>
                <w:sz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rPr>
              <w:t>Chypre</w:t>
            </w:r>
          </w:p>
        </w:tc>
        <w:tc>
          <w:tcPr>
            <w:tcW w:w="3609" w:type="dxa"/>
            <w:shd w:val="clear" w:color="auto" w:fill="auto"/>
            <w:vAlign w:val="center"/>
          </w:tcPr>
          <w:p>
            <w:pPr>
              <w:jc w:val="center"/>
              <w:rPr>
                <w:i/>
                <w:iCs/>
                <w:noProof/>
                <w:color w:val="000000"/>
                <w:sz w:val="22"/>
                <w:szCs w:val="22"/>
                <w:lang w:val="el-GR"/>
              </w:rPr>
            </w:pPr>
            <w:r>
              <w:rPr>
                <w:i/>
                <w:noProof/>
                <w:color w:val="000000"/>
                <w:sz w:val="22"/>
              </w:rPr>
              <w:t>Vouli</w:t>
            </w:r>
            <w:r>
              <w:rPr>
                <w:i/>
                <w:noProof/>
                <w:color w:val="000000"/>
                <w:sz w:val="22"/>
                <w:lang w:val="el-GR"/>
              </w:rPr>
              <w:t xml:space="preserve"> </w:t>
            </w:r>
            <w:r>
              <w:rPr>
                <w:i/>
                <w:noProof/>
                <w:color w:val="000000"/>
                <w:sz w:val="22"/>
              </w:rPr>
              <w:t>ton</w:t>
            </w:r>
            <w:r>
              <w:rPr>
                <w:i/>
                <w:noProof/>
                <w:color w:val="000000"/>
                <w:sz w:val="22"/>
                <w:lang w:val="el-GR"/>
              </w:rPr>
              <w:t xml:space="preserve"> </w:t>
            </w:r>
            <w:r>
              <w:rPr>
                <w:i/>
                <w:noProof/>
                <w:color w:val="000000"/>
                <w:sz w:val="22"/>
              </w:rPr>
              <w:t>Antiprosopon</w:t>
            </w:r>
            <w:r>
              <w:rPr>
                <w:i/>
                <w:noProof/>
                <w:color w:val="000000"/>
                <w:sz w:val="22"/>
                <w:lang w:val="el-GR"/>
              </w:rPr>
              <w:t xml:space="preserve"> /</w:t>
            </w:r>
            <w:r>
              <w:rPr>
                <w:i/>
                <w:iCs/>
                <w:noProof/>
                <w:color w:val="000000"/>
                <w:sz w:val="22"/>
                <w:szCs w:val="22"/>
                <w:lang w:val="el-GR"/>
              </w:rPr>
              <w:br/>
            </w:r>
            <w:r>
              <w:rPr>
                <w:i/>
                <w:noProof/>
                <w:color w:val="000000"/>
                <w:sz w:val="22"/>
                <w:lang w:val="el-GR"/>
              </w:rPr>
              <w:t>Βουλή των Αντιπροσώπων</w:t>
            </w:r>
          </w:p>
        </w:tc>
        <w:tc>
          <w:tcPr>
            <w:tcW w:w="1660" w:type="dxa"/>
            <w:shd w:val="clear" w:color="auto" w:fill="auto"/>
            <w:vAlign w:val="center"/>
          </w:tcPr>
          <w:p>
            <w:pPr>
              <w:jc w:val="center"/>
              <w:rPr>
                <w:noProof/>
                <w:color w:val="000000"/>
                <w:sz w:val="22"/>
                <w:szCs w:val="22"/>
              </w:rPr>
            </w:pPr>
            <w:r>
              <w:rPr>
                <w:noProof/>
                <w:color w:val="000000"/>
                <w:sz w:val="22"/>
              </w:rPr>
              <w:t>4</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Royaume-Uni</w:t>
            </w:r>
          </w:p>
        </w:tc>
        <w:tc>
          <w:tcPr>
            <w:tcW w:w="3609" w:type="dxa"/>
            <w:shd w:val="clear" w:color="auto" w:fill="auto"/>
            <w:vAlign w:val="center"/>
          </w:tcPr>
          <w:p>
            <w:pPr>
              <w:jc w:val="center"/>
              <w:rPr>
                <w:noProof/>
                <w:color w:val="000000"/>
                <w:sz w:val="22"/>
                <w:szCs w:val="22"/>
              </w:rPr>
            </w:pPr>
            <w:r>
              <w:rPr>
                <w:noProof/>
                <w:color w:val="000000"/>
                <w:sz w:val="22"/>
              </w:rPr>
              <w:t>Chambre des Communes</w:t>
            </w:r>
          </w:p>
        </w:tc>
        <w:tc>
          <w:tcPr>
            <w:tcW w:w="1660" w:type="dxa"/>
            <w:shd w:val="clear" w:color="auto" w:fill="auto"/>
            <w:vAlign w:val="center"/>
          </w:tcPr>
          <w:p>
            <w:pPr>
              <w:jc w:val="center"/>
              <w:rPr>
                <w:noProof/>
                <w:color w:val="000000"/>
                <w:sz w:val="22"/>
                <w:szCs w:val="22"/>
              </w:rPr>
            </w:pPr>
            <w:r>
              <w:rPr>
                <w:noProof/>
                <w:color w:val="000000"/>
                <w:sz w:val="22"/>
              </w:rPr>
              <w:t>3</w:t>
            </w:r>
          </w:p>
        </w:tc>
        <w:tc>
          <w:tcPr>
            <w:tcW w:w="2364" w:type="dxa"/>
            <w:shd w:val="clear" w:color="auto" w:fill="auto"/>
            <w:vAlign w:val="center"/>
          </w:tcPr>
          <w:p>
            <w:pPr>
              <w:jc w:val="center"/>
              <w:rPr>
                <w:noProof/>
                <w:color w:val="000000"/>
                <w:sz w:val="22"/>
                <w:szCs w:val="22"/>
              </w:rPr>
            </w:pPr>
            <w:r>
              <w:rPr>
                <w:noProof/>
                <w:color w:val="000000"/>
                <w:sz w:val="22"/>
              </w:rPr>
              <w:t>2</w:t>
            </w:r>
          </w:p>
        </w:tc>
      </w:tr>
      <w:tr>
        <w:trPr>
          <w:cantSplit/>
        </w:trPr>
        <w:tc>
          <w:tcPr>
            <w:tcW w:w="1909" w:type="dxa"/>
            <w:shd w:val="clear" w:color="auto" w:fill="auto"/>
            <w:vAlign w:val="center"/>
          </w:tcPr>
          <w:p>
            <w:pPr>
              <w:jc w:val="center"/>
              <w:rPr>
                <w:noProof/>
                <w:color w:val="000000"/>
                <w:sz w:val="22"/>
                <w:szCs w:val="22"/>
              </w:rPr>
            </w:pPr>
            <w:r>
              <w:rPr>
                <w:noProof/>
                <w:color w:val="000000"/>
                <w:sz w:val="22"/>
              </w:rPr>
              <w:t>Grèce</w:t>
            </w:r>
          </w:p>
        </w:tc>
        <w:tc>
          <w:tcPr>
            <w:tcW w:w="3609" w:type="dxa"/>
            <w:shd w:val="clear" w:color="auto" w:fill="auto"/>
            <w:vAlign w:val="center"/>
          </w:tcPr>
          <w:p>
            <w:pPr>
              <w:jc w:val="center"/>
              <w:rPr>
                <w:i/>
                <w:iCs/>
                <w:noProof/>
                <w:color w:val="000000"/>
                <w:sz w:val="22"/>
                <w:szCs w:val="22"/>
              </w:rPr>
            </w:pPr>
            <w:r>
              <w:rPr>
                <w:i/>
                <w:noProof/>
                <w:color w:val="000000"/>
                <w:sz w:val="22"/>
              </w:rPr>
              <w:t>Vouli ton Ellinon</w:t>
            </w:r>
          </w:p>
        </w:tc>
        <w:tc>
          <w:tcPr>
            <w:tcW w:w="1660" w:type="dxa"/>
            <w:shd w:val="clear" w:color="auto" w:fill="auto"/>
            <w:vAlign w:val="center"/>
          </w:tcPr>
          <w:p>
            <w:pPr>
              <w:jc w:val="center"/>
              <w:rPr>
                <w:noProof/>
                <w:color w:val="000000"/>
                <w:sz w:val="22"/>
                <w:szCs w:val="22"/>
              </w:rPr>
            </w:pPr>
            <w:r>
              <w:rPr>
                <w:noProof/>
                <w:color w:val="000000"/>
                <w:sz w:val="22"/>
              </w:rPr>
              <w:t>3</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Irlande</w:t>
            </w:r>
          </w:p>
        </w:tc>
        <w:tc>
          <w:tcPr>
            <w:tcW w:w="3609" w:type="dxa"/>
            <w:shd w:val="clear" w:color="auto" w:fill="auto"/>
            <w:vAlign w:val="center"/>
          </w:tcPr>
          <w:p>
            <w:pPr>
              <w:jc w:val="center"/>
              <w:rPr>
                <w:noProof/>
                <w:color w:val="000000"/>
                <w:sz w:val="22"/>
                <w:szCs w:val="22"/>
              </w:rPr>
            </w:pPr>
            <w:r>
              <w:rPr>
                <w:noProof/>
                <w:color w:val="000000"/>
                <w:sz w:val="22"/>
              </w:rPr>
              <w:t xml:space="preserve">Chambres du </w:t>
            </w:r>
            <w:r>
              <w:rPr>
                <w:i/>
                <w:noProof/>
                <w:color w:val="000000"/>
                <w:sz w:val="22"/>
              </w:rPr>
              <w:t>Oireachtas:</w:t>
            </w:r>
            <w:r>
              <w:rPr>
                <w:noProof/>
                <w:color w:val="000000"/>
                <w:sz w:val="22"/>
                <w:szCs w:val="22"/>
              </w:rPr>
              <w:br/>
            </w:r>
            <w:r>
              <w:rPr>
                <w:i/>
                <w:noProof/>
                <w:color w:val="000000"/>
                <w:sz w:val="22"/>
              </w:rPr>
              <w:t xml:space="preserve">Seanad Éireann </w:t>
            </w:r>
          </w:p>
        </w:tc>
        <w:tc>
          <w:tcPr>
            <w:tcW w:w="1660" w:type="dxa"/>
            <w:shd w:val="clear" w:color="auto" w:fill="auto"/>
            <w:vAlign w:val="center"/>
          </w:tcPr>
          <w:p>
            <w:pPr>
              <w:jc w:val="center"/>
              <w:rPr>
                <w:noProof/>
                <w:color w:val="000000"/>
                <w:sz w:val="22"/>
                <w:szCs w:val="22"/>
              </w:rPr>
            </w:pPr>
            <w:r>
              <w:rPr>
                <w:noProof/>
                <w:color w:val="000000"/>
                <w:sz w:val="22"/>
              </w:rPr>
              <w:t>2</w:t>
            </w:r>
          </w:p>
        </w:tc>
        <w:tc>
          <w:tcPr>
            <w:tcW w:w="2364" w:type="dxa"/>
            <w:shd w:val="clear" w:color="auto" w:fill="auto"/>
            <w:vAlign w:val="center"/>
          </w:tcPr>
          <w:p>
            <w:pPr>
              <w:jc w:val="center"/>
              <w:rPr>
                <w:noProof/>
                <w:color w:val="000000"/>
                <w:sz w:val="22"/>
                <w:szCs w:val="22"/>
              </w:rPr>
            </w:pPr>
            <w:r>
              <w:rPr>
                <w:noProof/>
                <w:color w:val="000000"/>
                <w:sz w:val="22"/>
              </w:rPr>
              <w:t>1</w:t>
            </w:r>
          </w:p>
        </w:tc>
      </w:tr>
      <w:tr>
        <w:trPr>
          <w:cantSplit/>
        </w:trPr>
        <w:tc>
          <w:tcPr>
            <w:tcW w:w="1909" w:type="dxa"/>
            <w:shd w:val="clear" w:color="auto" w:fill="auto"/>
            <w:vAlign w:val="center"/>
          </w:tcPr>
          <w:p>
            <w:pPr>
              <w:jc w:val="center"/>
              <w:rPr>
                <w:noProof/>
                <w:color w:val="000000"/>
                <w:sz w:val="22"/>
                <w:szCs w:val="22"/>
              </w:rPr>
            </w:pPr>
            <w:r>
              <w:rPr>
                <w:noProof/>
                <w:color w:val="000000"/>
                <w:sz w:val="22"/>
              </w:rPr>
              <w:t>Belgique</w:t>
            </w:r>
          </w:p>
        </w:tc>
        <w:tc>
          <w:tcPr>
            <w:tcW w:w="3609" w:type="dxa"/>
            <w:shd w:val="clear" w:color="auto" w:fill="auto"/>
            <w:vAlign w:val="center"/>
          </w:tcPr>
          <w:p>
            <w:pPr>
              <w:jc w:val="center"/>
              <w:rPr>
                <w:i/>
                <w:iCs/>
                <w:noProof/>
                <w:color w:val="000000"/>
                <w:sz w:val="22"/>
                <w:szCs w:val="22"/>
              </w:rPr>
            </w:pPr>
            <w:r>
              <w:rPr>
                <w:i/>
                <w:noProof/>
                <w:color w:val="000000"/>
                <w:sz w:val="22"/>
              </w:rPr>
              <w:t>Chambre des représentants de Belgique/Belgische Kamer van volksvertegenwoordigers</w:t>
            </w:r>
          </w:p>
        </w:tc>
        <w:tc>
          <w:tcPr>
            <w:tcW w:w="1660" w:type="dxa"/>
            <w:shd w:val="clear" w:color="auto" w:fill="auto"/>
            <w:vAlign w:val="center"/>
          </w:tcPr>
          <w:p>
            <w:pPr>
              <w:jc w:val="center"/>
              <w:rPr>
                <w:noProof/>
                <w:color w:val="000000"/>
                <w:sz w:val="22"/>
                <w:szCs w:val="22"/>
              </w:rPr>
            </w:pPr>
            <w:r>
              <w:rPr>
                <w:noProof/>
                <w:color w:val="000000"/>
                <w:sz w:val="22"/>
              </w:rPr>
              <w:t>2</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Croatie</w:t>
            </w:r>
          </w:p>
        </w:tc>
        <w:tc>
          <w:tcPr>
            <w:tcW w:w="3609" w:type="dxa"/>
            <w:shd w:val="clear" w:color="auto" w:fill="auto"/>
            <w:vAlign w:val="center"/>
          </w:tcPr>
          <w:p>
            <w:pPr>
              <w:jc w:val="center"/>
              <w:rPr>
                <w:i/>
                <w:iCs/>
                <w:noProof/>
                <w:color w:val="000000"/>
                <w:sz w:val="22"/>
                <w:szCs w:val="22"/>
              </w:rPr>
            </w:pPr>
            <w:r>
              <w:rPr>
                <w:i/>
                <w:noProof/>
                <w:color w:val="000000"/>
                <w:sz w:val="22"/>
              </w:rPr>
              <w:t xml:space="preserve">Hrvatski Sabor </w:t>
            </w:r>
          </w:p>
        </w:tc>
        <w:tc>
          <w:tcPr>
            <w:tcW w:w="1660" w:type="dxa"/>
            <w:shd w:val="clear" w:color="auto" w:fill="auto"/>
            <w:vAlign w:val="center"/>
          </w:tcPr>
          <w:p>
            <w:pPr>
              <w:jc w:val="center"/>
              <w:rPr>
                <w:noProof/>
                <w:color w:val="000000"/>
                <w:sz w:val="22"/>
                <w:szCs w:val="22"/>
              </w:rPr>
            </w:pPr>
            <w:r>
              <w:rPr>
                <w:noProof/>
                <w:color w:val="000000"/>
                <w:sz w:val="22"/>
              </w:rPr>
              <w:t>2</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Lituanie</w:t>
            </w:r>
          </w:p>
        </w:tc>
        <w:tc>
          <w:tcPr>
            <w:tcW w:w="3609" w:type="dxa"/>
            <w:shd w:val="clear" w:color="auto" w:fill="auto"/>
            <w:vAlign w:val="center"/>
          </w:tcPr>
          <w:p>
            <w:pPr>
              <w:jc w:val="center"/>
              <w:rPr>
                <w:i/>
                <w:iCs/>
                <w:noProof/>
                <w:color w:val="000000"/>
                <w:sz w:val="22"/>
                <w:szCs w:val="22"/>
              </w:rPr>
            </w:pPr>
            <w:r>
              <w:rPr>
                <w:i/>
                <w:noProof/>
                <w:color w:val="000000"/>
                <w:sz w:val="22"/>
              </w:rPr>
              <w:t>Seimas</w:t>
            </w:r>
          </w:p>
        </w:tc>
        <w:tc>
          <w:tcPr>
            <w:tcW w:w="1660" w:type="dxa"/>
            <w:shd w:val="clear" w:color="auto" w:fill="auto"/>
            <w:vAlign w:val="center"/>
          </w:tcPr>
          <w:p>
            <w:pPr>
              <w:jc w:val="center"/>
              <w:rPr>
                <w:noProof/>
                <w:color w:val="000000"/>
                <w:sz w:val="22"/>
                <w:szCs w:val="22"/>
              </w:rPr>
            </w:pPr>
            <w:r>
              <w:rPr>
                <w:noProof/>
                <w:color w:val="000000"/>
                <w:sz w:val="22"/>
              </w:rPr>
              <w:t>2</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Irlande</w:t>
            </w:r>
          </w:p>
        </w:tc>
        <w:tc>
          <w:tcPr>
            <w:tcW w:w="3609" w:type="dxa"/>
            <w:shd w:val="clear" w:color="auto" w:fill="auto"/>
            <w:vAlign w:val="center"/>
          </w:tcPr>
          <w:p>
            <w:pPr>
              <w:jc w:val="center"/>
              <w:rPr>
                <w:noProof/>
                <w:color w:val="000000"/>
                <w:sz w:val="22"/>
                <w:szCs w:val="22"/>
              </w:rPr>
            </w:pPr>
            <w:r>
              <w:rPr>
                <w:noProof/>
                <w:color w:val="000000"/>
                <w:sz w:val="22"/>
              </w:rPr>
              <w:t xml:space="preserve">Chambres du </w:t>
            </w:r>
            <w:r>
              <w:rPr>
                <w:i/>
                <w:noProof/>
                <w:color w:val="000000"/>
                <w:sz w:val="22"/>
              </w:rPr>
              <w:t>Oireachtas</w:t>
            </w:r>
            <w:r>
              <w:rPr>
                <w:noProof/>
                <w:color w:val="000000"/>
                <w:sz w:val="22"/>
                <w:szCs w:val="22"/>
              </w:rPr>
              <w:br/>
            </w:r>
            <w:r>
              <w:rPr>
                <w:i/>
                <w:noProof/>
                <w:color w:val="000000"/>
                <w:sz w:val="22"/>
              </w:rPr>
              <w:t>Dáil</w:t>
            </w:r>
            <w:r>
              <w:rPr>
                <w:noProof/>
                <w:color w:val="000000"/>
                <w:sz w:val="22"/>
              </w:rPr>
              <w:t xml:space="preserve"> </w:t>
            </w:r>
            <w:r>
              <w:rPr>
                <w:i/>
                <w:noProof/>
                <w:color w:val="000000"/>
                <w:sz w:val="22"/>
              </w:rPr>
              <w:t xml:space="preserve">Éireann </w:t>
            </w:r>
          </w:p>
        </w:tc>
        <w:tc>
          <w:tcPr>
            <w:tcW w:w="1660" w:type="dxa"/>
            <w:shd w:val="clear" w:color="auto" w:fill="auto"/>
            <w:vAlign w:val="center"/>
          </w:tcPr>
          <w:p>
            <w:pPr>
              <w:jc w:val="center"/>
              <w:rPr>
                <w:noProof/>
                <w:color w:val="000000"/>
                <w:sz w:val="22"/>
                <w:szCs w:val="22"/>
              </w:rPr>
            </w:pPr>
            <w:r>
              <w:rPr>
                <w:noProof/>
                <w:color w:val="000000"/>
                <w:sz w:val="22"/>
              </w:rPr>
              <w:t>1</w:t>
            </w:r>
          </w:p>
        </w:tc>
        <w:tc>
          <w:tcPr>
            <w:tcW w:w="2364" w:type="dxa"/>
            <w:shd w:val="clear" w:color="auto" w:fill="auto"/>
            <w:vAlign w:val="center"/>
          </w:tcPr>
          <w:p>
            <w:pPr>
              <w:jc w:val="center"/>
              <w:rPr>
                <w:noProof/>
                <w:color w:val="000000"/>
                <w:sz w:val="22"/>
                <w:szCs w:val="22"/>
              </w:rPr>
            </w:pPr>
            <w:r>
              <w:rPr>
                <w:noProof/>
                <w:color w:val="000000"/>
                <w:sz w:val="22"/>
              </w:rPr>
              <w:t>1</w:t>
            </w:r>
          </w:p>
        </w:tc>
      </w:tr>
      <w:tr>
        <w:trPr>
          <w:cantSplit/>
        </w:trPr>
        <w:tc>
          <w:tcPr>
            <w:tcW w:w="1909" w:type="dxa"/>
            <w:shd w:val="clear" w:color="auto" w:fill="auto"/>
            <w:vAlign w:val="center"/>
          </w:tcPr>
          <w:p>
            <w:pPr>
              <w:jc w:val="center"/>
              <w:rPr>
                <w:noProof/>
                <w:color w:val="000000"/>
                <w:sz w:val="22"/>
                <w:szCs w:val="22"/>
              </w:rPr>
            </w:pPr>
            <w:r>
              <w:rPr>
                <w:noProof/>
                <w:color w:val="000000"/>
                <w:sz w:val="22"/>
              </w:rPr>
              <w:t>Autriche</w:t>
            </w:r>
          </w:p>
        </w:tc>
        <w:tc>
          <w:tcPr>
            <w:tcW w:w="3609" w:type="dxa"/>
            <w:shd w:val="clear" w:color="auto" w:fill="auto"/>
            <w:vAlign w:val="center"/>
          </w:tcPr>
          <w:p>
            <w:pPr>
              <w:jc w:val="center"/>
              <w:rPr>
                <w:i/>
                <w:iCs/>
                <w:noProof/>
                <w:color w:val="000000"/>
                <w:sz w:val="22"/>
                <w:szCs w:val="22"/>
              </w:rPr>
            </w:pPr>
            <w:r>
              <w:rPr>
                <w:i/>
                <w:noProof/>
                <w:color w:val="000000"/>
                <w:sz w:val="22"/>
              </w:rPr>
              <w:t>Nationalrat</w:t>
            </w:r>
          </w:p>
        </w:tc>
        <w:tc>
          <w:tcPr>
            <w:tcW w:w="1660" w:type="dxa"/>
            <w:shd w:val="clear" w:color="auto" w:fill="auto"/>
            <w:vAlign w:val="center"/>
          </w:tcPr>
          <w:p>
            <w:pPr>
              <w:jc w:val="center"/>
              <w:rPr>
                <w:noProof/>
                <w:color w:val="000000"/>
                <w:sz w:val="22"/>
                <w:szCs w:val="22"/>
              </w:rPr>
            </w:pPr>
            <w:r>
              <w:rPr>
                <w:noProof/>
                <w:color w:val="000000"/>
                <w:sz w:val="22"/>
              </w:rPr>
              <w:t>1</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Belgique</w:t>
            </w:r>
          </w:p>
        </w:tc>
        <w:tc>
          <w:tcPr>
            <w:tcW w:w="3609" w:type="dxa"/>
            <w:shd w:val="clear" w:color="auto" w:fill="auto"/>
            <w:vAlign w:val="center"/>
          </w:tcPr>
          <w:p>
            <w:pPr>
              <w:jc w:val="center"/>
              <w:rPr>
                <w:i/>
                <w:iCs/>
                <w:noProof/>
                <w:color w:val="000000"/>
                <w:sz w:val="22"/>
                <w:szCs w:val="22"/>
              </w:rPr>
            </w:pPr>
            <w:r>
              <w:rPr>
                <w:i/>
                <w:noProof/>
                <w:color w:val="000000"/>
                <w:sz w:val="22"/>
              </w:rPr>
              <w:t>Sénat de Belgique / Belgische Senaat</w:t>
            </w:r>
          </w:p>
        </w:tc>
        <w:tc>
          <w:tcPr>
            <w:tcW w:w="1660" w:type="dxa"/>
            <w:shd w:val="clear" w:color="auto" w:fill="auto"/>
            <w:vAlign w:val="center"/>
          </w:tcPr>
          <w:p>
            <w:pPr>
              <w:jc w:val="center"/>
              <w:rPr>
                <w:noProof/>
                <w:color w:val="000000"/>
                <w:sz w:val="22"/>
                <w:szCs w:val="22"/>
              </w:rPr>
            </w:pPr>
            <w:r>
              <w:rPr>
                <w:noProof/>
                <w:color w:val="000000"/>
                <w:sz w:val="22"/>
              </w:rPr>
              <w:t>1</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Bulgarie</w:t>
            </w:r>
          </w:p>
        </w:tc>
        <w:tc>
          <w:tcPr>
            <w:tcW w:w="3609" w:type="dxa"/>
            <w:shd w:val="clear" w:color="auto" w:fill="auto"/>
            <w:vAlign w:val="center"/>
          </w:tcPr>
          <w:p>
            <w:pPr>
              <w:jc w:val="center"/>
              <w:rPr>
                <w:i/>
                <w:iCs/>
                <w:noProof/>
                <w:color w:val="000000"/>
                <w:sz w:val="22"/>
                <w:szCs w:val="22"/>
              </w:rPr>
            </w:pPr>
            <w:r>
              <w:rPr>
                <w:i/>
                <w:noProof/>
                <w:color w:val="000000"/>
                <w:sz w:val="22"/>
              </w:rPr>
              <w:t>Narodno Sabranie</w:t>
            </w:r>
          </w:p>
        </w:tc>
        <w:tc>
          <w:tcPr>
            <w:tcW w:w="1660" w:type="dxa"/>
            <w:shd w:val="clear" w:color="auto" w:fill="auto"/>
            <w:vAlign w:val="center"/>
          </w:tcPr>
          <w:p>
            <w:pPr>
              <w:jc w:val="center"/>
              <w:rPr>
                <w:noProof/>
                <w:color w:val="000000"/>
                <w:sz w:val="22"/>
                <w:szCs w:val="22"/>
              </w:rPr>
            </w:pPr>
            <w:r>
              <w:rPr>
                <w:noProof/>
                <w:color w:val="000000"/>
                <w:sz w:val="22"/>
              </w:rPr>
              <w:t>1</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Luxembourg</w:t>
            </w:r>
          </w:p>
        </w:tc>
        <w:tc>
          <w:tcPr>
            <w:tcW w:w="3609" w:type="dxa"/>
            <w:shd w:val="clear" w:color="auto" w:fill="auto"/>
            <w:vAlign w:val="center"/>
          </w:tcPr>
          <w:p>
            <w:pPr>
              <w:jc w:val="center"/>
              <w:rPr>
                <w:i/>
                <w:iCs/>
                <w:noProof/>
                <w:color w:val="000000"/>
                <w:sz w:val="22"/>
                <w:szCs w:val="22"/>
              </w:rPr>
            </w:pPr>
            <w:r>
              <w:rPr>
                <w:i/>
                <w:noProof/>
                <w:color w:val="000000"/>
                <w:sz w:val="22"/>
              </w:rPr>
              <w:t>Chambre des Députés</w:t>
            </w:r>
          </w:p>
        </w:tc>
        <w:tc>
          <w:tcPr>
            <w:tcW w:w="1660" w:type="dxa"/>
            <w:shd w:val="clear" w:color="auto" w:fill="auto"/>
            <w:vAlign w:val="center"/>
          </w:tcPr>
          <w:p>
            <w:pPr>
              <w:jc w:val="center"/>
              <w:rPr>
                <w:noProof/>
                <w:color w:val="000000"/>
                <w:sz w:val="22"/>
                <w:szCs w:val="22"/>
              </w:rPr>
            </w:pPr>
            <w:r>
              <w:rPr>
                <w:noProof/>
                <w:color w:val="000000"/>
                <w:sz w:val="22"/>
              </w:rPr>
              <w:t>1</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Malte</w:t>
            </w:r>
          </w:p>
        </w:tc>
        <w:tc>
          <w:tcPr>
            <w:tcW w:w="3609" w:type="dxa"/>
            <w:shd w:val="clear" w:color="auto" w:fill="auto"/>
            <w:vAlign w:val="center"/>
          </w:tcPr>
          <w:p>
            <w:pPr>
              <w:jc w:val="center"/>
              <w:rPr>
                <w:i/>
                <w:iCs/>
                <w:noProof/>
                <w:color w:val="000000"/>
                <w:sz w:val="22"/>
                <w:szCs w:val="22"/>
              </w:rPr>
            </w:pPr>
            <w:r>
              <w:rPr>
                <w:i/>
                <w:noProof/>
                <w:color w:val="000000"/>
                <w:sz w:val="22"/>
              </w:rPr>
              <w:t>Kamra tad-Deputati</w:t>
            </w:r>
          </w:p>
        </w:tc>
        <w:tc>
          <w:tcPr>
            <w:tcW w:w="1660" w:type="dxa"/>
            <w:shd w:val="clear" w:color="auto" w:fill="auto"/>
            <w:vAlign w:val="center"/>
          </w:tcPr>
          <w:p>
            <w:pPr>
              <w:jc w:val="center"/>
              <w:rPr>
                <w:noProof/>
                <w:color w:val="000000"/>
                <w:sz w:val="22"/>
                <w:szCs w:val="22"/>
              </w:rPr>
            </w:pPr>
            <w:r>
              <w:rPr>
                <w:noProof/>
                <w:color w:val="000000"/>
                <w:sz w:val="22"/>
              </w:rPr>
              <w:t>1</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Slovénie</w:t>
            </w:r>
          </w:p>
        </w:tc>
        <w:tc>
          <w:tcPr>
            <w:tcW w:w="3609" w:type="dxa"/>
            <w:shd w:val="clear" w:color="auto" w:fill="auto"/>
            <w:vAlign w:val="center"/>
          </w:tcPr>
          <w:p>
            <w:pPr>
              <w:jc w:val="center"/>
              <w:rPr>
                <w:i/>
                <w:iCs/>
                <w:noProof/>
                <w:color w:val="000000"/>
                <w:sz w:val="22"/>
                <w:szCs w:val="22"/>
              </w:rPr>
            </w:pPr>
            <w:r>
              <w:rPr>
                <w:i/>
                <w:noProof/>
                <w:color w:val="000000"/>
                <w:sz w:val="22"/>
              </w:rPr>
              <w:t>Državni svet</w:t>
            </w:r>
          </w:p>
        </w:tc>
        <w:tc>
          <w:tcPr>
            <w:tcW w:w="1660" w:type="dxa"/>
            <w:shd w:val="clear" w:color="auto" w:fill="auto"/>
            <w:vAlign w:val="center"/>
          </w:tcPr>
          <w:p>
            <w:pPr>
              <w:jc w:val="center"/>
              <w:rPr>
                <w:noProof/>
                <w:color w:val="000000"/>
                <w:sz w:val="22"/>
                <w:szCs w:val="22"/>
              </w:rPr>
            </w:pPr>
            <w:r>
              <w:rPr>
                <w:noProof/>
                <w:color w:val="000000"/>
                <w:sz w:val="22"/>
              </w:rPr>
              <w:t>1</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Estonie</w:t>
            </w:r>
          </w:p>
        </w:tc>
        <w:tc>
          <w:tcPr>
            <w:tcW w:w="3609" w:type="dxa"/>
            <w:shd w:val="clear" w:color="auto" w:fill="auto"/>
            <w:vAlign w:val="center"/>
          </w:tcPr>
          <w:p>
            <w:pPr>
              <w:jc w:val="center"/>
              <w:rPr>
                <w:i/>
                <w:iCs/>
                <w:noProof/>
                <w:color w:val="000000"/>
                <w:sz w:val="22"/>
                <w:szCs w:val="22"/>
              </w:rPr>
            </w:pPr>
            <w:r>
              <w:rPr>
                <w:i/>
                <w:noProof/>
                <w:color w:val="000000"/>
                <w:sz w:val="22"/>
              </w:rPr>
              <w:t>Riigikogu</w:t>
            </w:r>
          </w:p>
        </w:tc>
        <w:tc>
          <w:tcPr>
            <w:tcW w:w="1660" w:type="dxa"/>
            <w:shd w:val="clear" w:color="auto" w:fill="auto"/>
            <w:vAlign w:val="center"/>
          </w:tcPr>
          <w:p>
            <w:pPr>
              <w:jc w:val="center"/>
              <w:rPr>
                <w:noProof/>
                <w:color w:val="000000"/>
                <w:sz w:val="22"/>
                <w:szCs w:val="22"/>
              </w:rPr>
            </w:pPr>
            <w:r>
              <w:rPr>
                <w:noProof/>
                <w:color w:val="000000"/>
                <w:sz w:val="22"/>
              </w:rPr>
              <w:t>0</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Finlande</w:t>
            </w:r>
          </w:p>
        </w:tc>
        <w:tc>
          <w:tcPr>
            <w:tcW w:w="3609" w:type="dxa"/>
            <w:shd w:val="clear" w:color="auto" w:fill="auto"/>
            <w:vAlign w:val="center"/>
          </w:tcPr>
          <w:p>
            <w:pPr>
              <w:jc w:val="center"/>
              <w:rPr>
                <w:i/>
                <w:iCs/>
                <w:noProof/>
                <w:color w:val="000000"/>
                <w:sz w:val="22"/>
                <w:szCs w:val="22"/>
              </w:rPr>
            </w:pPr>
            <w:r>
              <w:rPr>
                <w:i/>
                <w:noProof/>
                <w:color w:val="000000"/>
                <w:sz w:val="22"/>
              </w:rPr>
              <w:t>Eduskunta</w:t>
            </w:r>
          </w:p>
        </w:tc>
        <w:tc>
          <w:tcPr>
            <w:tcW w:w="1660" w:type="dxa"/>
            <w:shd w:val="clear" w:color="auto" w:fill="auto"/>
            <w:vAlign w:val="center"/>
          </w:tcPr>
          <w:p>
            <w:pPr>
              <w:jc w:val="center"/>
              <w:rPr>
                <w:noProof/>
                <w:color w:val="000000"/>
                <w:sz w:val="22"/>
                <w:szCs w:val="22"/>
              </w:rPr>
            </w:pPr>
            <w:r>
              <w:rPr>
                <w:noProof/>
                <w:color w:val="000000"/>
                <w:sz w:val="22"/>
              </w:rPr>
              <w:t>0</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Lettonie</w:t>
            </w:r>
          </w:p>
        </w:tc>
        <w:tc>
          <w:tcPr>
            <w:tcW w:w="3609" w:type="dxa"/>
            <w:shd w:val="clear" w:color="auto" w:fill="auto"/>
            <w:vAlign w:val="center"/>
          </w:tcPr>
          <w:p>
            <w:pPr>
              <w:jc w:val="center"/>
              <w:rPr>
                <w:i/>
                <w:iCs/>
                <w:noProof/>
                <w:color w:val="000000"/>
                <w:sz w:val="22"/>
                <w:szCs w:val="22"/>
              </w:rPr>
            </w:pPr>
            <w:r>
              <w:rPr>
                <w:i/>
                <w:noProof/>
                <w:color w:val="000000"/>
                <w:sz w:val="22"/>
              </w:rPr>
              <w:t>Saeima</w:t>
            </w:r>
          </w:p>
        </w:tc>
        <w:tc>
          <w:tcPr>
            <w:tcW w:w="1660" w:type="dxa"/>
            <w:shd w:val="clear" w:color="auto" w:fill="auto"/>
            <w:vAlign w:val="center"/>
          </w:tcPr>
          <w:p>
            <w:pPr>
              <w:jc w:val="center"/>
              <w:rPr>
                <w:noProof/>
                <w:color w:val="000000"/>
                <w:sz w:val="22"/>
                <w:szCs w:val="22"/>
              </w:rPr>
            </w:pPr>
            <w:r>
              <w:rPr>
                <w:noProof/>
                <w:color w:val="000000"/>
                <w:sz w:val="22"/>
              </w:rPr>
              <w:t>0</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1909" w:type="dxa"/>
            <w:shd w:val="clear" w:color="auto" w:fill="auto"/>
            <w:vAlign w:val="center"/>
          </w:tcPr>
          <w:p>
            <w:pPr>
              <w:jc w:val="center"/>
              <w:rPr>
                <w:noProof/>
                <w:color w:val="000000"/>
                <w:sz w:val="22"/>
                <w:szCs w:val="22"/>
              </w:rPr>
            </w:pPr>
            <w:r>
              <w:rPr>
                <w:noProof/>
                <w:color w:val="000000"/>
                <w:sz w:val="22"/>
              </w:rPr>
              <w:t>Slovénie</w:t>
            </w:r>
          </w:p>
        </w:tc>
        <w:tc>
          <w:tcPr>
            <w:tcW w:w="3609" w:type="dxa"/>
            <w:shd w:val="clear" w:color="auto" w:fill="auto"/>
            <w:vAlign w:val="center"/>
          </w:tcPr>
          <w:p>
            <w:pPr>
              <w:jc w:val="center"/>
              <w:rPr>
                <w:i/>
                <w:iCs/>
                <w:noProof/>
                <w:color w:val="000000"/>
                <w:sz w:val="22"/>
                <w:szCs w:val="22"/>
              </w:rPr>
            </w:pPr>
            <w:r>
              <w:rPr>
                <w:i/>
                <w:noProof/>
                <w:color w:val="000000"/>
                <w:sz w:val="22"/>
              </w:rPr>
              <w:t>Državni zbor</w:t>
            </w:r>
          </w:p>
        </w:tc>
        <w:tc>
          <w:tcPr>
            <w:tcW w:w="1660" w:type="dxa"/>
            <w:shd w:val="clear" w:color="auto" w:fill="auto"/>
            <w:vAlign w:val="center"/>
          </w:tcPr>
          <w:p>
            <w:pPr>
              <w:jc w:val="center"/>
              <w:rPr>
                <w:noProof/>
                <w:color w:val="000000"/>
                <w:sz w:val="22"/>
                <w:szCs w:val="22"/>
              </w:rPr>
            </w:pPr>
            <w:r>
              <w:rPr>
                <w:noProof/>
                <w:color w:val="000000"/>
                <w:sz w:val="22"/>
              </w:rPr>
              <w:t>0</w:t>
            </w:r>
          </w:p>
        </w:tc>
        <w:tc>
          <w:tcPr>
            <w:tcW w:w="2364" w:type="dxa"/>
            <w:shd w:val="clear" w:color="auto" w:fill="auto"/>
            <w:vAlign w:val="center"/>
          </w:tcPr>
          <w:p>
            <w:pPr>
              <w:jc w:val="center"/>
              <w:rPr>
                <w:noProof/>
                <w:color w:val="000000"/>
                <w:sz w:val="22"/>
                <w:szCs w:val="22"/>
              </w:rPr>
            </w:pPr>
            <w:r>
              <w:rPr>
                <w:noProof/>
                <w:color w:val="000000"/>
                <w:sz w:val="22"/>
              </w:rPr>
              <w:t>0</w:t>
            </w:r>
          </w:p>
        </w:tc>
      </w:tr>
      <w:tr>
        <w:trPr>
          <w:cantSplit/>
        </w:trPr>
        <w:tc>
          <w:tcPr>
            <w:tcW w:w="5518" w:type="dxa"/>
            <w:gridSpan w:val="2"/>
            <w:shd w:val="clear" w:color="auto" w:fill="auto"/>
            <w:vAlign w:val="center"/>
          </w:tcPr>
          <w:p>
            <w:pPr>
              <w:jc w:val="center"/>
              <w:rPr>
                <w:b/>
                <w:noProof/>
                <w:sz w:val="22"/>
                <w:szCs w:val="22"/>
              </w:rPr>
            </w:pPr>
            <w:r>
              <w:rPr>
                <w:b/>
                <w:noProof/>
                <w:sz w:val="22"/>
              </w:rPr>
              <w:t>TOTAL</w:t>
            </w:r>
          </w:p>
        </w:tc>
        <w:tc>
          <w:tcPr>
            <w:tcW w:w="1660" w:type="dxa"/>
            <w:shd w:val="clear" w:color="auto" w:fill="auto"/>
          </w:tcPr>
          <w:p>
            <w:pPr>
              <w:jc w:val="center"/>
              <w:rPr>
                <w:b/>
                <w:noProof/>
                <w:sz w:val="22"/>
                <w:szCs w:val="22"/>
              </w:rPr>
            </w:pPr>
            <w:r>
              <w:rPr>
                <w:b/>
                <w:noProof/>
                <w:sz w:val="22"/>
              </w:rPr>
              <w:t>576</w:t>
            </w:r>
          </w:p>
        </w:tc>
        <w:tc>
          <w:tcPr>
            <w:tcW w:w="2364" w:type="dxa"/>
            <w:shd w:val="clear" w:color="auto" w:fill="auto"/>
          </w:tcPr>
          <w:p>
            <w:pPr>
              <w:jc w:val="center"/>
              <w:rPr>
                <w:b/>
                <w:noProof/>
                <w:sz w:val="22"/>
                <w:szCs w:val="22"/>
              </w:rPr>
            </w:pPr>
            <w:r>
              <w:rPr>
                <w:b/>
                <w:noProof/>
                <w:sz w:val="22"/>
              </w:rPr>
              <w:t>52</w:t>
            </w:r>
          </w:p>
        </w:tc>
      </w:tr>
    </w:tbl>
    <w:p>
      <w:pPr>
        <w:rPr>
          <w:b/>
          <w:noProof/>
          <w:u w:val="single"/>
        </w:rPr>
      </w:pPr>
    </w:p>
    <w:p>
      <w:pPr>
        <w:jc w:val="left"/>
        <w:rPr>
          <w:b/>
          <w:noProof/>
          <w:u w:val="single"/>
        </w:rPr>
      </w:pPr>
      <w:r>
        <w:rPr>
          <w:noProof/>
        </w:rPr>
        <w:br w:type="page"/>
      </w:r>
    </w:p>
    <w:p>
      <w:pPr>
        <w:spacing w:after="240"/>
        <w:jc w:val="center"/>
        <w:rPr>
          <w:b/>
          <w:noProof/>
          <w:u w:val="single"/>
        </w:rPr>
      </w:pPr>
      <w:r>
        <w:rPr>
          <w:b/>
          <w:noProof/>
          <w:u w:val="single"/>
        </w:rPr>
        <w:t>ANNEXE 2</w:t>
      </w:r>
    </w:p>
    <w:p>
      <w:pPr>
        <w:spacing w:after="240"/>
        <w:jc w:val="center"/>
        <w:rPr>
          <w:b/>
          <w:noProof/>
        </w:rPr>
      </w:pPr>
      <w:r>
        <w:rPr>
          <w:b/>
          <w:noProof/>
        </w:rPr>
        <w:t>Documents de la Commission à l’origine du plus grand nombre d’avis</w:t>
      </w:r>
      <w:r>
        <w:rPr>
          <w:rStyle w:val="FootnoteReference"/>
          <w:noProof/>
        </w:rPr>
        <w:footnoteReference w:id="4"/>
      </w:r>
      <w:r>
        <w:rPr>
          <w:b/>
          <w:noProof/>
        </w:rPr>
        <w:t xml:space="preserve"> reçus par la Commission en 2017 (dialogue politique et mécanisme de contrôle de la subsidiarité)</w:t>
      </w:r>
    </w:p>
    <w:tbl>
      <w:tblPr>
        <w:tblW w:w="9679" w:type="dxa"/>
        <w:tblInd w:w="-34" w:type="dxa"/>
        <w:tblCellMar>
          <w:top w:w="57" w:type="dxa"/>
          <w:left w:w="57" w:type="dxa"/>
          <w:bottom w:w="57" w:type="dxa"/>
          <w:right w:w="57" w:type="dxa"/>
        </w:tblCellMar>
        <w:tblLook w:val="04A0" w:firstRow="1" w:lastRow="0" w:firstColumn="1" w:lastColumn="0" w:noHBand="0" w:noVBand="1"/>
      </w:tblPr>
      <w:tblGrid>
        <w:gridCol w:w="534"/>
        <w:gridCol w:w="1883"/>
        <w:gridCol w:w="4343"/>
        <w:gridCol w:w="1164"/>
        <w:gridCol w:w="1755"/>
      </w:tblGrid>
      <w:tr>
        <w:trPr>
          <w:cantSplit/>
          <w:tblHeader/>
        </w:trPr>
        <w:tc>
          <w:tcPr>
            <w:tcW w:w="534" w:type="dxa"/>
            <w:tcBorders>
              <w:top w:val="single" w:sz="4" w:space="0" w:color="auto"/>
              <w:left w:val="single" w:sz="4" w:space="0" w:color="auto"/>
              <w:bottom w:val="single" w:sz="4" w:space="0" w:color="auto"/>
            </w:tcBorders>
            <w:shd w:val="clear" w:color="auto" w:fill="auto"/>
            <w:noWrap/>
            <w:vAlign w:val="center"/>
            <w:hideMark/>
          </w:tcPr>
          <w:p>
            <w:pPr>
              <w:jc w:val="center"/>
              <w:rPr>
                <w:noProof/>
                <w:color w:val="000000"/>
                <w:sz w:val="22"/>
                <w:szCs w:val="22"/>
              </w:rPr>
            </w:pPr>
          </w:p>
        </w:tc>
        <w:tc>
          <w:tcPr>
            <w:tcW w:w="1883" w:type="dxa"/>
            <w:tcBorders>
              <w:top w:val="single" w:sz="4" w:space="0" w:color="auto"/>
              <w:bottom w:val="single" w:sz="4" w:space="0" w:color="auto"/>
              <w:right w:val="single" w:sz="4" w:space="0" w:color="auto"/>
            </w:tcBorders>
            <w:shd w:val="clear" w:color="auto" w:fill="auto"/>
            <w:vAlign w:val="center"/>
            <w:hideMark/>
          </w:tcPr>
          <w:p>
            <w:pPr>
              <w:jc w:val="center"/>
              <w:rPr>
                <w:b/>
                <w:bCs/>
                <w:noProof/>
                <w:color w:val="000000"/>
                <w:sz w:val="22"/>
                <w:szCs w:val="22"/>
              </w:rPr>
            </w:pPr>
            <w:r>
              <w:rPr>
                <w:b/>
                <w:noProof/>
                <w:color w:val="000000"/>
                <w:sz w:val="22"/>
              </w:rPr>
              <w:t xml:space="preserve">Document de </w:t>
            </w:r>
            <w:r>
              <w:rPr>
                <w:b/>
                <w:bCs/>
                <w:noProof/>
                <w:color w:val="000000"/>
                <w:sz w:val="22"/>
                <w:szCs w:val="22"/>
              </w:rPr>
              <w:br/>
            </w:r>
            <w:r>
              <w:rPr>
                <w:b/>
                <w:noProof/>
                <w:color w:val="000000"/>
                <w:sz w:val="22"/>
              </w:rPr>
              <w:t>la Commission</w:t>
            </w:r>
          </w:p>
        </w:tc>
        <w:tc>
          <w:tcPr>
            <w:tcW w:w="4343" w:type="dxa"/>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rPr>
            </w:pPr>
            <w:r>
              <w:rPr>
                <w:b/>
                <w:noProof/>
                <w:color w:val="000000"/>
                <w:sz w:val="22"/>
              </w:rPr>
              <w:t>Intitulé</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rPr>
            </w:pPr>
            <w:r>
              <w:rPr>
                <w:b/>
                <w:noProof/>
                <w:color w:val="000000"/>
                <w:sz w:val="22"/>
              </w:rPr>
              <w:t>Nombre</w:t>
            </w:r>
            <w:r>
              <w:rPr>
                <w:b/>
                <w:bCs/>
                <w:noProof/>
                <w:color w:val="000000"/>
                <w:sz w:val="22"/>
                <w:szCs w:val="22"/>
              </w:rPr>
              <w:br/>
            </w:r>
            <w:r>
              <w:rPr>
                <w:b/>
                <w:noProof/>
                <w:color w:val="000000"/>
                <w:sz w:val="22"/>
              </w:rPr>
              <w:t>total</w:t>
            </w:r>
            <w:r>
              <w:rPr>
                <w:b/>
                <w:bCs/>
                <w:noProof/>
                <w:color w:val="000000"/>
                <w:sz w:val="22"/>
                <w:szCs w:val="22"/>
              </w:rPr>
              <w:br/>
            </w:r>
            <w:r>
              <w:rPr>
                <w:b/>
                <w:noProof/>
                <w:color w:val="000000"/>
                <w:sz w:val="22"/>
              </w:rPr>
              <w:t>d’</w:t>
            </w:r>
            <w:r>
              <w:rPr>
                <w:b/>
                <w:bCs/>
                <w:noProof/>
                <w:color w:val="000000"/>
                <w:sz w:val="22"/>
                <w:szCs w:val="22"/>
              </w:rPr>
              <w:br/>
            </w:r>
            <w:r>
              <w:rPr>
                <w:b/>
                <w:noProof/>
                <w:color w:val="000000"/>
                <w:sz w:val="22"/>
              </w:rPr>
              <w:t>avis</w:t>
            </w:r>
            <w:r>
              <w:rPr>
                <w:rStyle w:val="FootnoteReference"/>
                <w:b/>
                <w:noProof/>
                <w:color w:val="000000"/>
                <w:sz w:val="22"/>
              </w:rPr>
              <w:footnoteReference w:id="5"/>
            </w:r>
          </w:p>
        </w:tc>
        <w:tc>
          <w:tcPr>
            <w:tcW w:w="1755" w:type="dxa"/>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rPr>
            </w:pPr>
            <w:r>
              <w:rPr>
                <w:b/>
                <w:noProof/>
                <w:color w:val="000000"/>
                <w:sz w:val="22"/>
              </w:rPr>
              <w:t>Dont</w:t>
            </w:r>
            <w:r>
              <w:rPr>
                <w:b/>
                <w:bCs/>
                <w:noProof/>
                <w:color w:val="000000"/>
                <w:sz w:val="22"/>
                <w:szCs w:val="22"/>
              </w:rPr>
              <w:br/>
            </w:r>
            <w:r>
              <w:rPr>
                <w:b/>
                <w:noProof/>
                <w:color w:val="000000"/>
                <w:sz w:val="22"/>
              </w:rPr>
              <w:t>avis</w:t>
            </w:r>
            <w:r>
              <w:rPr>
                <w:b/>
                <w:bCs/>
                <w:noProof/>
                <w:color w:val="000000"/>
                <w:sz w:val="22"/>
                <w:szCs w:val="22"/>
              </w:rPr>
              <w:br/>
            </w:r>
            <w:r>
              <w:rPr>
                <w:b/>
                <w:noProof/>
                <w:color w:val="000000"/>
                <w:sz w:val="22"/>
              </w:rPr>
              <w:t>motivés</w:t>
            </w:r>
            <w:r>
              <w:rPr>
                <w:b/>
                <w:bCs/>
                <w:noProof/>
                <w:color w:val="000000"/>
                <w:sz w:val="22"/>
                <w:szCs w:val="22"/>
              </w:rPr>
              <w:br/>
            </w:r>
            <w:r>
              <w:rPr>
                <w:b/>
                <w:noProof/>
                <w:color w:val="000000"/>
                <w:sz w:val="22"/>
              </w:rPr>
              <w:t>(protocole nº 2)</w:t>
            </w:r>
            <w:r>
              <w:rPr>
                <w:rStyle w:val="FootnoteReference"/>
                <w:b/>
                <w:noProof/>
                <w:color w:val="000000"/>
                <w:sz w:val="22"/>
              </w:rPr>
              <w:footnoteReference w:id="6"/>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1</w:t>
            </w:r>
          </w:p>
        </w:tc>
        <w:tc>
          <w:tcPr>
            <w:tcW w:w="1883" w:type="dxa"/>
            <w:tcBorders>
              <w:top w:val="single" w:sz="4" w:space="0" w:color="auto"/>
              <w:left w:val="nil"/>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COM(2016) 861</w:t>
            </w:r>
          </w:p>
        </w:tc>
        <w:tc>
          <w:tcPr>
            <w:tcW w:w="4343" w:type="dxa"/>
            <w:tcBorders>
              <w:top w:val="single" w:sz="4" w:space="0" w:color="auto"/>
              <w:left w:val="nil"/>
              <w:bottom w:val="single" w:sz="4" w:space="0" w:color="auto"/>
              <w:right w:val="single" w:sz="4" w:space="0" w:color="auto"/>
            </w:tcBorders>
            <w:shd w:val="clear" w:color="auto" w:fill="auto"/>
            <w:hideMark/>
          </w:tcPr>
          <w:p>
            <w:pPr>
              <w:jc w:val="left"/>
              <w:rPr>
                <w:noProof/>
                <w:color w:val="000000"/>
                <w:sz w:val="22"/>
                <w:szCs w:val="22"/>
              </w:rPr>
            </w:pPr>
            <w:r>
              <w:rPr>
                <w:noProof/>
                <w:color w:val="000000"/>
                <w:sz w:val="22"/>
              </w:rPr>
              <w:t xml:space="preserve">Proposition de règlement du Parlement européen et du Conseil sur le </w:t>
            </w:r>
            <w:r>
              <w:rPr>
                <w:b/>
                <w:noProof/>
                <w:color w:val="000000"/>
                <w:sz w:val="22"/>
              </w:rPr>
              <w:t>marché intérieur de l’électricité</w:t>
            </w:r>
            <w:r>
              <w:rPr>
                <w:noProof/>
                <w:color w:val="000000"/>
                <w:sz w:val="22"/>
              </w:rPr>
              <w:t xml:space="preserve"> (refonte)</w:t>
            </w:r>
          </w:p>
        </w:tc>
        <w:tc>
          <w:tcPr>
            <w:tcW w:w="1164"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rPr>
            </w:pPr>
            <w:r>
              <w:rPr>
                <w:noProof/>
                <w:color w:val="000000"/>
                <w:sz w:val="22"/>
              </w:rPr>
              <w:t>16</w:t>
            </w:r>
            <w:r>
              <w:rPr>
                <w:rStyle w:val="FootnoteReference"/>
                <w:noProof/>
                <w:color w:val="000000"/>
                <w:sz w:val="22"/>
              </w:rPr>
              <w:footnoteReference w:id="7"/>
            </w:r>
          </w:p>
        </w:tc>
        <w:tc>
          <w:tcPr>
            <w:tcW w:w="1755"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rPr>
            </w:pPr>
            <w:r>
              <w:rPr>
                <w:noProof/>
                <w:color w:val="000000"/>
                <w:sz w:val="22"/>
              </w:rPr>
              <w:t>11</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2</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COM(2017) 253</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noProof/>
                <w:color w:val="000000"/>
                <w:sz w:val="22"/>
              </w:rPr>
              <w:t xml:space="preserve">Proposition de directive du Parlement européen et du Conseil concernant </w:t>
            </w:r>
            <w:r>
              <w:rPr>
                <w:b/>
                <w:noProof/>
                <w:color w:val="000000"/>
                <w:sz w:val="22"/>
              </w:rPr>
              <w:t>l’équilibre entre vie professionnelle et vie privée des parents et aidants</w:t>
            </w:r>
            <w:r>
              <w:rPr>
                <w:noProof/>
                <w:color w:val="000000"/>
                <w:sz w:val="22"/>
              </w:rPr>
              <w:t xml:space="preserve"> et abrogeant la directive 2010/18/UE du Conseil</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10</w:t>
            </w:r>
            <w:r>
              <w:rPr>
                <w:rStyle w:val="FootnoteReference"/>
                <w:noProof/>
                <w:color w:val="000000"/>
                <w:sz w:val="22"/>
              </w:rPr>
              <w:footnoteReference w:id="8"/>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4</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3</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COM(2016) 864</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noProof/>
                <w:color w:val="000000"/>
                <w:sz w:val="22"/>
              </w:rPr>
              <w:t xml:space="preserve">Proposition de directive du Parlement européen et du Conseil concernant des </w:t>
            </w:r>
            <w:r>
              <w:rPr>
                <w:b/>
                <w:noProof/>
                <w:color w:val="000000"/>
                <w:sz w:val="22"/>
              </w:rPr>
              <w:t>règles communes pour le</w:t>
            </w:r>
            <w:r>
              <w:rPr>
                <w:noProof/>
                <w:color w:val="000000"/>
                <w:sz w:val="22"/>
              </w:rPr>
              <w:t xml:space="preserve"> </w:t>
            </w:r>
            <w:r>
              <w:rPr>
                <w:b/>
                <w:noProof/>
                <w:color w:val="000000"/>
                <w:sz w:val="22"/>
              </w:rPr>
              <w:t>marché intérieur de l’électricité</w:t>
            </w:r>
            <w:r>
              <w:rPr>
                <w:noProof/>
                <w:color w:val="000000"/>
                <w:sz w:val="22"/>
              </w:rPr>
              <w:t xml:space="preserve"> (refonte)</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10</w:t>
            </w:r>
            <w:r>
              <w:rPr>
                <w:rStyle w:val="FootnoteReference"/>
                <w:noProof/>
                <w:color w:val="000000"/>
                <w:sz w:val="22"/>
              </w:rPr>
              <w:footnoteReference w:id="9"/>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3</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4</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COM(2016) 767</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noProof/>
                <w:color w:val="000000"/>
                <w:sz w:val="22"/>
              </w:rPr>
              <w:t xml:space="preserve">Proposition de directive du Parlement européen et du Conseil relative à la </w:t>
            </w:r>
            <w:r>
              <w:rPr>
                <w:b/>
                <w:noProof/>
                <w:color w:val="000000"/>
                <w:sz w:val="22"/>
              </w:rPr>
              <w:t>promotion de l’utilisation de l’énergie produite à partir de sources renouvelables</w:t>
            </w:r>
            <w:r>
              <w:rPr>
                <w:noProof/>
                <w:color w:val="000000"/>
                <w:sz w:val="22"/>
              </w:rPr>
              <w:t xml:space="preserve"> (refonte)</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10</w:t>
            </w:r>
            <w:r>
              <w:rPr>
                <w:rStyle w:val="FootnoteReference"/>
                <w:noProof/>
                <w:color w:val="000000"/>
                <w:sz w:val="22"/>
              </w:rPr>
              <w:footnoteReference w:id="10"/>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5</w:t>
            </w:r>
          </w:p>
        </w:tc>
        <w:tc>
          <w:tcPr>
            <w:tcW w:w="1883" w:type="dxa"/>
            <w:tcBorders>
              <w:top w:val="single" w:sz="4" w:space="0" w:color="auto"/>
              <w:left w:val="nil"/>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COM(2017) 10</w:t>
            </w:r>
          </w:p>
        </w:tc>
        <w:tc>
          <w:tcPr>
            <w:tcW w:w="4343" w:type="dxa"/>
            <w:tcBorders>
              <w:top w:val="single" w:sz="4" w:space="0" w:color="auto"/>
              <w:left w:val="nil"/>
              <w:bottom w:val="single" w:sz="4" w:space="0" w:color="auto"/>
              <w:right w:val="single" w:sz="4" w:space="0" w:color="auto"/>
            </w:tcBorders>
            <w:shd w:val="clear" w:color="auto" w:fill="auto"/>
            <w:hideMark/>
          </w:tcPr>
          <w:p>
            <w:pPr>
              <w:jc w:val="left"/>
              <w:rPr>
                <w:noProof/>
                <w:color w:val="000000"/>
                <w:sz w:val="22"/>
                <w:szCs w:val="22"/>
              </w:rPr>
            </w:pPr>
            <w:r>
              <w:rPr>
                <w:noProof/>
                <w:color w:val="000000"/>
                <w:sz w:val="22"/>
              </w:rPr>
              <w:t xml:space="preserve">Proposition de règlement du Parlement européen et du Conseil concernant le </w:t>
            </w:r>
            <w:r>
              <w:rPr>
                <w:b/>
                <w:noProof/>
                <w:color w:val="000000"/>
                <w:sz w:val="22"/>
              </w:rPr>
              <w:t>respect de la vie privée et la protection des données à caractère personnel dans les communications électroniques</w:t>
            </w:r>
            <w:r>
              <w:rPr>
                <w:noProof/>
                <w:color w:val="000000"/>
                <w:sz w:val="22"/>
              </w:rPr>
              <w:t xml:space="preserve"> et abrogeant la directive 2002/58/CE (règlement «vie privée et communications électroniques»)</w:t>
            </w:r>
          </w:p>
        </w:tc>
        <w:tc>
          <w:tcPr>
            <w:tcW w:w="1164"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rPr>
            </w:pPr>
            <w:r>
              <w:rPr>
                <w:noProof/>
                <w:color w:val="000000"/>
                <w:sz w:val="22"/>
              </w:rPr>
              <w:t>10</w:t>
            </w:r>
            <w:r>
              <w:rPr>
                <w:rStyle w:val="FootnoteReference"/>
                <w:noProof/>
                <w:color w:val="000000"/>
                <w:sz w:val="22"/>
              </w:rPr>
              <w:footnoteReference w:id="11"/>
            </w:r>
          </w:p>
        </w:tc>
        <w:tc>
          <w:tcPr>
            <w:tcW w:w="1755"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rPr>
            </w:pPr>
            <w:r>
              <w:rPr>
                <w:noProof/>
                <w:color w:val="000000"/>
                <w:sz w:val="22"/>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6</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COM(2016) 822</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noProof/>
                <w:color w:val="000000"/>
                <w:sz w:val="22"/>
              </w:rPr>
              <w:t xml:space="preserve">Proposition de directive du Parlement européen et du Conseil relative à un </w:t>
            </w:r>
            <w:r>
              <w:rPr>
                <w:b/>
                <w:noProof/>
                <w:color w:val="000000"/>
                <w:sz w:val="22"/>
              </w:rPr>
              <w:t>contrôle de proportionnalité avant l’adoption d’une nouvelle réglementation des professions</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9</w:t>
            </w:r>
            <w:r>
              <w:rPr>
                <w:rStyle w:val="FootnoteReference"/>
                <w:noProof/>
                <w:color w:val="000000"/>
                <w:sz w:val="22"/>
              </w:rPr>
              <w:footnoteReference w:id="12"/>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5</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7</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COM(2016) 863</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noProof/>
                <w:color w:val="000000"/>
                <w:sz w:val="22"/>
              </w:rPr>
              <w:t xml:space="preserve">Proposition de règlement du Parlement européen et du Conseil instituant une </w:t>
            </w:r>
            <w:r>
              <w:rPr>
                <w:b/>
                <w:noProof/>
                <w:color w:val="000000"/>
                <w:sz w:val="22"/>
              </w:rPr>
              <w:t>Agence de l’Union européenne pour la coopération des régulateurs de l’énergie</w:t>
            </w:r>
            <w:r>
              <w:rPr>
                <w:noProof/>
                <w:color w:val="000000"/>
                <w:sz w:val="22"/>
              </w:rPr>
              <w:t xml:space="preserve"> (refonte)</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9</w:t>
            </w:r>
            <w:r>
              <w:rPr>
                <w:rStyle w:val="FootnoteReference"/>
                <w:noProof/>
                <w:color w:val="000000"/>
                <w:sz w:val="22"/>
              </w:rPr>
              <w:footnoteReference w:id="13"/>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3</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8</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COM(2016) 821</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noProof/>
                <w:color w:val="000000"/>
                <w:sz w:val="22"/>
              </w:rPr>
              <w:t xml:space="preserve">Proposition de directive du Parlement européen et du Conseil sur l’application de la directive 2006/123/CE relative aux services dans le marché intérieur, établissant une </w:t>
            </w:r>
            <w:r>
              <w:rPr>
                <w:b/>
                <w:noProof/>
                <w:color w:val="000000"/>
                <w:sz w:val="22"/>
              </w:rPr>
              <w:t>procédure de notification des régimes d’autorisation et des exigences en matière de services</w:t>
            </w:r>
            <w:r>
              <w:rPr>
                <w:noProof/>
                <w:color w:val="000000"/>
                <w:sz w:val="22"/>
              </w:rPr>
              <w:t xml:space="preserve">, et modifiant la directive 2006/123/CE et le règlement (UE) nº 1024/2012 concernant la </w:t>
            </w:r>
            <w:r>
              <w:rPr>
                <w:b/>
                <w:noProof/>
                <w:color w:val="000000"/>
                <w:sz w:val="22"/>
              </w:rPr>
              <w:t>coopération administrative par l’intermédiaire du système d’information du marché intérieur</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8</w:t>
            </w:r>
            <w:r>
              <w:rPr>
                <w:rStyle w:val="FootnoteReference"/>
                <w:noProof/>
                <w:color w:val="000000"/>
                <w:sz w:val="22"/>
              </w:rPr>
              <w:footnoteReference w:id="14"/>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4</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9</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COM(2016) 815</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noProof/>
                <w:color w:val="000000"/>
                <w:sz w:val="22"/>
              </w:rPr>
              <w:t xml:space="preserve">Proposition de règlement du Parlement européen et du Conseil modifiant le règlement (CE) nº 883/2004 sur la </w:t>
            </w:r>
            <w:r>
              <w:rPr>
                <w:b/>
                <w:noProof/>
                <w:color w:val="000000"/>
                <w:sz w:val="22"/>
              </w:rPr>
              <w:t>coordination des systèmes de sécurité sociale</w:t>
            </w:r>
            <w:r>
              <w:rPr>
                <w:noProof/>
                <w:color w:val="000000"/>
                <w:sz w:val="22"/>
              </w:rPr>
              <w:t xml:space="preserve"> et le règlement (CE) nº 987/2009 fixant les modalités d’application du règlement (CE) nº 883/2004</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8</w:t>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1</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10</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COM(2016) 710</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b/>
                <w:noProof/>
              </w:rPr>
              <w:t>Programme de travail de la Commission pour 2017:</w:t>
            </w:r>
            <w:r>
              <w:rPr>
                <w:noProof/>
                <w:color w:val="000000"/>
                <w:sz w:val="22"/>
              </w:rPr>
              <w:t xml:space="preserve"> Répondre aux attentes – Pour une Europe qui protège, donne les moyens d’agir et défend</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8</w:t>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11</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COM(2016) 765</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noProof/>
                <w:color w:val="000000"/>
                <w:sz w:val="22"/>
              </w:rPr>
              <w:t xml:space="preserve">Proposition de directive du Parlement européen et du Conseil modifiant la directive 2010/31/UE sur la </w:t>
            </w:r>
            <w:r>
              <w:rPr>
                <w:b/>
                <w:noProof/>
                <w:color w:val="000000"/>
                <w:sz w:val="22"/>
              </w:rPr>
              <w:t>performance énergétique des bâtiments</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7</w:t>
            </w:r>
            <w:r>
              <w:rPr>
                <w:rStyle w:val="FootnoteReference"/>
                <w:noProof/>
                <w:color w:val="000000"/>
                <w:sz w:val="22"/>
              </w:rPr>
              <w:footnoteReference w:id="15"/>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2</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12</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COM(2016) 723</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noProof/>
                <w:color w:val="000000"/>
                <w:sz w:val="22"/>
              </w:rPr>
              <w:t xml:space="preserve">Proposition de directive du Parlement européen et du Conseil relative aux </w:t>
            </w:r>
            <w:r>
              <w:rPr>
                <w:b/>
                <w:noProof/>
                <w:color w:val="000000"/>
                <w:sz w:val="22"/>
              </w:rPr>
              <w:t>cadres de restructuration préventifs, à la seconde chance et aux mesures à prendre pour augmenter l’efficience des procédures de restructuration, d’insolvabilité et d’apurement</w:t>
            </w:r>
            <w:r>
              <w:rPr>
                <w:noProof/>
                <w:color w:val="000000"/>
                <w:sz w:val="22"/>
              </w:rPr>
              <w:t xml:space="preserve"> et modifiant la directive 2012/30/UE</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7</w:t>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2</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13</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COM(2016) 759</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noProof/>
                <w:color w:val="000000"/>
                <w:sz w:val="22"/>
              </w:rPr>
              <w:t xml:space="preserve">Proposition de règlement du Parlement européen et du Conseil sur la </w:t>
            </w:r>
            <w:r>
              <w:rPr>
                <w:b/>
                <w:noProof/>
                <w:color w:val="000000"/>
                <w:sz w:val="22"/>
              </w:rPr>
              <w:t>gouvernance de l’union de l’énergie</w:t>
            </w:r>
            <w:r>
              <w:rPr>
                <w:noProof/>
                <w:color w:val="000000"/>
                <w:sz w:val="22"/>
              </w:rPr>
              <w:t>, modifiant la directive 94/22/CE, la directive 98/70/CE, la directive 2009/31/CE, le règlement (CE) no 663/2009, le règlement (CE) no 715/2009, la directive 2009/73/CE, la directive 2009/119/CE du Conseil, la directive 2010/31/UE, la directive 2012/27/UE, la directive 2013/30/UE et la directive (UE) 2015/652 du Conseil, et abrogeant le règlement (UE) no 525/2013.</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7</w:t>
            </w:r>
            <w:r>
              <w:rPr>
                <w:rStyle w:val="FootnoteReference"/>
                <w:noProof/>
                <w:color w:val="000000"/>
                <w:sz w:val="22"/>
              </w:rPr>
              <w:footnoteReference w:id="16"/>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rPr>
              <w:t>14</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rPr>
              <w:t>COM(2017) 277</w:t>
            </w:r>
          </w:p>
        </w:tc>
        <w:tc>
          <w:tcPr>
            <w:tcW w:w="4343" w:type="dxa"/>
            <w:tcBorders>
              <w:top w:val="single" w:sz="4" w:space="0" w:color="auto"/>
              <w:left w:val="nil"/>
              <w:bottom w:val="single" w:sz="4" w:space="0" w:color="auto"/>
              <w:right w:val="single" w:sz="4" w:space="0" w:color="auto"/>
            </w:tcBorders>
            <w:shd w:val="clear" w:color="auto" w:fill="auto"/>
          </w:tcPr>
          <w:p>
            <w:pPr>
              <w:jc w:val="left"/>
              <w:rPr>
                <w:noProof/>
                <w:color w:val="000000"/>
                <w:sz w:val="22"/>
                <w:szCs w:val="22"/>
              </w:rPr>
            </w:pPr>
            <w:r>
              <w:rPr>
                <w:noProof/>
                <w:color w:val="000000"/>
                <w:sz w:val="22"/>
              </w:rPr>
              <w:t xml:space="preserve">Proposition de règlement du Parlement européen et du Conseil modifiant le règlement (CE) nº 561/2006 en ce qui concerne les </w:t>
            </w:r>
            <w:r>
              <w:rPr>
                <w:b/>
                <w:noProof/>
                <w:color w:val="000000"/>
                <w:sz w:val="22"/>
              </w:rPr>
              <w:t>exigences minimales relatives aux durées maximales de conduite journalière et hebdomadaire</w:t>
            </w:r>
            <w:r>
              <w:rPr>
                <w:noProof/>
                <w:color w:val="000000"/>
                <w:sz w:val="22"/>
              </w:rPr>
              <w:t xml:space="preserve"> et à la durée minimale des pauses et des temps de repos journalier et hebdomadaire, et le règlement (UE) nº 165/2014 en ce qui concerne la localisation au moyen de </w:t>
            </w:r>
            <w:r>
              <w:rPr>
                <w:b/>
                <w:noProof/>
                <w:color w:val="000000"/>
                <w:sz w:val="22"/>
              </w:rPr>
              <w:t>tachygraphes</w:t>
            </w:r>
            <w:r>
              <w:rPr>
                <w:noProof/>
                <w:color w:val="000000"/>
                <w:sz w:val="22"/>
              </w:rPr>
              <w:t>.</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7</w:t>
            </w:r>
            <w:r>
              <w:rPr>
                <w:rStyle w:val="FootnoteReference"/>
                <w:noProof/>
                <w:color w:val="000000"/>
                <w:sz w:val="22"/>
              </w:rPr>
              <w:footnoteReference w:id="17"/>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rPr>
              <w:t>0</w:t>
            </w:r>
          </w:p>
        </w:tc>
      </w:tr>
    </w:tbl>
    <w:p>
      <w:pPr>
        <w:rPr>
          <w:b/>
          <w:noProof/>
        </w:rPr>
      </w:pPr>
      <w:r>
        <w:rPr>
          <w:noProof/>
        </w:rPr>
        <w:br w:type="page"/>
      </w:r>
    </w:p>
    <w:p>
      <w:pPr>
        <w:spacing w:after="240"/>
        <w:jc w:val="center"/>
        <w:rPr>
          <w:b/>
          <w:noProof/>
          <w:u w:val="single"/>
        </w:rPr>
      </w:pPr>
      <w:r>
        <w:rPr>
          <w:b/>
          <w:noProof/>
          <w:u w:val="single"/>
        </w:rPr>
        <w:t>ANNEXE 3</w:t>
      </w:r>
    </w:p>
    <w:p>
      <w:pPr>
        <w:spacing w:after="240"/>
        <w:jc w:val="center"/>
        <w:rPr>
          <w:b/>
          <w:noProof/>
        </w:rPr>
      </w:pPr>
      <w:r>
        <w:rPr>
          <w:b/>
          <w:noProof/>
        </w:rPr>
        <w:t>Nombre d’avis reçus par la Commission en 2017 par service chef de file de la Commission (dialogue politique et mécanisme de contrôle de la subsidiarité)</w:t>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7104"/>
        <w:gridCol w:w="2036"/>
      </w:tblGrid>
      <w:tr>
        <w:trPr>
          <w:trHeight w:val="340"/>
        </w:trPr>
        <w:tc>
          <w:tcPr>
            <w:tcW w:w="0" w:type="auto"/>
            <w:vAlign w:val="center"/>
          </w:tcPr>
          <w:p>
            <w:pPr>
              <w:jc w:val="center"/>
              <w:rPr>
                <w:rFonts w:ascii="Times New Roman" w:hAnsi="Times New Roman" w:cs="Times New Roman"/>
                <w:b/>
                <w:noProof/>
                <w:sz w:val="22"/>
              </w:rPr>
            </w:pPr>
            <w:r>
              <w:rPr>
                <w:rFonts w:ascii="Times New Roman" w:hAnsi="Times New Roman"/>
                <w:b/>
                <w:noProof/>
                <w:sz w:val="22"/>
              </w:rPr>
              <w:t>Service chef de file de la Commission</w:t>
            </w:r>
          </w:p>
        </w:tc>
        <w:tc>
          <w:tcPr>
            <w:tcW w:w="2234" w:type="dxa"/>
            <w:vAlign w:val="center"/>
          </w:tcPr>
          <w:p>
            <w:pPr>
              <w:jc w:val="center"/>
              <w:rPr>
                <w:rFonts w:ascii="Times New Roman" w:hAnsi="Times New Roman" w:cs="Times New Roman"/>
                <w:b/>
                <w:noProof/>
                <w:sz w:val="22"/>
              </w:rPr>
            </w:pPr>
            <w:r>
              <w:rPr>
                <w:rFonts w:ascii="Times New Roman" w:hAnsi="Times New Roman"/>
                <w:b/>
                <w:noProof/>
                <w:sz w:val="22"/>
              </w:rPr>
              <w:t>Nombre total</w:t>
            </w:r>
            <w:r>
              <w:rPr>
                <w:rFonts w:ascii="Times New Roman" w:hAnsi="Times New Roman" w:cs="Times New Roman"/>
                <w:b/>
                <w:noProof/>
                <w:sz w:val="22"/>
              </w:rPr>
              <w:br/>
            </w:r>
            <w:r>
              <w:rPr>
                <w:rFonts w:ascii="Times New Roman" w:hAnsi="Times New Roman"/>
                <w:b/>
                <w:noProof/>
                <w:sz w:val="22"/>
              </w:rPr>
              <w:t>d’avis</w:t>
            </w:r>
            <w:r>
              <w:rPr>
                <w:rStyle w:val="FootnoteReference"/>
                <w:rFonts w:ascii="Times New Roman" w:hAnsi="Times New Roman"/>
                <w:noProof/>
                <w:sz w:val="22"/>
              </w:rPr>
              <w:footnoteReference w:id="18"/>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Secrétariat général</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101</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DG Énergie</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65</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DG Marché intérieur, industrie, entrepreneuriat et PME (GROW)</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52</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DG Migration et affaires intérieures</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41</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DG Justice et consommateurs</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38</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DG Mobilité et transports</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36</w:t>
            </w:r>
          </w:p>
        </w:tc>
      </w:tr>
      <w:tr>
        <w:trPr>
          <w:trHeight w:val="340"/>
        </w:trPr>
        <w:tc>
          <w:tcPr>
            <w:tcW w:w="0" w:type="auto"/>
            <w:noWrap/>
          </w:tcPr>
          <w:p>
            <w:pPr>
              <w:rPr>
                <w:rFonts w:ascii="Times New Roman" w:hAnsi="Times New Roman" w:cs="Times New Roman"/>
                <w:noProof/>
                <w:sz w:val="22"/>
              </w:rPr>
            </w:pPr>
            <w:r>
              <w:rPr>
                <w:rFonts w:ascii="Times New Roman" w:hAnsi="Times New Roman"/>
                <w:noProof/>
                <w:sz w:val="22"/>
              </w:rPr>
              <w:t>DG Stabilité financière, services financiers et union des marchés des capitaux (FISMA)</w:t>
            </w:r>
          </w:p>
        </w:tc>
        <w:tc>
          <w:tcPr>
            <w:tcW w:w="2234" w:type="dxa"/>
            <w:noWrap/>
          </w:tcPr>
          <w:p>
            <w:pPr>
              <w:jc w:val="center"/>
              <w:rPr>
                <w:rFonts w:ascii="Times New Roman" w:hAnsi="Times New Roman" w:cs="Times New Roman"/>
                <w:noProof/>
                <w:sz w:val="22"/>
              </w:rPr>
            </w:pPr>
            <w:r>
              <w:rPr>
                <w:rFonts w:ascii="Times New Roman" w:hAnsi="Times New Roman"/>
                <w:noProof/>
                <w:sz w:val="22"/>
              </w:rPr>
              <w:t>33</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DG Réseaux de communication, contenu et technologies</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32</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DG Fiscalité et union douanière</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29</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DG Éducation, jeunesse, sport et culture</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25</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DG Emploi, affaires sociales et inclusion</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22</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DG Agriculture et développement rural</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15</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DG Environnement</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11</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Service européen pour l’action extérieure</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10</w:t>
            </w:r>
            <w:r>
              <w:rPr>
                <w:rStyle w:val="FootnoteReference"/>
                <w:rFonts w:ascii="Times New Roman" w:hAnsi="Times New Roman"/>
                <w:noProof/>
                <w:sz w:val="22"/>
              </w:rPr>
              <w:footnoteReference w:id="19"/>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DG Commerce</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10</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Task-force «article 50»</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9</w:t>
            </w:r>
            <w:r>
              <w:rPr>
                <w:rStyle w:val="FootnoteReference"/>
                <w:rFonts w:ascii="Times New Roman" w:hAnsi="Times New Roman"/>
                <w:noProof/>
                <w:sz w:val="22"/>
              </w:rPr>
              <w:footnoteReference w:id="20"/>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DG Eurostat – Statistiques européennes</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8</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DG Concurrence</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6</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DG Politique régionale et urbaine</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6</w:t>
            </w:r>
          </w:p>
        </w:tc>
      </w:tr>
      <w:tr>
        <w:trPr>
          <w:trHeight w:val="340"/>
        </w:trPr>
        <w:tc>
          <w:tcPr>
            <w:tcW w:w="0" w:type="auto"/>
            <w:noWrap/>
          </w:tcPr>
          <w:p>
            <w:pPr>
              <w:rPr>
                <w:rFonts w:ascii="Times New Roman" w:hAnsi="Times New Roman" w:cs="Times New Roman"/>
                <w:noProof/>
                <w:sz w:val="22"/>
              </w:rPr>
            </w:pPr>
            <w:r>
              <w:rPr>
                <w:rFonts w:ascii="Times New Roman" w:hAnsi="Times New Roman"/>
                <w:noProof/>
                <w:sz w:val="22"/>
              </w:rPr>
              <w:t>DG Budget</w:t>
            </w:r>
          </w:p>
        </w:tc>
        <w:tc>
          <w:tcPr>
            <w:tcW w:w="2234" w:type="dxa"/>
            <w:noWrap/>
          </w:tcPr>
          <w:p>
            <w:pPr>
              <w:jc w:val="center"/>
              <w:rPr>
                <w:rFonts w:ascii="Times New Roman" w:hAnsi="Times New Roman" w:cs="Times New Roman"/>
                <w:noProof/>
                <w:sz w:val="22"/>
              </w:rPr>
            </w:pPr>
            <w:r>
              <w:rPr>
                <w:rFonts w:ascii="Times New Roman" w:hAnsi="Times New Roman"/>
                <w:noProof/>
                <w:sz w:val="22"/>
              </w:rPr>
              <w:t>5</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DG Affaires économiques et financières</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4</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DG Affaires maritimes et pêche</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4</w:t>
            </w:r>
          </w:p>
        </w:tc>
      </w:tr>
      <w:tr>
        <w:trPr>
          <w:trHeight w:val="340"/>
        </w:trPr>
        <w:tc>
          <w:tcPr>
            <w:tcW w:w="0" w:type="auto"/>
            <w:noWrap/>
          </w:tcPr>
          <w:p>
            <w:pPr>
              <w:rPr>
                <w:rFonts w:ascii="Times New Roman" w:hAnsi="Times New Roman" w:cs="Times New Roman"/>
                <w:noProof/>
                <w:sz w:val="22"/>
              </w:rPr>
            </w:pPr>
            <w:r>
              <w:rPr>
                <w:rFonts w:ascii="Times New Roman" w:hAnsi="Times New Roman"/>
                <w:noProof/>
                <w:sz w:val="22"/>
              </w:rPr>
              <w:t>DG Coopération internationale et développement</w:t>
            </w:r>
          </w:p>
        </w:tc>
        <w:tc>
          <w:tcPr>
            <w:tcW w:w="2234" w:type="dxa"/>
            <w:noWrap/>
          </w:tcPr>
          <w:p>
            <w:pPr>
              <w:jc w:val="center"/>
              <w:rPr>
                <w:rFonts w:ascii="Times New Roman" w:hAnsi="Times New Roman" w:cs="Times New Roman"/>
                <w:noProof/>
                <w:sz w:val="22"/>
              </w:rPr>
            </w:pPr>
            <w:r>
              <w:rPr>
                <w:rFonts w:ascii="Times New Roman" w:hAnsi="Times New Roman"/>
                <w:noProof/>
                <w:sz w:val="22"/>
              </w:rPr>
              <w:t>3</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DG Voisinage et négociations d’élargissement</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3</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DG Recherche et innovation (RTD)</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3</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DG Santé et sécurité alimentaire</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3</w:t>
            </w:r>
          </w:p>
        </w:tc>
      </w:tr>
      <w:tr>
        <w:trPr>
          <w:trHeight w:val="340"/>
        </w:trPr>
        <w:tc>
          <w:tcPr>
            <w:tcW w:w="0" w:type="auto"/>
            <w:noWrap/>
            <w:hideMark/>
          </w:tcPr>
          <w:p>
            <w:pPr>
              <w:rPr>
                <w:rFonts w:ascii="Times New Roman" w:hAnsi="Times New Roman" w:cs="Times New Roman"/>
                <w:noProof/>
                <w:sz w:val="22"/>
              </w:rPr>
            </w:pPr>
            <w:r>
              <w:rPr>
                <w:rFonts w:ascii="Times New Roman" w:hAnsi="Times New Roman"/>
                <w:noProof/>
                <w:sz w:val="22"/>
              </w:rPr>
              <w:t>DG Action pour le climat</w:t>
            </w:r>
          </w:p>
        </w:tc>
        <w:tc>
          <w:tcPr>
            <w:tcW w:w="2234" w:type="dxa"/>
            <w:noWrap/>
            <w:hideMark/>
          </w:tcPr>
          <w:p>
            <w:pPr>
              <w:jc w:val="center"/>
              <w:rPr>
                <w:rFonts w:ascii="Times New Roman" w:hAnsi="Times New Roman" w:cs="Times New Roman"/>
                <w:noProof/>
                <w:sz w:val="22"/>
              </w:rPr>
            </w:pPr>
            <w:r>
              <w:rPr>
                <w:rFonts w:ascii="Times New Roman" w:hAnsi="Times New Roman"/>
                <w:noProof/>
                <w:sz w:val="22"/>
              </w:rPr>
              <w:t>2</w:t>
            </w:r>
          </w:p>
        </w:tc>
      </w:tr>
      <w:tr>
        <w:trPr>
          <w:trHeight w:val="340"/>
        </w:trPr>
        <w:tc>
          <w:tcPr>
            <w:tcW w:w="0" w:type="auto"/>
            <w:vAlign w:val="center"/>
          </w:tcPr>
          <w:p>
            <w:pPr>
              <w:rPr>
                <w:rFonts w:ascii="Times New Roman" w:hAnsi="Times New Roman" w:cs="Times New Roman"/>
                <w:noProof/>
                <w:sz w:val="22"/>
              </w:rPr>
            </w:pPr>
            <w:r>
              <w:rPr>
                <w:rFonts w:ascii="Times New Roman" w:hAnsi="Times New Roman"/>
                <w:noProof/>
                <w:sz w:val="22"/>
              </w:rPr>
              <w:t>TOTAL</w:t>
            </w:r>
          </w:p>
        </w:tc>
        <w:tc>
          <w:tcPr>
            <w:tcW w:w="2234" w:type="dxa"/>
            <w:vAlign w:val="center"/>
          </w:tcPr>
          <w:p>
            <w:pPr>
              <w:jc w:val="center"/>
              <w:rPr>
                <w:rFonts w:ascii="Times New Roman" w:hAnsi="Times New Roman" w:cs="Times New Roman"/>
                <w:b/>
                <w:noProof/>
                <w:sz w:val="22"/>
              </w:rPr>
            </w:pPr>
            <w:r>
              <w:rPr>
                <w:rFonts w:ascii="Times New Roman" w:hAnsi="Times New Roman"/>
                <w:b/>
                <w:noProof/>
                <w:sz w:val="22"/>
              </w:rPr>
              <w:t>576</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6" w:h="16838" w:code="9"/>
      <w:pgMar w:top="1134" w:right="1440" w:bottom="1134" w:left="1440" w:header="425"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381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284" w:hanging="284"/>
      </w:pPr>
      <w:r>
        <w:rPr>
          <w:rStyle w:val="FootnoteReference"/>
        </w:rPr>
        <w:footnoteRef/>
      </w:r>
      <w:r>
        <w:t xml:space="preserve"> </w:t>
      </w:r>
      <w:r>
        <w:tab/>
        <w:t>Ce nombre inclut à la fois les avis et les avis motivés reçus des parlements nationaux.</w:t>
      </w:r>
    </w:p>
  </w:footnote>
  <w:footnote w:id="2">
    <w:p>
      <w:pPr>
        <w:pStyle w:val="FootnoteText"/>
        <w:ind w:left="284" w:hanging="284"/>
      </w:pPr>
      <w:r>
        <w:rPr>
          <w:rStyle w:val="FootnoteReference"/>
        </w:rPr>
        <w:footnoteRef/>
      </w:r>
      <w:r>
        <w:t xml:space="preserve"> </w:t>
      </w:r>
      <w:r>
        <w:tab/>
        <w:t>Pour être considéré comme un avis motivé conformément à la définition qui en est donnée dans le protocole nº 2, un avis doit clairement mentionner une violation du principe de subsidiarité et être adressé à la Commission dans un délai de huit semaines à compter de la date de transmission de la proposition législative aux parlements nationaux.</w:t>
      </w:r>
    </w:p>
  </w:footnote>
  <w:footnote w:id="3">
    <w:p>
      <w:pPr>
        <w:pStyle w:val="FootnoteText"/>
        <w:ind w:left="284" w:hanging="284"/>
      </w:pPr>
      <w:r>
        <w:rPr>
          <w:rStyle w:val="FootnoteReference"/>
        </w:rPr>
        <w:footnoteRef/>
      </w:r>
      <w:r>
        <w:t xml:space="preserve">    Comptabilisé comme trente-huit avis conjoints des deux chambres.</w:t>
      </w:r>
    </w:p>
  </w:footnote>
  <w:footnote w:id="4">
    <w:p>
      <w:pPr>
        <w:pStyle w:val="FootnoteText"/>
        <w:tabs>
          <w:tab w:val="left" w:pos="284"/>
        </w:tabs>
        <w:ind w:left="284" w:hanging="284"/>
      </w:pPr>
      <w:r>
        <w:rPr>
          <w:rStyle w:val="FootnoteReference"/>
        </w:rPr>
        <w:footnoteRef/>
      </w:r>
      <w:r>
        <w:t xml:space="preserve"> </w:t>
      </w:r>
      <w:r>
        <w:tab/>
        <w:t>Le tableau classe tous les documents de la Commission pour lesquels au moins sept avis ont été reçus.</w:t>
      </w:r>
    </w:p>
  </w:footnote>
  <w:footnote w:id="5">
    <w:p>
      <w:pPr>
        <w:pStyle w:val="FootnoteText"/>
        <w:ind w:left="284" w:hanging="284"/>
      </w:pPr>
      <w:r>
        <w:rPr>
          <w:rStyle w:val="FootnoteReference"/>
        </w:rPr>
        <w:footnoteRef/>
      </w:r>
      <w:r>
        <w:t xml:space="preserve"> </w:t>
      </w:r>
      <w:r>
        <w:tab/>
        <w:t>Ce nombre inclut à la fois les avis et les avis motivés reçus des parlements nationaux.</w:t>
      </w:r>
    </w:p>
  </w:footnote>
  <w:footnote w:id="6">
    <w:p>
      <w:pPr>
        <w:pStyle w:val="FootnoteText"/>
        <w:ind w:left="284" w:hanging="284"/>
      </w:pPr>
      <w:r>
        <w:rPr>
          <w:rStyle w:val="FootnoteReference"/>
        </w:rPr>
        <w:footnoteRef/>
      </w:r>
      <w:r>
        <w:t xml:space="preserve"> </w:t>
      </w:r>
      <w:r>
        <w:tab/>
        <w:t>Pour être considéré comme un avis motivé conformément à la définition qui en est donnée dans le protocole nº 2, un avis doit clairement mentionner une violation du principe de subsidiarité et être adressé à la Commission dans un délai de huit semaines à compter de la date de transmission de la proposition législative aux parlements nationaux.</w:t>
      </w:r>
    </w:p>
  </w:footnote>
  <w:footnote w:id="7">
    <w:p>
      <w:pPr>
        <w:pStyle w:val="FootnoteText"/>
        <w:ind w:left="284" w:hanging="284"/>
      </w:pPr>
      <w:r>
        <w:rPr>
          <w:rStyle w:val="FootnoteReference"/>
        </w:rPr>
        <w:footnoteRef/>
      </w:r>
      <w:r>
        <w:t xml:space="preserve"> </w:t>
      </w:r>
      <w:r>
        <w:tab/>
        <w:t xml:space="preserve">L’un des avis portant sur ce document de la Commission, envoyé par le </w:t>
      </w:r>
      <w:r>
        <w:rPr>
          <w:i/>
        </w:rPr>
        <w:t>Senát</w:t>
      </w:r>
      <w:r>
        <w:t xml:space="preserve"> tchèque, concernait aussi les documents COM(2016) 864, COM(2016) 862, COM(2016) 863 ainsi que COM(2016) 861. Un avis, envoyé par l’</w:t>
      </w:r>
      <w:r>
        <w:rPr>
          <w:i/>
        </w:rPr>
        <w:t xml:space="preserve">Assembleia da República </w:t>
      </w:r>
      <w:r>
        <w:t xml:space="preserve">portugaise concernait à la fois les documents COM(2016) 864, COM(2016) 863 et COM(2016) 861. </w:t>
      </w:r>
    </w:p>
  </w:footnote>
  <w:footnote w:id="8">
    <w:p>
      <w:pPr>
        <w:pStyle w:val="FootnoteText"/>
        <w:ind w:left="284" w:hanging="284"/>
      </w:pPr>
      <w:r>
        <w:rPr>
          <w:rStyle w:val="FootnoteReference"/>
        </w:rPr>
        <w:footnoteRef/>
      </w:r>
      <w:r>
        <w:t xml:space="preserve"> </w:t>
      </w:r>
      <w:r>
        <w:tab/>
        <w:t>Deux avis, de l’</w:t>
      </w:r>
      <w:r>
        <w:rPr>
          <w:i/>
        </w:rPr>
        <w:t>Assembleia da República</w:t>
      </w:r>
      <w:r>
        <w:t xml:space="preserve"> portugaise et de la </w:t>
      </w:r>
      <w:r>
        <w:rPr>
          <w:i/>
        </w:rPr>
        <w:t xml:space="preserve">Camera Deputaților </w:t>
      </w:r>
      <w:r>
        <w:t xml:space="preserve">roumaine, concernaient à la fois les documents COM(2017) 253 et COM(2017) 252. </w:t>
      </w:r>
    </w:p>
  </w:footnote>
  <w:footnote w:id="9">
    <w:p>
      <w:pPr>
        <w:pStyle w:val="FootnoteText"/>
        <w:ind w:left="284" w:hanging="284"/>
      </w:pPr>
      <w:r>
        <w:rPr>
          <w:rStyle w:val="FootnoteReference"/>
        </w:rPr>
        <w:footnoteRef/>
      </w:r>
      <w:r>
        <w:t xml:space="preserve"> </w:t>
      </w:r>
      <w:r>
        <w:tab/>
        <w:t xml:space="preserve">L’un des avis portant sur ce document de la Commission, envoyé par les </w:t>
      </w:r>
      <w:r>
        <w:rPr>
          <w:i/>
        </w:rPr>
        <w:t>Cortes Generales</w:t>
      </w:r>
      <w:r>
        <w:t xml:space="preserve"> espagnoles, concernait aussi les documents COM(2016) 864 et COM(2016) 767. Un avis du </w:t>
      </w:r>
      <w:r>
        <w:rPr>
          <w:i/>
        </w:rPr>
        <w:t>Senát</w:t>
      </w:r>
      <w:r>
        <w:t xml:space="preserve"> tchèque concernait à la fois les documents COM(2016) 864, COM(2016) 862, COM(2016) 863 et COM(2016) 861. Un avis, envoyé par l’</w:t>
      </w:r>
      <w:r>
        <w:rPr>
          <w:i/>
        </w:rPr>
        <w:t xml:space="preserve">Assembleia da República </w:t>
      </w:r>
      <w:r>
        <w:t>portugaise, concernait à la fois les documents COM(2016) 864, COM(2016) 863 et COM(2016) 861.</w:t>
      </w:r>
    </w:p>
  </w:footnote>
  <w:footnote w:id="10">
    <w:p>
      <w:pPr>
        <w:pStyle w:val="FootnoteText"/>
        <w:ind w:left="284" w:hanging="284"/>
      </w:pPr>
      <w:r>
        <w:rPr>
          <w:rStyle w:val="FootnoteReference"/>
        </w:rPr>
        <w:footnoteRef/>
      </w:r>
      <w:r>
        <w:t xml:space="preserve"> </w:t>
      </w:r>
      <w:r>
        <w:tab/>
        <w:t xml:space="preserve">L’un des avis portant sur ce document de la Commission, envoyé par le </w:t>
      </w:r>
      <w:r>
        <w:rPr>
          <w:i/>
        </w:rPr>
        <w:t xml:space="preserve">Senát </w:t>
      </w:r>
      <w:r>
        <w:t xml:space="preserve">tchèque, concernait aussi les documents COM(2016) 759 et COM(2016) 767. Un avis de la </w:t>
      </w:r>
      <w:r>
        <w:rPr>
          <w:i/>
        </w:rPr>
        <w:t>Poslanecká sněmovna</w:t>
      </w:r>
      <w:r>
        <w:t xml:space="preserve"> tchèque concernait à la fois les documents COM(2016) 759, COM(2016) 767, COM(2016) 761 et COM(2016) 760.</w:t>
      </w:r>
    </w:p>
  </w:footnote>
  <w:footnote w:id="11">
    <w:p>
      <w:pPr>
        <w:pStyle w:val="FootnoteText"/>
        <w:ind w:left="284" w:hanging="284"/>
      </w:pPr>
      <w:r>
        <w:rPr>
          <w:rStyle w:val="FootnoteReference"/>
        </w:rPr>
        <w:footnoteRef/>
      </w:r>
      <w:r>
        <w:t xml:space="preserve"> </w:t>
      </w:r>
      <w:r>
        <w:tab/>
        <w:t xml:space="preserve">L’un des avis portant sur ce document de la Commission, envoyé par la </w:t>
      </w:r>
      <w:r>
        <w:rPr>
          <w:i/>
        </w:rPr>
        <w:t>Poslanecká sněmovna</w:t>
      </w:r>
      <w:r>
        <w:t xml:space="preserve"> tchèque, concernait à la fois les documents COM(2017) 10, COM(2017) 8 et COM(2017) 7. </w:t>
      </w:r>
    </w:p>
  </w:footnote>
  <w:footnote w:id="12">
    <w:p>
      <w:pPr>
        <w:pStyle w:val="FootnoteText"/>
        <w:ind w:left="284" w:hanging="284"/>
      </w:pPr>
      <w:r>
        <w:rPr>
          <w:rStyle w:val="FootnoteReference"/>
        </w:rPr>
        <w:footnoteRef/>
      </w:r>
      <w:r>
        <w:t xml:space="preserve"> </w:t>
      </w:r>
      <w:r>
        <w:tab/>
        <w:t>L’un des avis portant sur ce document de la Commission, émanant de l’</w:t>
      </w:r>
      <w:r>
        <w:rPr>
          <w:i/>
        </w:rPr>
        <w:t>Assembleia da República</w:t>
      </w:r>
      <w:r>
        <w:t xml:space="preserve"> portugaise, concernait aussi les documents COM(2016) 824, COM(2016) 823, COM(2016) 821, COM(2016) 822 et COM(2016) 820. Un avis, des </w:t>
      </w:r>
      <w:r>
        <w:rPr>
          <w:i/>
        </w:rPr>
        <w:t>Cortes Generales</w:t>
      </w:r>
      <w:r>
        <w:t xml:space="preserve"> espagnoles, concernait à la fois les documents COM(2016) 824, COM(2016) 823 et COM(2016) 822.</w:t>
      </w:r>
    </w:p>
  </w:footnote>
  <w:footnote w:id="13">
    <w:p>
      <w:pPr>
        <w:pStyle w:val="FootnoteText"/>
        <w:ind w:left="284" w:hanging="284"/>
      </w:pPr>
      <w:r>
        <w:rPr>
          <w:rStyle w:val="FootnoteReference"/>
        </w:rPr>
        <w:footnoteRef/>
      </w:r>
      <w:r>
        <w:t xml:space="preserve"> </w:t>
      </w:r>
      <w:r>
        <w:tab/>
        <w:t xml:space="preserve">L’un des avis portant sur ce document de la Commission, envoyé par le </w:t>
      </w:r>
      <w:r>
        <w:rPr>
          <w:i/>
        </w:rPr>
        <w:t>Senát</w:t>
      </w:r>
      <w:r>
        <w:t xml:space="preserve"> tchèque, concernait aussi les documents COM(2016) 864, COM(2016) 862, COM(2016) 863 ainsi que COM(2016) 861. Un avis, envoyé par l’</w:t>
      </w:r>
      <w:r>
        <w:rPr>
          <w:i/>
        </w:rPr>
        <w:t xml:space="preserve">Assembleia da República </w:t>
      </w:r>
      <w:r>
        <w:t xml:space="preserve">portugaise concernait à la fois les documents COM(2016) 864, COM(2016) 863 et COM(2016) 861. Un avis, du Sénat français, concernait à la fois les documents COM(2016) 863 et COM(2016) 861. Un avis, du </w:t>
      </w:r>
      <w:r>
        <w:rPr>
          <w:i/>
        </w:rPr>
        <w:t>Bundesrat</w:t>
      </w:r>
      <w:r>
        <w:t xml:space="preserve"> autrichien, concernait à la fois les documents COM(2016) 862 et COM(2016) 863.</w:t>
      </w:r>
    </w:p>
  </w:footnote>
  <w:footnote w:id="14">
    <w:p>
      <w:pPr>
        <w:pStyle w:val="FootnoteText"/>
        <w:ind w:left="284" w:hanging="284"/>
      </w:pPr>
      <w:r>
        <w:rPr>
          <w:rStyle w:val="FootnoteReference"/>
        </w:rPr>
        <w:footnoteRef/>
      </w:r>
      <w:r>
        <w:t xml:space="preserve"> </w:t>
      </w:r>
      <w:r>
        <w:tab/>
        <w:t>L’un des avis portant sur ce document de la Commission, émanant de l’</w:t>
      </w:r>
      <w:r>
        <w:rPr>
          <w:i/>
        </w:rPr>
        <w:t>Assembleia da República</w:t>
      </w:r>
      <w:r>
        <w:t xml:space="preserve"> portugaise, concernait aussi les documents COM(2016) 824, COM(2016) 823, COM(2016) 863, COM(2016) 822 et COM(2016) 820. </w:t>
      </w:r>
    </w:p>
  </w:footnote>
  <w:footnote w:id="15">
    <w:p>
      <w:pPr>
        <w:pStyle w:val="FootnoteText"/>
        <w:ind w:left="284" w:hanging="284"/>
      </w:pPr>
      <w:r>
        <w:rPr>
          <w:rStyle w:val="FootnoteReference"/>
        </w:rPr>
        <w:footnoteRef/>
      </w:r>
      <w:r>
        <w:t xml:space="preserve"> </w:t>
      </w:r>
      <w:r>
        <w:tab/>
        <w:t xml:space="preserve">Deux avis, du </w:t>
      </w:r>
      <w:r>
        <w:rPr>
          <w:i/>
        </w:rPr>
        <w:t>Bundesrat</w:t>
      </w:r>
      <w:r>
        <w:t xml:space="preserve"> autrichien et de l’</w:t>
      </w:r>
      <w:r>
        <w:rPr>
          <w:i/>
        </w:rPr>
        <w:t>Assembleia da República</w:t>
      </w:r>
      <w:r>
        <w:t xml:space="preserve"> portugaise, concernaient à la fois les documents COM(2016) 765 et COM(2016) 761. Un avis du </w:t>
      </w:r>
      <w:r>
        <w:rPr>
          <w:i/>
        </w:rPr>
        <w:t>Senát</w:t>
      </w:r>
      <w:r>
        <w:t xml:space="preserve"> tchèque concernait à la fois les documents COM(2017) 277, COM(2016) 765 et COM(2016) 761. </w:t>
      </w:r>
    </w:p>
  </w:footnote>
  <w:footnote w:id="16">
    <w:p>
      <w:pPr>
        <w:pStyle w:val="FootnoteText"/>
        <w:ind w:left="284" w:hanging="284"/>
      </w:pPr>
      <w:r>
        <w:rPr>
          <w:rStyle w:val="FootnoteReference"/>
        </w:rPr>
        <w:footnoteRef/>
      </w:r>
      <w:r>
        <w:t xml:space="preserve"> </w:t>
      </w:r>
      <w:r>
        <w:tab/>
        <w:t xml:space="preserve">L’un des avis portant sur ce document de la Commission, envoyé par le </w:t>
      </w:r>
      <w:r>
        <w:rPr>
          <w:i/>
        </w:rPr>
        <w:t xml:space="preserve">Senát </w:t>
      </w:r>
      <w:r>
        <w:t xml:space="preserve">tchèque, concernait aussi les documents COM(2016) 759 et COM(2016) 767. Un avis du </w:t>
      </w:r>
      <w:r>
        <w:rPr>
          <w:i/>
        </w:rPr>
        <w:t>Poslanecká sněmovna</w:t>
      </w:r>
      <w:r>
        <w:t xml:space="preserve"> tchèque concernait à la fois les documents COM(2016) 759, COM(2016) 767, COM(2016) 761 et COM(2016) 860. Un avis, du </w:t>
      </w:r>
      <w:r>
        <w:rPr>
          <w:i/>
        </w:rPr>
        <w:t>Sejm</w:t>
      </w:r>
      <w:r>
        <w:t xml:space="preserve"> polonais, concernait à la fois les documents COM(2016) 759 et COM(2016) 860. Un avis, du </w:t>
      </w:r>
      <w:r>
        <w:rPr>
          <w:i/>
        </w:rPr>
        <w:t>Sejm</w:t>
      </w:r>
      <w:r>
        <w:t xml:space="preserve"> polonais, concernait à la fois les documents COM(2016) 759 et COM(2016) 862. </w:t>
      </w:r>
    </w:p>
  </w:footnote>
  <w:footnote w:id="17">
    <w:p>
      <w:pPr>
        <w:pStyle w:val="FootnoteText"/>
        <w:ind w:left="284" w:hanging="284"/>
      </w:pPr>
      <w:r>
        <w:rPr>
          <w:rStyle w:val="FootnoteReference"/>
        </w:rPr>
        <w:footnoteRef/>
      </w:r>
      <w:r>
        <w:t xml:space="preserve"> </w:t>
      </w:r>
      <w:r>
        <w:tab/>
        <w:t>Deux avis, de la</w:t>
      </w:r>
      <w:r>
        <w:rPr>
          <w:i/>
        </w:rPr>
        <w:t xml:space="preserve"> Országgyűlés</w:t>
      </w:r>
      <w:r>
        <w:t xml:space="preserve"> hongrois et de l’</w:t>
      </w:r>
      <w:r>
        <w:rPr>
          <w:i/>
        </w:rPr>
        <w:t>Assembleia da República</w:t>
      </w:r>
      <w:r>
        <w:t xml:space="preserve"> portugaise, concernaient à la fois les documents COM(2017) 277 et COM(2017) 278. Un avis du </w:t>
      </w:r>
      <w:r>
        <w:rPr>
          <w:i/>
        </w:rPr>
        <w:t>Sénat</w:t>
      </w:r>
      <w:r>
        <w:t xml:space="preserve"> français concernait à la fois les documents COM(2017) 277, COM(2017) 278 et COM(2017) 281. Un avis du </w:t>
      </w:r>
      <w:r>
        <w:rPr>
          <w:i/>
        </w:rPr>
        <w:t>Senát</w:t>
      </w:r>
      <w:r>
        <w:t xml:space="preserve"> tchèque concernait à la fois les documents COM(2017) 282, COM(2017) 277, COM(2017) 278 et COM(2017) 281.</w:t>
      </w:r>
    </w:p>
  </w:footnote>
  <w:footnote w:id="18">
    <w:p>
      <w:pPr>
        <w:pStyle w:val="FootnoteText"/>
        <w:tabs>
          <w:tab w:val="left" w:pos="284"/>
        </w:tabs>
        <w:ind w:left="284" w:hanging="284"/>
      </w:pPr>
      <w:r>
        <w:rPr>
          <w:rStyle w:val="FootnoteReference"/>
        </w:rPr>
        <w:footnoteRef/>
      </w:r>
      <w:r>
        <w:t xml:space="preserve"> </w:t>
      </w:r>
      <w:r>
        <w:tab/>
        <w:t>Ce nombre inclut à la fois les avis et les avis motivés reçus des parlements nationaux.</w:t>
      </w:r>
    </w:p>
  </w:footnote>
  <w:footnote w:id="19">
    <w:p>
      <w:pPr>
        <w:pStyle w:val="FootnoteText"/>
        <w:ind w:left="284" w:hanging="284"/>
      </w:pPr>
      <w:r>
        <w:rPr>
          <w:rStyle w:val="FootnoteReference"/>
        </w:rPr>
        <w:footnoteRef/>
      </w:r>
      <w:r>
        <w:t xml:space="preserve"> </w:t>
      </w:r>
      <w:r>
        <w:tab/>
        <w:t>Le SEAE n’est pas un service de la Commission mais un organe indépendant.</w:t>
      </w:r>
    </w:p>
  </w:footnote>
  <w:footnote w:id="20">
    <w:p>
      <w:pPr>
        <w:pStyle w:val="FootnoteText"/>
        <w:ind w:left="284" w:hanging="284"/>
      </w:pPr>
      <w:r>
        <w:rPr>
          <w:rStyle w:val="FootnoteReference"/>
        </w:rPr>
        <w:footnoteRef/>
      </w:r>
      <w:r>
        <w:t xml:space="preserve"> </w:t>
      </w:r>
      <w:r>
        <w:tab/>
        <w:t>La task-force «article 50» n’est pas un service de la Commission mais un organe indépendant.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u"/>
    <w:docVar w:name="LW_ANNEX_NBR_FIRST" w:val="1"/>
    <w:docVar w:name="LW_ANNEX_NBR_LAST" w:val="3"/>
    <w:docVar w:name="LW_ANNEX_UNIQUE" w:val="0"/>
    <w:docVar w:name="LW_CORRIGENDUM" w:val="&lt;UNUSED&gt;"/>
    <w:docVar w:name="LW_COVERPAGE_EXISTS" w:val="True"/>
    <w:docVar w:name="LW_COVERPAGE_GUID" w:val="24500D39-FADB-4E21-9951-2BCF2F98E391"/>
    <w:docVar w:name="LW_COVERPAGE_TYPE" w:val="1"/>
    <w:docVar w:name="LW_CROSSREFERENCE" w:val="&lt;UNUSED&gt;"/>
    <w:docVar w:name="LW_DocType" w:val="REP"/>
    <w:docVar w:name="LW_EMISSION" w:val="23.10.2018"/>
    <w:docVar w:name="LW_EMISSION_ISODATE" w:val="2018-10-23"/>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SUR LES RELATIONS ENTRE LA COMMISSION EUROPÉENNE ET LES PARLEMENTS NATIONAUX_x000b_"/>
    <w:docVar w:name="LW_PART_NBR" w:val="&lt;UNUSED&gt;"/>
    <w:docVar w:name="LW_PART_NBR_TOTAL" w:val="&lt;UNUSED&gt;"/>
    <w:docVar w:name="LW_REF.INST.NEW" w:val="COM"/>
    <w:docVar w:name="LW_REF.INST.NEW_ADOPTED" w:val="final"/>
    <w:docVar w:name="LW_REF.INST.NEW_TEXT" w:val="(2018) 4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uiPriority w:val="99"/>
    <w:semiHidden/>
    <w:unhideWhenUsed/>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FootnoteTextChar">
    <w:name w:val="Footnote Text Char"/>
    <w:basedOn w:val="DefaultParagraphFont"/>
    <w:link w:val="FootnoteText"/>
    <w:uiPriority w:val="99"/>
    <w:semiHidden/>
    <w:rPr>
      <w:lang w:eastAsia="fr-FR"/>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uiPriority w:val="99"/>
    <w:semiHidden/>
    <w:unhideWhenUsed/>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FootnoteTextChar">
    <w:name w:val="Footnote Text Char"/>
    <w:basedOn w:val="DefaultParagraphFont"/>
    <w:link w:val="FootnoteText"/>
    <w:uiPriority w:val="99"/>
    <w:semiHidden/>
    <w:rPr>
      <w:lang w:eastAsia="fr-FR"/>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Created>
    <Version>4.6</Version>
    <Date>2018-08-29T12:28:07</Date>
    <Language>EN</Language>
  </Created>
  <Edited>
    <Version>10.0.37441.0</Version>
    <Date>2018-08-29T12:31:20</Date>
  </Edited>
  <DocumentModel>
    <Id>6cbda13a-4db2-46c6-876a-ef72275827ef</Id>
    <Name>Report</Name>
  </DocumentModel>
  <DocumentDate/>
  <DocumentVersion/>
  <CompatibilityMode>Eurolook4x</CompatibilityMode>
  <Address/>
</EurolookProperties>
</file>

<file path=customXml/item2.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SG.A.1</Service>
  <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Decision-making Process</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SG.A.1-Advice and Development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Props1.xml><?xml version="1.0" encoding="utf-8"?>
<ds:datastoreItem xmlns:ds="http://schemas.openxmlformats.org/officeDocument/2006/customXml" ds:itemID="{E0D61C8E-61D8-48E1-A8A1-D7C9F052D3FF}">
  <ds:schemaRefs/>
</ds:datastoreItem>
</file>

<file path=customXml/itemProps2.xml><?xml version="1.0" encoding="utf-8"?>
<ds:datastoreItem xmlns:ds="http://schemas.openxmlformats.org/officeDocument/2006/customXml" ds:itemID="{749A81CD-47B2-43EE-A84B-07911B2F577B}">
  <ds:schemaRefs/>
</ds:datastoreItem>
</file>

<file path=customXml/itemProps3.xml><?xml version="1.0" encoding="utf-8"?>
<ds:datastoreItem xmlns:ds="http://schemas.openxmlformats.org/officeDocument/2006/customXml" ds:itemID="{E185D78C-AD8C-44D8-9F36-C303026A0844}">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1076</Words>
  <Characters>5844</Characters>
  <Application>Microsoft Office Word</Application>
  <DocSecurity>0</DocSecurity>
  <PresentationFormat>Microsoft Word 14.0</PresentationFormat>
  <Lines>417</Lines>
  <Paragraphs>364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Therace</dc:creator>
  <cp:keywords>EL4</cp:keywords>
  <cp:lastModifiedBy>WES PDFC Administrator</cp:lastModifiedBy>
  <cp:revision>10</cp:revision>
  <dcterms:created xsi:type="dcterms:W3CDTF">2018-08-29T10:28:00Z</dcterms:created>
  <dcterms:modified xsi:type="dcterms:W3CDTF">2018-10-16T14:35:00Z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Christine Therace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First annex">
    <vt:lpwstr>1</vt:lpwstr>
  </property>
  <property fmtid="{D5CDD505-2E9C-101B-9397-08002B2CF9AE}" pid="15" name="Last annex">
    <vt:lpwstr>3</vt:lpwstr>
  </property>
  <property fmtid="{D5CDD505-2E9C-101B-9397-08002B2CF9AE}" pid="16" name="Unique annex">
    <vt:lpwstr>0</vt:lpwstr>
  </property>
  <property fmtid="{D5CDD505-2E9C-101B-9397-08002B2CF9AE}" pid="17" name="Part">
    <vt:lpwstr>&lt;UNUSED&gt;</vt:lpwstr>
  </property>
  <property fmtid="{D5CDD505-2E9C-101B-9397-08002B2CF9AE}" pid="18" name="Total parts">
    <vt:lpwstr>&lt;UNUSED&gt;</vt:lpwstr>
  </property>
  <property fmtid="{D5CDD505-2E9C-101B-9397-08002B2CF9AE}" pid="19" name="DocStatus">
    <vt:lpwstr>Green</vt:lpwstr>
  </property>
</Properties>
</file>