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B8F374E-0965-489D-82C8-096FC3F347CB" style="width:450.75pt;height:379.5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ANNEX 1</w:t>
      </w:r>
    </w:p>
    <w:p>
      <w:pPr>
        <w:spacing w:after="240"/>
        <w:jc w:val="center"/>
        <w:rPr>
          <w:b/>
          <w:noProof/>
        </w:rPr>
      </w:pPr>
      <w:r>
        <w:rPr>
          <w:b/>
          <w:noProof/>
        </w:rPr>
        <w:t>Number of opinions received by the Commission in 2017 per national Parliament/Chamber (political dialogue and subsidiarity control mechanism)</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2"/>
                <w:szCs w:val="22"/>
                <w:lang w:eastAsia="en-GB"/>
              </w:rPr>
            </w:pPr>
            <w:r>
              <w:rPr>
                <w:b/>
                <w:bCs/>
                <w:noProof/>
                <w:color w:val="000000"/>
                <w:sz w:val="22"/>
                <w:szCs w:val="22"/>
                <w:lang w:eastAsia="en-GB"/>
              </w:rPr>
              <w:t>Member State</w:t>
            </w:r>
          </w:p>
        </w:tc>
        <w:tc>
          <w:tcPr>
            <w:tcW w:w="3609" w:type="dxa"/>
            <w:shd w:val="clear" w:color="auto" w:fill="auto"/>
            <w:vAlign w:val="center"/>
          </w:tcPr>
          <w:p>
            <w:pPr>
              <w:spacing w:before="60" w:after="60"/>
              <w:jc w:val="center"/>
              <w:rPr>
                <w:b/>
                <w:bCs/>
                <w:noProof/>
                <w:color w:val="000000"/>
                <w:sz w:val="22"/>
                <w:szCs w:val="22"/>
                <w:lang w:eastAsia="en-GB"/>
              </w:rPr>
            </w:pPr>
            <w:r>
              <w:rPr>
                <w:b/>
                <w:bCs/>
                <w:noProof/>
                <w:color w:val="000000"/>
                <w:sz w:val="22"/>
                <w:szCs w:val="22"/>
                <w:lang w:eastAsia="en-GB"/>
              </w:rPr>
              <w:t>Chamber</w:t>
            </w:r>
          </w:p>
        </w:tc>
        <w:tc>
          <w:tcPr>
            <w:tcW w:w="1660" w:type="dxa"/>
            <w:shd w:val="clear" w:color="auto" w:fill="auto"/>
            <w:vAlign w:val="center"/>
          </w:tcPr>
          <w:p>
            <w:pPr>
              <w:spacing w:before="60" w:after="60"/>
              <w:jc w:val="center"/>
              <w:rPr>
                <w:b/>
                <w:bCs/>
                <w:noProof/>
                <w:color w:val="000000"/>
                <w:sz w:val="22"/>
                <w:szCs w:val="22"/>
                <w:lang w:eastAsia="en-GB"/>
              </w:rPr>
            </w:pPr>
            <w:r>
              <w:rPr>
                <w:b/>
                <w:bCs/>
                <w:noProof/>
                <w:color w:val="000000"/>
                <w:sz w:val="22"/>
                <w:szCs w:val="22"/>
                <w:lang w:eastAsia="en-GB"/>
              </w:rPr>
              <w:t>Total</w:t>
            </w:r>
            <w:r>
              <w:rPr>
                <w:b/>
                <w:bCs/>
                <w:noProof/>
                <w:color w:val="000000"/>
                <w:sz w:val="22"/>
                <w:szCs w:val="22"/>
                <w:lang w:eastAsia="en-GB"/>
              </w:rPr>
              <w:br/>
              <w:t>number</w:t>
            </w:r>
            <w:r>
              <w:rPr>
                <w:b/>
                <w:bCs/>
                <w:noProof/>
                <w:color w:val="000000"/>
                <w:sz w:val="22"/>
                <w:szCs w:val="22"/>
                <w:lang w:eastAsia="en-GB"/>
              </w:rPr>
              <w:br/>
              <w:t>of opinions</w:t>
            </w:r>
            <w:r>
              <w:rPr>
                <w:rStyle w:val="FootnoteReference"/>
                <w:noProof/>
                <w:sz w:val="22"/>
                <w:szCs w:val="22"/>
              </w:rPr>
              <w:footnoteReference w:id="1"/>
            </w:r>
          </w:p>
        </w:tc>
        <w:tc>
          <w:tcPr>
            <w:tcW w:w="2364" w:type="dxa"/>
            <w:shd w:val="clear" w:color="auto" w:fill="auto"/>
            <w:vAlign w:val="center"/>
          </w:tcPr>
          <w:p>
            <w:pPr>
              <w:spacing w:before="60" w:after="60"/>
              <w:jc w:val="center"/>
              <w:rPr>
                <w:b/>
                <w:bCs/>
                <w:noProof/>
                <w:color w:val="000000"/>
                <w:sz w:val="22"/>
                <w:szCs w:val="22"/>
                <w:lang w:eastAsia="en-GB"/>
              </w:rPr>
            </w:pPr>
            <w:r>
              <w:rPr>
                <w:b/>
                <w:bCs/>
                <w:noProof/>
                <w:color w:val="000000"/>
                <w:sz w:val="22"/>
                <w:szCs w:val="22"/>
                <w:lang w:eastAsia="en-GB"/>
              </w:rPr>
              <w:t>Number</w:t>
            </w:r>
            <w:r>
              <w:rPr>
                <w:b/>
                <w:bCs/>
                <w:noProof/>
                <w:color w:val="000000"/>
                <w:sz w:val="22"/>
                <w:szCs w:val="22"/>
                <w:lang w:eastAsia="en-GB"/>
              </w:rPr>
              <w:br/>
              <w:t>of which were</w:t>
            </w:r>
            <w:r>
              <w:rPr>
                <w:b/>
                <w:bCs/>
                <w:noProof/>
                <w:color w:val="000000"/>
                <w:sz w:val="22"/>
                <w:szCs w:val="22"/>
                <w:lang w:eastAsia="en-GB"/>
              </w:rPr>
              <w:br/>
              <w:t>reasoned opinions</w:t>
            </w:r>
            <w:r>
              <w:rPr>
                <w:b/>
                <w:bCs/>
                <w:noProof/>
                <w:color w:val="000000"/>
                <w:sz w:val="22"/>
                <w:szCs w:val="22"/>
                <w:lang w:eastAsia="en-GB"/>
              </w:rPr>
              <w:br/>
            </w:r>
            <w:r>
              <w:rPr>
                <w:b/>
                <w:noProof/>
                <w:sz w:val="22"/>
                <w:szCs w:val="22"/>
              </w:rPr>
              <w:t>(Protocol No 2)</w:t>
            </w:r>
            <w:r>
              <w:rPr>
                <w:rStyle w:val="FootnoteReference"/>
                <w:noProof/>
                <w:sz w:val="22"/>
                <w:szCs w:val="22"/>
              </w:rPr>
              <w:footnoteReference w:id="2"/>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Portugal</w:t>
            </w:r>
          </w:p>
        </w:tc>
        <w:tc>
          <w:tcPr>
            <w:tcW w:w="3609" w:type="dxa"/>
            <w:shd w:val="clear" w:color="auto" w:fill="auto"/>
            <w:vAlign w:val="center"/>
          </w:tcPr>
          <w:p>
            <w:pPr>
              <w:jc w:val="center"/>
              <w:rPr>
                <w:i/>
                <w:iCs/>
                <w:noProof/>
                <w:color w:val="000000"/>
                <w:sz w:val="22"/>
                <w:szCs w:val="22"/>
              </w:rPr>
            </w:pPr>
            <w:r>
              <w:rPr>
                <w:i/>
                <w:iCs/>
                <w:noProof/>
                <w:color w:val="000000"/>
                <w:sz w:val="22"/>
                <w:szCs w:val="22"/>
              </w:rPr>
              <w:t>Assembleia da República</w:t>
            </w:r>
          </w:p>
        </w:tc>
        <w:tc>
          <w:tcPr>
            <w:tcW w:w="1660" w:type="dxa"/>
            <w:shd w:val="clear" w:color="auto" w:fill="auto"/>
            <w:vAlign w:val="center"/>
          </w:tcPr>
          <w:p>
            <w:pPr>
              <w:jc w:val="center"/>
              <w:rPr>
                <w:noProof/>
                <w:color w:val="000000"/>
                <w:sz w:val="22"/>
                <w:szCs w:val="22"/>
              </w:rPr>
            </w:pPr>
            <w:r>
              <w:rPr>
                <w:noProof/>
                <w:color w:val="000000"/>
                <w:sz w:val="22"/>
                <w:szCs w:val="22"/>
              </w:rPr>
              <w:t>64</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 xml:space="preserve">Italy </w:t>
            </w:r>
          </w:p>
        </w:tc>
        <w:tc>
          <w:tcPr>
            <w:tcW w:w="3609" w:type="dxa"/>
            <w:shd w:val="clear" w:color="auto" w:fill="auto"/>
            <w:vAlign w:val="center"/>
          </w:tcPr>
          <w:p>
            <w:pPr>
              <w:jc w:val="center"/>
              <w:rPr>
                <w:i/>
                <w:iCs/>
                <w:noProof/>
                <w:color w:val="000000"/>
                <w:sz w:val="22"/>
                <w:szCs w:val="22"/>
              </w:rPr>
            </w:pPr>
            <w:r>
              <w:rPr>
                <w:i/>
                <w:iCs/>
                <w:noProof/>
                <w:color w:val="000000"/>
                <w:sz w:val="22"/>
                <w:szCs w:val="22"/>
              </w:rPr>
              <w:t>Senato della Repubblica</w:t>
            </w:r>
          </w:p>
        </w:tc>
        <w:tc>
          <w:tcPr>
            <w:tcW w:w="1660" w:type="dxa"/>
            <w:shd w:val="clear" w:color="auto" w:fill="auto"/>
            <w:vAlign w:val="center"/>
          </w:tcPr>
          <w:p>
            <w:pPr>
              <w:jc w:val="center"/>
              <w:rPr>
                <w:noProof/>
                <w:color w:val="000000"/>
                <w:sz w:val="22"/>
                <w:szCs w:val="22"/>
              </w:rPr>
            </w:pPr>
            <w:r>
              <w:rPr>
                <w:noProof/>
                <w:color w:val="000000"/>
                <w:sz w:val="22"/>
                <w:szCs w:val="22"/>
              </w:rPr>
              <w:t>56</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Czech Republic</w:t>
            </w:r>
          </w:p>
        </w:tc>
        <w:tc>
          <w:tcPr>
            <w:tcW w:w="3609" w:type="dxa"/>
            <w:shd w:val="clear" w:color="auto" w:fill="auto"/>
            <w:vAlign w:val="center"/>
          </w:tcPr>
          <w:p>
            <w:pPr>
              <w:jc w:val="center"/>
              <w:rPr>
                <w:i/>
                <w:iCs/>
                <w:noProof/>
                <w:color w:val="000000"/>
                <w:sz w:val="22"/>
                <w:szCs w:val="22"/>
              </w:rPr>
            </w:pPr>
            <w:r>
              <w:rPr>
                <w:i/>
                <w:iCs/>
                <w:noProof/>
                <w:color w:val="000000"/>
                <w:sz w:val="22"/>
                <w:szCs w:val="22"/>
              </w:rPr>
              <w:t>Senát</w:t>
            </w:r>
          </w:p>
        </w:tc>
        <w:tc>
          <w:tcPr>
            <w:tcW w:w="1660" w:type="dxa"/>
            <w:shd w:val="clear" w:color="auto" w:fill="auto"/>
            <w:vAlign w:val="center"/>
          </w:tcPr>
          <w:p>
            <w:pPr>
              <w:jc w:val="center"/>
              <w:rPr>
                <w:noProof/>
                <w:color w:val="000000"/>
                <w:sz w:val="22"/>
                <w:szCs w:val="22"/>
              </w:rPr>
            </w:pPr>
            <w:r>
              <w:rPr>
                <w:noProof/>
                <w:color w:val="000000"/>
                <w:sz w:val="22"/>
                <w:szCs w:val="22"/>
              </w:rPr>
              <w:t>53</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Italy</w:t>
            </w:r>
          </w:p>
        </w:tc>
        <w:tc>
          <w:tcPr>
            <w:tcW w:w="3609" w:type="dxa"/>
            <w:shd w:val="clear" w:color="auto" w:fill="auto"/>
            <w:vAlign w:val="center"/>
          </w:tcPr>
          <w:p>
            <w:pPr>
              <w:jc w:val="center"/>
              <w:rPr>
                <w:i/>
                <w:iCs/>
                <w:noProof/>
                <w:color w:val="000000"/>
                <w:sz w:val="22"/>
                <w:szCs w:val="22"/>
              </w:rPr>
            </w:pPr>
            <w:r>
              <w:rPr>
                <w:i/>
                <w:iCs/>
                <w:noProof/>
                <w:color w:val="000000"/>
                <w:sz w:val="22"/>
                <w:szCs w:val="22"/>
              </w:rPr>
              <w:t>Camera dei Deputati</w:t>
            </w:r>
          </w:p>
        </w:tc>
        <w:tc>
          <w:tcPr>
            <w:tcW w:w="1660" w:type="dxa"/>
            <w:shd w:val="clear" w:color="auto" w:fill="auto"/>
            <w:vAlign w:val="center"/>
          </w:tcPr>
          <w:p>
            <w:pPr>
              <w:jc w:val="center"/>
              <w:rPr>
                <w:noProof/>
                <w:color w:val="000000"/>
                <w:sz w:val="22"/>
                <w:szCs w:val="22"/>
              </w:rPr>
            </w:pPr>
            <w:r>
              <w:rPr>
                <w:noProof/>
                <w:color w:val="000000"/>
                <w:sz w:val="22"/>
                <w:szCs w:val="22"/>
              </w:rPr>
              <w:t>45</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Germany</w:t>
            </w:r>
          </w:p>
        </w:tc>
        <w:tc>
          <w:tcPr>
            <w:tcW w:w="3609" w:type="dxa"/>
            <w:shd w:val="clear" w:color="auto" w:fill="auto"/>
            <w:vAlign w:val="center"/>
          </w:tcPr>
          <w:p>
            <w:pPr>
              <w:jc w:val="center"/>
              <w:rPr>
                <w:i/>
                <w:iCs/>
                <w:noProof/>
                <w:color w:val="000000"/>
                <w:sz w:val="22"/>
                <w:szCs w:val="22"/>
              </w:rPr>
            </w:pPr>
            <w:r>
              <w:rPr>
                <w:i/>
                <w:iCs/>
                <w:noProof/>
                <w:color w:val="000000"/>
                <w:sz w:val="22"/>
                <w:szCs w:val="22"/>
              </w:rPr>
              <w:t>Bundesrat</w:t>
            </w:r>
          </w:p>
        </w:tc>
        <w:tc>
          <w:tcPr>
            <w:tcW w:w="1660" w:type="dxa"/>
            <w:shd w:val="clear" w:color="auto" w:fill="auto"/>
            <w:vAlign w:val="center"/>
          </w:tcPr>
          <w:p>
            <w:pPr>
              <w:jc w:val="center"/>
              <w:rPr>
                <w:noProof/>
                <w:color w:val="000000"/>
                <w:sz w:val="22"/>
                <w:szCs w:val="22"/>
              </w:rPr>
            </w:pPr>
            <w:r>
              <w:rPr>
                <w:noProof/>
                <w:color w:val="000000"/>
                <w:sz w:val="22"/>
                <w:szCs w:val="22"/>
              </w:rPr>
              <w:t>43</w:t>
            </w:r>
          </w:p>
        </w:tc>
        <w:tc>
          <w:tcPr>
            <w:tcW w:w="2364" w:type="dxa"/>
            <w:shd w:val="clear" w:color="auto" w:fill="auto"/>
            <w:vAlign w:val="center"/>
          </w:tcPr>
          <w:p>
            <w:pPr>
              <w:jc w:val="center"/>
              <w:rPr>
                <w:noProof/>
                <w:color w:val="000000"/>
                <w:sz w:val="22"/>
                <w:szCs w:val="22"/>
              </w:rPr>
            </w:pPr>
            <w:r>
              <w:rPr>
                <w:noProof/>
                <w:color w:val="000000"/>
                <w:sz w:val="22"/>
                <w:szCs w:val="22"/>
              </w:rPr>
              <w:t>3</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Romania</w:t>
            </w:r>
          </w:p>
        </w:tc>
        <w:tc>
          <w:tcPr>
            <w:tcW w:w="3609" w:type="dxa"/>
            <w:shd w:val="clear" w:color="auto" w:fill="auto"/>
            <w:vAlign w:val="center"/>
          </w:tcPr>
          <w:p>
            <w:pPr>
              <w:jc w:val="center"/>
              <w:rPr>
                <w:i/>
                <w:iCs/>
                <w:noProof/>
                <w:color w:val="000000"/>
                <w:sz w:val="22"/>
                <w:szCs w:val="22"/>
              </w:rPr>
            </w:pPr>
            <w:r>
              <w:rPr>
                <w:i/>
                <w:iCs/>
                <w:noProof/>
                <w:color w:val="000000"/>
                <w:sz w:val="22"/>
                <w:szCs w:val="22"/>
              </w:rPr>
              <w:t>Camera Deputaților</w:t>
            </w:r>
          </w:p>
        </w:tc>
        <w:tc>
          <w:tcPr>
            <w:tcW w:w="1660" w:type="dxa"/>
            <w:shd w:val="clear" w:color="auto" w:fill="auto"/>
            <w:vAlign w:val="center"/>
          </w:tcPr>
          <w:p>
            <w:pPr>
              <w:jc w:val="center"/>
              <w:rPr>
                <w:noProof/>
                <w:color w:val="000000"/>
                <w:sz w:val="22"/>
                <w:szCs w:val="22"/>
              </w:rPr>
            </w:pPr>
            <w:r>
              <w:rPr>
                <w:noProof/>
                <w:color w:val="000000"/>
                <w:sz w:val="22"/>
                <w:szCs w:val="22"/>
              </w:rPr>
              <w:t>41</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Spain</w:t>
            </w:r>
          </w:p>
        </w:tc>
        <w:tc>
          <w:tcPr>
            <w:tcW w:w="3609" w:type="dxa"/>
            <w:shd w:val="clear" w:color="auto" w:fill="auto"/>
            <w:vAlign w:val="center"/>
          </w:tcPr>
          <w:p>
            <w:pPr>
              <w:jc w:val="center"/>
              <w:rPr>
                <w:noProof/>
                <w:color w:val="000000"/>
                <w:sz w:val="22"/>
                <w:szCs w:val="22"/>
                <w:lang w:val="es-ES"/>
              </w:rPr>
            </w:pPr>
            <w:r>
              <w:rPr>
                <w:i/>
                <w:iCs/>
                <w:noProof/>
                <w:color w:val="000000"/>
                <w:sz w:val="22"/>
                <w:szCs w:val="22"/>
                <w:lang w:val="es-ES"/>
              </w:rPr>
              <w:t>Las Cortes Generales:</w:t>
            </w:r>
            <w:r>
              <w:rPr>
                <w:noProof/>
                <w:color w:val="000000"/>
                <w:sz w:val="22"/>
                <w:szCs w:val="22"/>
                <w:lang w:val="es-ES"/>
              </w:rPr>
              <w:br/>
            </w:r>
            <w:r>
              <w:rPr>
                <w:i/>
                <w:iCs/>
                <w:noProof/>
                <w:color w:val="000000"/>
                <w:sz w:val="22"/>
                <w:szCs w:val="22"/>
                <w:lang w:val="es-ES"/>
              </w:rPr>
              <w:t>Senado de España</w:t>
            </w:r>
            <w:r>
              <w:rPr>
                <w:noProof/>
                <w:color w:val="000000"/>
                <w:sz w:val="22"/>
                <w:szCs w:val="22"/>
                <w:lang w:val="es-ES"/>
              </w:rPr>
              <w:t xml:space="preserve"> and</w:t>
            </w:r>
            <w:r>
              <w:rPr>
                <w:noProof/>
                <w:color w:val="000000"/>
                <w:sz w:val="22"/>
                <w:szCs w:val="22"/>
                <w:lang w:val="es-ES"/>
              </w:rPr>
              <w:br/>
            </w:r>
            <w:r>
              <w:rPr>
                <w:i/>
                <w:iCs/>
                <w:noProof/>
                <w:color w:val="000000"/>
                <w:sz w:val="22"/>
                <w:szCs w:val="22"/>
                <w:lang w:val="es-ES"/>
              </w:rPr>
              <w:t>Congreso de los Diputados</w:t>
            </w:r>
          </w:p>
        </w:tc>
        <w:tc>
          <w:tcPr>
            <w:tcW w:w="1660" w:type="dxa"/>
            <w:shd w:val="clear" w:color="auto" w:fill="auto"/>
            <w:vAlign w:val="center"/>
          </w:tcPr>
          <w:p>
            <w:pPr>
              <w:jc w:val="center"/>
              <w:rPr>
                <w:noProof/>
                <w:color w:val="000000"/>
                <w:sz w:val="22"/>
                <w:szCs w:val="22"/>
              </w:rPr>
            </w:pPr>
            <w:r>
              <w:rPr>
                <w:noProof/>
                <w:color w:val="000000"/>
                <w:sz w:val="22"/>
                <w:szCs w:val="22"/>
              </w:rPr>
              <w:t>38</w:t>
            </w:r>
            <w:r>
              <w:rPr>
                <w:rStyle w:val="FootnoteReference"/>
                <w:noProof/>
                <w:color w:val="000000"/>
                <w:sz w:val="22"/>
                <w:szCs w:val="22"/>
              </w:rPr>
              <w:footnoteReference w:id="3"/>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Romania</w:t>
            </w:r>
          </w:p>
        </w:tc>
        <w:tc>
          <w:tcPr>
            <w:tcW w:w="3609" w:type="dxa"/>
            <w:shd w:val="clear" w:color="auto" w:fill="auto"/>
            <w:vAlign w:val="center"/>
          </w:tcPr>
          <w:p>
            <w:pPr>
              <w:jc w:val="center"/>
              <w:rPr>
                <w:i/>
                <w:iCs/>
                <w:noProof/>
                <w:color w:val="000000"/>
                <w:sz w:val="22"/>
                <w:szCs w:val="22"/>
              </w:rPr>
            </w:pPr>
            <w:r>
              <w:rPr>
                <w:i/>
                <w:iCs/>
                <w:noProof/>
                <w:color w:val="000000"/>
                <w:sz w:val="22"/>
                <w:szCs w:val="22"/>
              </w:rPr>
              <w:t>Senatul</w:t>
            </w:r>
          </w:p>
        </w:tc>
        <w:tc>
          <w:tcPr>
            <w:tcW w:w="1660" w:type="dxa"/>
            <w:shd w:val="clear" w:color="auto" w:fill="auto"/>
            <w:vAlign w:val="center"/>
          </w:tcPr>
          <w:p>
            <w:pPr>
              <w:jc w:val="center"/>
              <w:rPr>
                <w:noProof/>
                <w:color w:val="000000"/>
                <w:sz w:val="22"/>
                <w:szCs w:val="22"/>
              </w:rPr>
            </w:pPr>
            <w:r>
              <w:rPr>
                <w:noProof/>
                <w:color w:val="000000"/>
                <w:sz w:val="22"/>
                <w:szCs w:val="22"/>
              </w:rPr>
              <w:t>33</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France</w:t>
            </w:r>
          </w:p>
        </w:tc>
        <w:tc>
          <w:tcPr>
            <w:tcW w:w="3609" w:type="dxa"/>
            <w:shd w:val="clear" w:color="auto" w:fill="auto"/>
            <w:vAlign w:val="center"/>
          </w:tcPr>
          <w:p>
            <w:pPr>
              <w:jc w:val="center"/>
              <w:rPr>
                <w:i/>
                <w:iCs/>
                <w:noProof/>
                <w:color w:val="000000"/>
                <w:sz w:val="22"/>
                <w:szCs w:val="22"/>
              </w:rPr>
            </w:pPr>
            <w:r>
              <w:rPr>
                <w:i/>
                <w:iCs/>
                <w:noProof/>
                <w:color w:val="000000"/>
                <w:sz w:val="22"/>
                <w:szCs w:val="22"/>
              </w:rPr>
              <w:t xml:space="preserve">Sénat  </w:t>
            </w:r>
          </w:p>
        </w:tc>
        <w:tc>
          <w:tcPr>
            <w:tcW w:w="1660" w:type="dxa"/>
            <w:shd w:val="clear" w:color="auto" w:fill="auto"/>
            <w:vAlign w:val="center"/>
          </w:tcPr>
          <w:p>
            <w:pPr>
              <w:jc w:val="center"/>
              <w:rPr>
                <w:noProof/>
                <w:color w:val="000000"/>
                <w:sz w:val="22"/>
                <w:szCs w:val="22"/>
              </w:rPr>
            </w:pPr>
            <w:r>
              <w:rPr>
                <w:noProof/>
                <w:color w:val="000000"/>
                <w:sz w:val="22"/>
                <w:szCs w:val="22"/>
              </w:rPr>
              <w:t>29</w:t>
            </w:r>
          </w:p>
        </w:tc>
        <w:tc>
          <w:tcPr>
            <w:tcW w:w="2364" w:type="dxa"/>
            <w:shd w:val="clear" w:color="auto" w:fill="auto"/>
            <w:vAlign w:val="center"/>
          </w:tcPr>
          <w:p>
            <w:pPr>
              <w:jc w:val="center"/>
              <w:rPr>
                <w:noProof/>
                <w:color w:val="000000"/>
                <w:sz w:val="22"/>
                <w:szCs w:val="22"/>
              </w:rPr>
            </w:pPr>
            <w:r>
              <w:rPr>
                <w:noProof/>
                <w:color w:val="000000"/>
                <w:sz w:val="22"/>
                <w:szCs w:val="22"/>
              </w:rPr>
              <w:t>7</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United Kingdom</w:t>
            </w:r>
          </w:p>
        </w:tc>
        <w:tc>
          <w:tcPr>
            <w:tcW w:w="3609" w:type="dxa"/>
            <w:shd w:val="clear" w:color="auto" w:fill="auto"/>
            <w:vAlign w:val="center"/>
          </w:tcPr>
          <w:p>
            <w:pPr>
              <w:jc w:val="center"/>
              <w:rPr>
                <w:i/>
                <w:iCs/>
                <w:noProof/>
                <w:color w:val="000000"/>
                <w:sz w:val="22"/>
                <w:szCs w:val="22"/>
              </w:rPr>
            </w:pPr>
            <w:r>
              <w:rPr>
                <w:i/>
                <w:iCs/>
                <w:noProof/>
                <w:color w:val="000000"/>
                <w:sz w:val="22"/>
                <w:szCs w:val="22"/>
              </w:rPr>
              <w:t>House of Lords</w:t>
            </w:r>
          </w:p>
        </w:tc>
        <w:tc>
          <w:tcPr>
            <w:tcW w:w="1660" w:type="dxa"/>
            <w:shd w:val="clear" w:color="auto" w:fill="auto"/>
            <w:vAlign w:val="center"/>
          </w:tcPr>
          <w:p>
            <w:pPr>
              <w:jc w:val="center"/>
              <w:rPr>
                <w:noProof/>
                <w:color w:val="000000"/>
                <w:sz w:val="22"/>
                <w:szCs w:val="22"/>
              </w:rPr>
            </w:pPr>
            <w:r>
              <w:rPr>
                <w:noProof/>
                <w:color w:val="000000"/>
                <w:sz w:val="22"/>
                <w:szCs w:val="22"/>
              </w:rPr>
              <w:t>22</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Czech Republic</w:t>
            </w:r>
          </w:p>
        </w:tc>
        <w:tc>
          <w:tcPr>
            <w:tcW w:w="3609" w:type="dxa"/>
            <w:shd w:val="clear" w:color="auto" w:fill="auto"/>
            <w:vAlign w:val="center"/>
          </w:tcPr>
          <w:p>
            <w:pPr>
              <w:jc w:val="center"/>
              <w:rPr>
                <w:i/>
                <w:iCs/>
                <w:noProof/>
                <w:color w:val="000000"/>
                <w:sz w:val="22"/>
                <w:szCs w:val="22"/>
              </w:rPr>
            </w:pPr>
            <w:r>
              <w:rPr>
                <w:i/>
                <w:iCs/>
                <w:noProof/>
                <w:color w:val="000000"/>
                <w:sz w:val="22"/>
                <w:szCs w:val="22"/>
              </w:rPr>
              <w:t>Poslanecká sněmovna</w:t>
            </w:r>
          </w:p>
        </w:tc>
        <w:tc>
          <w:tcPr>
            <w:tcW w:w="1660" w:type="dxa"/>
            <w:shd w:val="clear" w:color="auto" w:fill="auto"/>
            <w:vAlign w:val="center"/>
          </w:tcPr>
          <w:p>
            <w:pPr>
              <w:jc w:val="center"/>
              <w:rPr>
                <w:noProof/>
                <w:color w:val="000000"/>
                <w:sz w:val="22"/>
                <w:szCs w:val="22"/>
              </w:rPr>
            </w:pPr>
            <w:r>
              <w:rPr>
                <w:noProof/>
                <w:color w:val="000000"/>
                <w:sz w:val="22"/>
                <w:szCs w:val="22"/>
              </w:rPr>
              <w:t>17</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Sweden</w:t>
            </w:r>
          </w:p>
        </w:tc>
        <w:tc>
          <w:tcPr>
            <w:tcW w:w="3609" w:type="dxa"/>
            <w:shd w:val="clear" w:color="auto" w:fill="auto"/>
            <w:vAlign w:val="center"/>
          </w:tcPr>
          <w:p>
            <w:pPr>
              <w:jc w:val="center"/>
              <w:rPr>
                <w:i/>
                <w:iCs/>
                <w:noProof/>
                <w:color w:val="000000"/>
                <w:sz w:val="22"/>
                <w:szCs w:val="22"/>
              </w:rPr>
            </w:pPr>
            <w:r>
              <w:rPr>
                <w:i/>
                <w:iCs/>
                <w:noProof/>
                <w:color w:val="000000"/>
                <w:sz w:val="22"/>
                <w:szCs w:val="22"/>
              </w:rPr>
              <w:t>Riksdag</w:t>
            </w:r>
          </w:p>
        </w:tc>
        <w:tc>
          <w:tcPr>
            <w:tcW w:w="1660" w:type="dxa"/>
            <w:shd w:val="clear" w:color="auto" w:fill="auto"/>
            <w:vAlign w:val="center"/>
          </w:tcPr>
          <w:p>
            <w:pPr>
              <w:jc w:val="center"/>
              <w:rPr>
                <w:noProof/>
                <w:color w:val="000000"/>
                <w:sz w:val="22"/>
                <w:szCs w:val="22"/>
              </w:rPr>
            </w:pPr>
            <w:r>
              <w:rPr>
                <w:noProof/>
                <w:color w:val="000000"/>
                <w:sz w:val="22"/>
                <w:szCs w:val="22"/>
              </w:rPr>
              <w:t>17</w:t>
            </w:r>
          </w:p>
        </w:tc>
        <w:tc>
          <w:tcPr>
            <w:tcW w:w="2364" w:type="dxa"/>
            <w:shd w:val="clear" w:color="auto" w:fill="auto"/>
            <w:vAlign w:val="center"/>
          </w:tcPr>
          <w:p>
            <w:pPr>
              <w:jc w:val="center"/>
              <w:rPr>
                <w:noProof/>
                <w:color w:val="000000"/>
                <w:sz w:val="22"/>
                <w:szCs w:val="22"/>
              </w:rPr>
            </w:pPr>
            <w:r>
              <w:rPr>
                <w:noProof/>
                <w:color w:val="000000"/>
                <w:sz w:val="22"/>
                <w:szCs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France</w:t>
            </w:r>
          </w:p>
        </w:tc>
        <w:tc>
          <w:tcPr>
            <w:tcW w:w="3609" w:type="dxa"/>
            <w:shd w:val="clear" w:color="auto" w:fill="auto"/>
            <w:vAlign w:val="center"/>
          </w:tcPr>
          <w:p>
            <w:pPr>
              <w:jc w:val="center"/>
              <w:rPr>
                <w:i/>
                <w:iCs/>
                <w:noProof/>
                <w:color w:val="000000"/>
                <w:sz w:val="22"/>
                <w:szCs w:val="22"/>
              </w:rPr>
            </w:pPr>
            <w:r>
              <w:rPr>
                <w:i/>
                <w:iCs/>
                <w:noProof/>
                <w:color w:val="000000"/>
                <w:sz w:val="22"/>
                <w:szCs w:val="22"/>
              </w:rPr>
              <w:t>Assemblée nationale</w:t>
            </w:r>
          </w:p>
        </w:tc>
        <w:tc>
          <w:tcPr>
            <w:tcW w:w="1660" w:type="dxa"/>
            <w:shd w:val="clear" w:color="auto" w:fill="auto"/>
            <w:vAlign w:val="center"/>
          </w:tcPr>
          <w:p>
            <w:pPr>
              <w:jc w:val="center"/>
              <w:rPr>
                <w:noProof/>
                <w:color w:val="000000"/>
                <w:sz w:val="22"/>
                <w:szCs w:val="22"/>
              </w:rPr>
            </w:pPr>
            <w:r>
              <w:rPr>
                <w:noProof/>
                <w:color w:val="000000"/>
                <w:sz w:val="22"/>
                <w:szCs w:val="22"/>
              </w:rPr>
              <w:t>16</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Austria</w:t>
            </w:r>
          </w:p>
        </w:tc>
        <w:tc>
          <w:tcPr>
            <w:tcW w:w="3609" w:type="dxa"/>
            <w:shd w:val="clear" w:color="auto" w:fill="auto"/>
            <w:vAlign w:val="center"/>
          </w:tcPr>
          <w:p>
            <w:pPr>
              <w:jc w:val="center"/>
              <w:rPr>
                <w:i/>
                <w:iCs/>
                <w:noProof/>
                <w:color w:val="000000"/>
                <w:sz w:val="22"/>
                <w:szCs w:val="22"/>
              </w:rPr>
            </w:pPr>
            <w:r>
              <w:rPr>
                <w:i/>
                <w:iCs/>
                <w:noProof/>
                <w:color w:val="000000"/>
                <w:sz w:val="22"/>
                <w:szCs w:val="22"/>
              </w:rPr>
              <w:t>Bundesrat</w:t>
            </w:r>
          </w:p>
        </w:tc>
        <w:tc>
          <w:tcPr>
            <w:tcW w:w="1660" w:type="dxa"/>
            <w:shd w:val="clear" w:color="auto" w:fill="auto"/>
            <w:vAlign w:val="center"/>
          </w:tcPr>
          <w:p>
            <w:pPr>
              <w:jc w:val="center"/>
              <w:rPr>
                <w:noProof/>
                <w:color w:val="000000"/>
                <w:sz w:val="22"/>
                <w:szCs w:val="22"/>
              </w:rPr>
            </w:pPr>
            <w:r>
              <w:rPr>
                <w:noProof/>
                <w:color w:val="000000"/>
                <w:sz w:val="22"/>
                <w:szCs w:val="22"/>
              </w:rPr>
              <w:t>14</w:t>
            </w:r>
          </w:p>
        </w:tc>
        <w:tc>
          <w:tcPr>
            <w:tcW w:w="2364" w:type="dxa"/>
            <w:shd w:val="clear" w:color="auto" w:fill="auto"/>
            <w:vAlign w:val="center"/>
          </w:tcPr>
          <w:p>
            <w:pPr>
              <w:jc w:val="center"/>
              <w:rPr>
                <w:noProof/>
                <w:color w:val="000000"/>
                <w:sz w:val="22"/>
                <w:szCs w:val="22"/>
              </w:rPr>
            </w:pPr>
            <w:r>
              <w:rPr>
                <w:noProof/>
                <w:color w:val="000000"/>
                <w:sz w:val="22"/>
                <w:szCs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Poland</w:t>
            </w:r>
          </w:p>
        </w:tc>
        <w:tc>
          <w:tcPr>
            <w:tcW w:w="3609" w:type="dxa"/>
            <w:shd w:val="clear" w:color="auto" w:fill="auto"/>
            <w:vAlign w:val="center"/>
          </w:tcPr>
          <w:p>
            <w:pPr>
              <w:jc w:val="center"/>
              <w:rPr>
                <w:i/>
                <w:iCs/>
                <w:noProof/>
                <w:color w:val="000000"/>
                <w:sz w:val="22"/>
                <w:szCs w:val="22"/>
              </w:rPr>
            </w:pPr>
            <w:r>
              <w:rPr>
                <w:i/>
                <w:iCs/>
                <w:noProof/>
                <w:color w:val="000000"/>
                <w:sz w:val="22"/>
                <w:szCs w:val="22"/>
              </w:rPr>
              <w:t>Senat Rzeczypospolitej Polskiej</w:t>
            </w:r>
          </w:p>
        </w:tc>
        <w:tc>
          <w:tcPr>
            <w:tcW w:w="1660" w:type="dxa"/>
            <w:shd w:val="clear" w:color="auto" w:fill="auto"/>
            <w:vAlign w:val="center"/>
          </w:tcPr>
          <w:p>
            <w:pPr>
              <w:jc w:val="center"/>
              <w:rPr>
                <w:noProof/>
                <w:color w:val="000000"/>
                <w:sz w:val="22"/>
                <w:szCs w:val="22"/>
              </w:rPr>
            </w:pPr>
            <w:r>
              <w:rPr>
                <w:noProof/>
                <w:color w:val="000000"/>
                <w:sz w:val="22"/>
                <w:szCs w:val="22"/>
              </w:rPr>
              <w:t>14</w:t>
            </w:r>
          </w:p>
        </w:tc>
        <w:tc>
          <w:tcPr>
            <w:tcW w:w="2364" w:type="dxa"/>
            <w:shd w:val="clear" w:color="auto" w:fill="auto"/>
            <w:vAlign w:val="center"/>
          </w:tcPr>
          <w:p>
            <w:pPr>
              <w:jc w:val="center"/>
              <w:rPr>
                <w:noProof/>
                <w:color w:val="000000"/>
                <w:sz w:val="22"/>
                <w:szCs w:val="22"/>
              </w:rPr>
            </w:pPr>
            <w:r>
              <w:rPr>
                <w:noProof/>
                <w:color w:val="000000"/>
                <w:sz w:val="22"/>
                <w:szCs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Hungary</w:t>
            </w:r>
          </w:p>
        </w:tc>
        <w:tc>
          <w:tcPr>
            <w:tcW w:w="3609" w:type="dxa"/>
            <w:shd w:val="clear" w:color="auto" w:fill="auto"/>
            <w:vAlign w:val="center"/>
          </w:tcPr>
          <w:p>
            <w:pPr>
              <w:jc w:val="center"/>
              <w:rPr>
                <w:i/>
                <w:iCs/>
                <w:noProof/>
                <w:color w:val="000000"/>
                <w:sz w:val="22"/>
                <w:szCs w:val="22"/>
              </w:rPr>
            </w:pPr>
            <w:r>
              <w:rPr>
                <w:i/>
                <w:iCs/>
                <w:noProof/>
                <w:color w:val="000000"/>
                <w:sz w:val="22"/>
                <w:szCs w:val="22"/>
              </w:rPr>
              <w:t>Országgyűlés</w:t>
            </w:r>
          </w:p>
        </w:tc>
        <w:tc>
          <w:tcPr>
            <w:tcW w:w="1660" w:type="dxa"/>
            <w:shd w:val="clear" w:color="auto" w:fill="auto"/>
            <w:vAlign w:val="center"/>
          </w:tcPr>
          <w:p>
            <w:pPr>
              <w:jc w:val="center"/>
              <w:rPr>
                <w:noProof/>
                <w:color w:val="000000"/>
                <w:sz w:val="22"/>
                <w:szCs w:val="22"/>
              </w:rPr>
            </w:pPr>
            <w:r>
              <w:rPr>
                <w:noProof/>
                <w:color w:val="000000"/>
                <w:sz w:val="22"/>
                <w:szCs w:val="22"/>
              </w:rPr>
              <w:t>8</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Germany</w:t>
            </w:r>
          </w:p>
        </w:tc>
        <w:tc>
          <w:tcPr>
            <w:tcW w:w="3609" w:type="dxa"/>
            <w:shd w:val="clear" w:color="auto" w:fill="auto"/>
            <w:vAlign w:val="center"/>
          </w:tcPr>
          <w:p>
            <w:pPr>
              <w:jc w:val="center"/>
              <w:rPr>
                <w:i/>
                <w:iCs/>
                <w:noProof/>
                <w:color w:val="000000"/>
                <w:sz w:val="22"/>
                <w:szCs w:val="22"/>
              </w:rPr>
            </w:pPr>
            <w:r>
              <w:rPr>
                <w:i/>
                <w:iCs/>
                <w:noProof/>
                <w:color w:val="000000"/>
                <w:sz w:val="22"/>
                <w:szCs w:val="22"/>
              </w:rPr>
              <w:t>Bundestag</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Netherlands</w:t>
            </w:r>
          </w:p>
        </w:tc>
        <w:tc>
          <w:tcPr>
            <w:tcW w:w="3609" w:type="dxa"/>
            <w:shd w:val="clear" w:color="auto" w:fill="auto"/>
            <w:vAlign w:val="center"/>
          </w:tcPr>
          <w:p>
            <w:pPr>
              <w:jc w:val="center"/>
              <w:rPr>
                <w:i/>
                <w:iCs/>
                <w:noProof/>
                <w:color w:val="000000"/>
                <w:sz w:val="22"/>
                <w:szCs w:val="22"/>
              </w:rPr>
            </w:pPr>
            <w:r>
              <w:rPr>
                <w:i/>
                <w:iCs/>
                <w:noProof/>
                <w:color w:val="000000"/>
                <w:sz w:val="22"/>
                <w:szCs w:val="22"/>
              </w:rPr>
              <w:t>Eerste Kamer</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Poland</w:t>
            </w:r>
          </w:p>
        </w:tc>
        <w:tc>
          <w:tcPr>
            <w:tcW w:w="3609" w:type="dxa"/>
            <w:shd w:val="clear" w:color="auto" w:fill="auto"/>
            <w:vAlign w:val="center"/>
          </w:tcPr>
          <w:p>
            <w:pPr>
              <w:jc w:val="center"/>
              <w:rPr>
                <w:i/>
                <w:iCs/>
                <w:noProof/>
                <w:color w:val="000000"/>
                <w:sz w:val="22"/>
                <w:szCs w:val="22"/>
              </w:rPr>
            </w:pPr>
            <w:r>
              <w:rPr>
                <w:i/>
                <w:iCs/>
                <w:noProof/>
                <w:color w:val="000000"/>
                <w:sz w:val="22"/>
                <w:szCs w:val="22"/>
              </w:rPr>
              <w:t>Sejm Rzeczypospolitej Polskiej</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Ireland</w:t>
            </w:r>
          </w:p>
        </w:tc>
        <w:tc>
          <w:tcPr>
            <w:tcW w:w="3609" w:type="dxa"/>
            <w:shd w:val="clear" w:color="auto" w:fill="auto"/>
            <w:vAlign w:val="center"/>
          </w:tcPr>
          <w:p>
            <w:pPr>
              <w:jc w:val="center"/>
              <w:rPr>
                <w:noProof/>
                <w:color w:val="000000"/>
                <w:sz w:val="22"/>
                <w:szCs w:val="22"/>
              </w:rPr>
            </w:pPr>
            <w:r>
              <w:rPr>
                <w:noProof/>
                <w:color w:val="000000"/>
                <w:sz w:val="22"/>
                <w:szCs w:val="22"/>
              </w:rPr>
              <w:t xml:space="preserve">Houses of the </w:t>
            </w:r>
            <w:r>
              <w:rPr>
                <w:i/>
                <w:iCs/>
                <w:noProof/>
                <w:color w:val="000000"/>
                <w:sz w:val="22"/>
                <w:szCs w:val="22"/>
              </w:rPr>
              <w:t>Oireachtas:</w:t>
            </w:r>
            <w:r>
              <w:rPr>
                <w:noProof/>
                <w:color w:val="000000"/>
                <w:sz w:val="22"/>
                <w:szCs w:val="22"/>
              </w:rPr>
              <w:br/>
            </w:r>
            <w:r>
              <w:rPr>
                <w:i/>
                <w:iCs/>
                <w:noProof/>
                <w:color w:val="000000"/>
                <w:sz w:val="22"/>
                <w:szCs w:val="22"/>
              </w:rPr>
              <w:t>Dáil</w:t>
            </w:r>
            <w:r>
              <w:rPr>
                <w:noProof/>
                <w:color w:val="000000"/>
                <w:sz w:val="22"/>
                <w:szCs w:val="22"/>
              </w:rPr>
              <w:t xml:space="preserve"> and </w:t>
            </w:r>
            <w:r>
              <w:rPr>
                <w:i/>
                <w:iCs/>
                <w:noProof/>
                <w:color w:val="000000"/>
                <w:sz w:val="22"/>
                <w:szCs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Denmark</w:t>
            </w:r>
          </w:p>
        </w:tc>
        <w:tc>
          <w:tcPr>
            <w:tcW w:w="3609" w:type="dxa"/>
            <w:shd w:val="clear" w:color="auto" w:fill="auto"/>
            <w:vAlign w:val="center"/>
          </w:tcPr>
          <w:p>
            <w:pPr>
              <w:jc w:val="center"/>
              <w:rPr>
                <w:i/>
                <w:iCs/>
                <w:noProof/>
                <w:color w:val="000000"/>
                <w:sz w:val="22"/>
                <w:szCs w:val="22"/>
              </w:rPr>
            </w:pPr>
            <w:r>
              <w:rPr>
                <w:i/>
                <w:iCs/>
                <w:noProof/>
                <w:color w:val="000000"/>
                <w:sz w:val="22"/>
                <w:szCs w:val="22"/>
              </w:rPr>
              <w:t>Folketing</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Slovakia</w:t>
            </w:r>
          </w:p>
        </w:tc>
        <w:tc>
          <w:tcPr>
            <w:tcW w:w="3609" w:type="dxa"/>
            <w:shd w:val="clear" w:color="auto" w:fill="auto"/>
            <w:vAlign w:val="center"/>
          </w:tcPr>
          <w:p>
            <w:pPr>
              <w:jc w:val="center"/>
              <w:rPr>
                <w:i/>
                <w:iCs/>
                <w:noProof/>
                <w:color w:val="000000"/>
                <w:sz w:val="22"/>
                <w:szCs w:val="22"/>
              </w:rPr>
            </w:pPr>
            <w:r>
              <w:rPr>
                <w:i/>
                <w:iCs/>
                <w:noProof/>
                <w:color w:val="000000"/>
                <w:sz w:val="22"/>
                <w:szCs w:val="22"/>
              </w:rPr>
              <w:t>Národná rada</w:t>
            </w:r>
          </w:p>
        </w:tc>
        <w:tc>
          <w:tcPr>
            <w:tcW w:w="1660" w:type="dxa"/>
            <w:shd w:val="clear" w:color="auto" w:fill="auto"/>
            <w:vAlign w:val="center"/>
          </w:tcPr>
          <w:p>
            <w:pPr>
              <w:jc w:val="center"/>
              <w:rPr>
                <w:noProof/>
                <w:color w:val="000000"/>
                <w:sz w:val="22"/>
                <w:szCs w:val="22"/>
              </w:rPr>
            </w:pPr>
            <w:r>
              <w:rPr>
                <w:noProof/>
                <w:color w:val="000000"/>
                <w:sz w:val="22"/>
                <w:szCs w:val="22"/>
              </w:rPr>
              <w:t>6</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Netherlands</w:t>
            </w:r>
          </w:p>
        </w:tc>
        <w:tc>
          <w:tcPr>
            <w:tcW w:w="3609" w:type="dxa"/>
            <w:shd w:val="clear" w:color="auto" w:fill="auto"/>
            <w:vAlign w:val="center"/>
          </w:tcPr>
          <w:p>
            <w:pPr>
              <w:jc w:val="center"/>
              <w:rPr>
                <w:i/>
                <w:iCs/>
                <w:noProof/>
                <w:color w:val="000000"/>
                <w:sz w:val="22"/>
                <w:szCs w:val="22"/>
              </w:rPr>
            </w:pPr>
            <w:r>
              <w:rPr>
                <w:i/>
                <w:iCs/>
                <w:noProof/>
                <w:color w:val="000000"/>
                <w:sz w:val="22"/>
                <w:szCs w:val="22"/>
              </w:rPr>
              <w:t>Tweede Kamer</w:t>
            </w:r>
          </w:p>
        </w:tc>
        <w:tc>
          <w:tcPr>
            <w:tcW w:w="1660" w:type="dxa"/>
            <w:shd w:val="clear" w:color="auto" w:fill="auto"/>
            <w:vAlign w:val="center"/>
          </w:tcPr>
          <w:p>
            <w:pPr>
              <w:jc w:val="center"/>
              <w:rPr>
                <w:noProof/>
                <w:color w:val="000000"/>
                <w:sz w:val="22"/>
                <w:szCs w:val="22"/>
              </w:rPr>
            </w:pPr>
            <w:r>
              <w:rPr>
                <w:noProof/>
                <w:color w:val="000000"/>
                <w:sz w:val="22"/>
                <w:szCs w:val="22"/>
              </w:rPr>
              <w:t>5</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Cyprus</w:t>
            </w:r>
          </w:p>
        </w:tc>
        <w:tc>
          <w:tcPr>
            <w:tcW w:w="3609" w:type="dxa"/>
            <w:shd w:val="clear" w:color="auto" w:fill="auto"/>
            <w:vAlign w:val="center"/>
          </w:tcPr>
          <w:p>
            <w:pPr>
              <w:jc w:val="center"/>
              <w:rPr>
                <w:i/>
                <w:iCs/>
                <w:noProof/>
                <w:color w:val="000000"/>
                <w:sz w:val="22"/>
                <w:szCs w:val="22"/>
                <w:lang w:val="el-GR"/>
              </w:rPr>
            </w:pPr>
            <w:r>
              <w:rPr>
                <w:i/>
                <w:iCs/>
                <w:noProof/>
                <w:color w:val="000000"/>
                <w:sz w:val="22"/>
                <w:szCs w:val="22"/>
              </w:rPr>
              <w:t>Vouli</w:t>
            </w:r>
            <w:r>
              <w:rPr>
                <w:i/>
                <w:iCs/>
                <w:noProof/>
                <w:color w:val="000000"/>
                <w:sz w:val="22"/>
                <w:szCs w:val="22"/>
                <w:lang w:val="el-GR"/>
              </w:rPr>
              <w:t xml:space="preserve"> </w:t>
            </w:r>
            <w:r>
              <w:rPr>
                <w:i/>
                <w:iCs/>
                <w:noProof/>
                <w:color w:val="000000"/>
                <w:sz w:val="22"/>
                <w:szCs w:val="22"/>
              </w:rPr>
              <w:t>ton</w:t>
            </w:r>
            <w:r>
              <w:rPr>
                <w:i/>
                <w:iCs/>
                <w:noProof/>
                <w:color w:val="000000"/>
                <w:sz w:val="22"/>
                <w:szCs w:val="22"/>
                <w:lang w:val="el-GR"/>
              </w:rPr>
              <w:t xml:space="preserve"> </w:t>
            </w:r>
            <w:r>
              <w:rPr>
                <w:i/>
                <w:iCs/>
                <w:noProof/>
                <w:color w:val="000000"/>
                <w:sz w:val="22"/>
                <w:szCs w:val="22"/>
              </w:rPr>
              <w:t>Antiprosopon</w:t>
            </w:r>
            <w:r>
              <w:rPr>
                <w:i/>
                <w:iCs/>
                <w:noProof/>
                <w:color w:val="000000"/>
                <w:sz w:val="22"/>
                <w:szCs w:val="22"/>
                <w:lang w:val="el-GR"/>
              </w:rPr>
              <w:t xml:space="preserve"> /</w:t>
            </w:r>
            <w:r>
              <w:rPr>
                <w:i/>
                <w:iCs/>
                <w:noProof/>
                <w:color w:val="000000"/>
                <w:sz w:val="22"/>
                <w:szCs w:val="22"/>
                <w:lang w:val="el-GR"/>
              </w:rPr>
              <w:br/>
              <w:t>Βουλή των Αντιπροσώπων</w:t>
            </w:r>
          </w:p>
        </w:tc>
        <w:tc>
          <w:tcPr>
            <w:tcW w:w="1660" w:type="dxa"/>
            <w:shd w:val="clear" w:color="auto" w:fill="auto"/>
            <w:vAlign w:val="center"/>
          </w:tcPr>
          <w:p>
            <w:pPr>
              <w:jc w:val="center"/>
              <w:rPr>
                <w:noProof/>
                <w:color w:val="000000"/>
                <w:sz w:val="22"/>
                <w:szCs w:val="22"/>
              </w:rPr>
            </w:pPr>
            <w:r>
              <w:rPr>
                <w:noProof/>
                <w:color w:val="000000"/>
                <w:sz w:val="22"/>
                <w:szCs w:val="22"/>
              </w:rPr>
              <w:t>4</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United Kingdom</w:t>
            </w:r>
          </w:p>
        </w:tc>
        <w:tc>
          <w:tcPr>
            <w:tcW w:w="3609" w:type="dxa"/>
            <w:shd w:val="clear" w:color="auto" w:fill="auto"/>
            <w:vAlign w:val="center"/>
          </w:tcPr>
          <w:p>
            <w:pPr>
              <w:jc w:val="center"/>
              <w:rPr>
                <w:noProof/>
                <w:color w:val="000000"/>
                <w:sz w:val="22"/>
                <w:szCs w:val="22"/>
              </w:rPr>
            </w:pPr>
            <w:r>
              <w:rPr>
                <w:noProof/>
                <w:color w:val="000000"/>
                <w:sz w:val="22"/>
                <w:szCs w:val="22"/>
              </w:rPr>
              <w:t>House of Commons</w:t>
            </w:r>
          </w:p>
        </w:tc>
        <w:tc>
          <w:tcPr>
            <w:tcW w:w="1660" w:type="dxa"/>
            <w:shd w:val="clear" w:color="auto" w:fill="auto"/>
            <w:vAlign w:val="center"/>
          </w:tcPr>
          <w:p>
            <w:pPr>
              <w:jc w:val="center"/>
              <w:rPr>
                <w:noProof/>
                <w:color w:val="000000"/>
                <w:sz w:val="22"/>
                <w:szCs w:val="22"/>
              </w:rPr>
            </w:pPr>
            <w:r>
              <w:rPr>
                <w:noProof/>
                <w:color w:val="000000"/>
                <w:sz w:val="22"/>
                <w:szCs w:val="22"/>
              </w:rPr>
              <w:t>3</w:t>
            </w:r>
          </w:p>
        </w:tc>
        <w:tc>
          <w:tcPr>
            <w:tcW w:w="2364" w:type="dxa"/>
            <w:shd w:val="clear" w:color="auto" w:fill="auto"/>
            <w:vAlign w:val="center"/>
          </w:tcPr>
          <w:p>
            <w:pPr>
              <w:jc w:val="center"/>
              <w:rPr>
                <w:noProof/>
                <w:color w:val="000000"/>
                <w:sz w:val="22"/>
                <w:szCs w:val="22"/>
              </w:rPr>
            </w:pPr>
            <w:r>
              <w:rPr>
                <w:noProof/>
                <w:color w:val="000000"/>
                <w:sz w:val="22"/>
                <w:szCs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Greece</w:t>
            </w:r>
          </w:p>
        </w:tc>
        <w:tc>
          <w:tcPr>
            <w:tcW w:w="3609" w:type="dxa"/>
            <w:shd w:val="clear" w:color="auto" w:fill="auto"/>
            <w:vAlign w:val="center"/>
          </w:tcPr>
          <w:p>
            <w:pPr>
              <w:jc w:val="center"/>
              <w:rPr>
                <w:i/>
                <w:iCs/>
                <w:noProof/>
                <w:color w:val="000000"/>
                <w:sz w:val="22"/>
                <w:szCs w:val="22"/>
              </w:rPr>
            </w:pPr>
            <w:r>
              <w:rPr>
                <w:i/>
                <w:iCs/>
                <w:noProof/>
                <w:color w:val="000000"/>
                <w:sz w:val="22"/>
                <w:szCs w:val="22"/>
              </w:rPr>
              <w:t>Vouli ton Ellinon</w:t>
            </w:r>
          </w:p>
        </w:tc>
        <w:tc>
          <w:tcPr>
            <w:tcW w:w="1660" w:type="dxa"/>
            <w:shd w:val="clear" w:color="auto" w:fill="auto"/>
            <w:vAlign w:val="center"/>
          </w:tcPr>
          <w:p>
            <w:pPr>
              <w:jc w:val="center"/>
              <w:rPr>
                <w:noProof/>
                <w:color w:val="000000"/>
                <w:sz w:val="22"/>
                <w:szCs w:val="22"/>
              </w:rPr>
            </w:pPr>
            <w:r>
              <w:rPr>
                <w:noProof/>
                <w:color w:val="000000"/>
                <w:sz w:val="22"/>
                <w:szCs w:val="22"/>
              </w:rPr>
              <w:t>3</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Ireland</w:t>
            </w:r>
          </w:p>
        </w:tc>
        <w:tc>
          <w:tcPr>
            <w:tcW w:w="3609" w:type="dxa"/>
            <w:shd w:val="clear" w:color="auto" w:fill="auto"/>
            <w:vAlign w:val="center"/>
          </w:tcPr>
          <w:p>
            <w:pPr>
              <w:jc w:val="center"/>
              <w:rPr>
                <w:noProof/>
                <w:color w:val="000000"/>
                <w:sz w:val="22"/>
                <w:szCs w:val="22"/>
              </w:rPr>
            </w:pPr>
            <w:r>
              <w:rPr>
                <w:noProof/>
                <w:color w:val="000000"/>
                <w:sz w:val="22"/>
                <w:szCs w:val="22"/>
              </w:rPr>
              <w:t xml:space="preserve">Houses of the </w:t>
            </w:r>
            <w:r>
              <w:rPr>
                <w:i/>
                <w:iCs/>
                <w:noProof/>
                <w:color w:val="000000"/>
                <w:sz w:val="22"/>
                <w:szCs w:val="22"/>
              </w:rPr>
              <w:t>Oireachtas:</w:t>
            </w:r>
            <w:r>
              <w:rPr>
                <w:noProof/>
                <w:color w:val="000000"/>
                <w:sz w:val="22"/>
                <w:szCs w:val="22"/>
              </w:rPr>
              <w:br/>
            </w:r>
            <w:r>
              <w:rPr>
                <w:i/>
                <w:iCs/>
                <w:noProof/>
                <w:color w:val="000000"/>
                <w:sz w:val="22"/>
                <w:szCs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szCs w:val="22"/>
              </w:rPr>
              <w:t>2</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Belgium</w:t>
            </w:r>
          </w:p>
        </w:tc>
        <w:tc>
          <w:tcPr>
            <w:tcW w:w="3609" w:type="dxa"/>
            <w:shd w:val="clear" w:color="auto" w:fill="auto"/>
            <w:vAlign w:val="center"/>
          </w:tcPr>
          <w:p>
            <w:pPr>
              <w:jc w:val="center"/>
              <w:rPr>
                <w:i/>
                <w:iCs/>
                <w:noProof/>
                <w:color w:val="000000"/>
                <w:sz w:val="22"/>
                <w:szCs w:val="22"/>
                <w:lang w:val="fr-BE"/>
              </w:rPr>
            </w:pPr>
            <w:r>
              <w:rPr>
                <w:i/>
                <w:iCs/>
                <w:noProof/>
                <w:color w:val="000000"/>
                <w:sz w:val="22"/>
                <w:szCs w:val="22"/>
                <w:lang w:val="fr-BE"/>
              </w:rPr>
              <w:t>Chambre des Représentants de Belgique / Belgische Kamer van volksvertegenwoordigers</w:t>
            </w:r>
          </w:p>
        </w:tc>
        <w:tc>
          <w:tcPr>
            <w:tcW w:w="1660" w:type="dxa"/>
            <w:shd w:val="clear" w:color="auto" w:fill="auto"/>
            <w:vAlign w:val="center"/>
          </w:tcPr>
          <w:p>
            <w:pPr>
              <w:jc w:val="center"/>
              <w:rPr>
                <w:noProof/>
                <w:color w:val="000000"/>
                <w:sz w:val="22"/>
                <w:szCs w:val="22"/>
              </w:rPr>
            </w:pPr>
            <w:r>
              <w:rPr>
                <w:noProof/>
                <w:color w:val="000000"/>
                <w:sz w:val="22"/>
                <w:szCs w:val="22"/>
              </w:rPr>
              <w:t>2</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Croatia</w:t>
            </w:r>
          </w:p>
        </w:tc>
        <w:tc>
          <w:tcPr>
            <w:tcW w:w="3609" w:type="dxa"/>
            <w:shd w:val="clear" w:color="auto" w:fill="auto"/>
            <w:vAlign w:val="center"/>
          </w:tcPr>
          <w:p>
            <w:pPr>
              <w:jc w:val="center"/>
              <w:rPr>
                <w:i/>
                <w:iCs/>
                <w:noProof/>
                <w:color w:val="000000"/>
                <w:sz w:val="22"/>
                <w:szCs w:val="22"/>
              </w:rPr>
            </w:pPr>
            <w:r>
              <w:rPr>
                <w:i/>
                <w:iCs/>
                <w:noProof/>
                <w:color w:val="000000"/>
                <w:sz w:val="22"/>
                <w:szCs w:val="22"/>
              </w:rPr>
              <w:t xml:space="preserve">Hrvatski Sabor </w:t>
            </w:r>
          </w:p>
        </w:tc>
        <w:tc>
          <w:tcPr>
            <w:tcW w:w="1660" w:type="dxa"/>
            <w:shd w:val="clear" w:color="auto" w:fill="auto"/>
            <w:vAlign w:val="center"/>
          </w:tcPr>
          <w:p>
            <w:pPr>
              <w:jc w:val="center"/>
              <w:rPr>
                <w:noProof/>
                <w:color w:val="000000"/>
                <w:sz w:val="22"/>
                <w:szCs w:val="22"/>
              </w:rPr>
            </w:pPr>
            <w:r>
              <w:rPr>
                <w:noProof/>
                <w:color w:val="000000"/>
                <w:sz w:val="22"/>
                <w:szCs w:val="22"/>
              </w:rPr>
              <w:t>2</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Lithuania</w:t>
            </w:r>
          </w:p>
        </w:tc>
        <w:tc>
          <w:tcPr>
            <w:tcW w:w="3609" w:type="dxa"/>
            <w:shd w:val="clear" w:color="auto" w:fill="auto"/>
            <w:vAlign w:val="center"/>
          </w:tcPr>
          <w:p>
            <w:pPr>
              <w:jc w:val="center"/>
              <w:rPr>
                <w:i/>
                <w:iCs/>
                <w:noProof/>
                <w:color w:val="000000"/>
                <w:sz w:val="22"/>
                <w:szCs w:val="22"/>
              </w:rPr>
            </w:pPr>
            <w:r>
              <w:rPr>
                <w:i/>
                <w:iCs/>
                <w:noProof/>
                <w:color w:val="000000"/>
                <w:sz w:val="22"/>
                <w:szCs w:val="22"/>
              </w:rPr>
              <w:t>Seimas</w:t>
            </w:r>
          </w:p>
        </w:tc>
        <w:tc>
          <w:tcPr>
            <w:tcW w:w="1660" w:type="dxa"/>
            <w:shd w:val="clear" w:color="auto" w:fill="auto"/>
            <w:vAlign w:val="center"/>
          </w:tcPr>
          <w:p>
            <w:pPr>
              <w:jc w:val="center"/>
              <w:rPr>
                <w:noProof/>
                <w:color w:val="000000"/>
                <w:sz w:val="22"/>
                <w:szCs w:val="22"/>
              </w:rPr>
            </w:pPr>
            <w:r>
              <w:rPr>
                <w:noProof/>
                <w:color w:val="000000"/>
                <w:sz w:val="22"/>
                <w:szCs w:val="22"/>
              </w:rPr>
              <w:t>2</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Ireland</w:t>
            </w:r>
          </w:p>
        </w:tc>
        <w:tc>
          <w:tcPr>
            <w:tcW w:w="3609" w:type="dxa"/>
            <w:shd w:val="clear" w:color="auto" w:fill="auto"/>
            <w:vAlign w:val="center"/>
          </w:tcPr>
          <w:p>
            <w:pPr>
              <w:jc w:val="center"/>
              <w:rPr>
                <w:noProof/>
                <w:color w:val="000000"/>
                <w:sz w:val="22"/>
                <w:szCs w:val="22"/>
              </w:rPr>
            </w:pPr>
            <w:r>
              <w:rPr>
                <w:noProof/>
                <w:color w:val="000000"/>
                <w:sz w:val="22"/>
                <w:szCs w:val="22"/>
              </w:rPr>
              <w:t xml:space="preserve">Houses of the </w:t>
            </w:r>
            <w:r>
              <w:rPr>
                <w:i/>
                <w:iCs/>
                <w:noProof/>
                <w:color w:val="000000"/>
                <w:sz w:val="22"/>
                <w:szCs w:val="22"/>
              </w:rPr>
              <w:t>Oireachtas:</w:t>
            </w:r>
            <w:r>
              <w:rPr>
                <w:noProof/>
                <w:color w:val="000000"/>
                <w:sz w:val="22"/>
                <w:szCs w:val="22"/>
              </w:rPr>
              <w:br/>
            </w:r>
            <w:r>
              <w:rPr>
                <w:i/>
                <w:iCs/>
                <w:noProof/>
                <w:color w:val="000000"/>
                <w:sz w:val="22"/>
                <w:szCs w:val="22"/>
              </w:rPr>
              <w:t>Dáil</w:t>
            </w:r>
            <w:r>
              <w:rPr>
                <w:noProof/>
                <w:color w:val="000000"/>
                <w:sz w:val="22"/>
                <w:szCs w:val="22"/>
              </w:rPr>
              <w:t xml:space="preserve"> </w:t>
            </w:r>
            <w:r>
              <w:rPr>
                <w:i/>
                <w:iCs/>
                <w:noProof/>
                <w:color w:val="000000"/>
                <w:sz w:val="22"/>
                <w:szCs w:val="22"/>
              </w:rPr>
              <w:t xml:space="preserve">Éireann </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Austria</w:t>
            </w:r>
          </w:p>
        </w:tc>
        <w:tc>
          <w:tcPr>
            <w:tcW w:w="3609" w:type="dxa"/>
            <w:shd w:val="clear" w:color="auto" w:fill="auto"/>
            <w:vAlign w:val="center"/>
          </w:tcPr>
          <w:p>
            <w:pPr>
              <w:jc w:val="center"/>
              <w:rPr>
                <w:i/>
                <w:iCs/>
                <w:noProof/>
                <w:color w:val="000000"/>
                <w:sz w:val="22"/>
                <w:szCs w:val="22"/>
              </w:rPr>
            </w:pPr>
            <w:r>
              <w:rPr>
                <w:i/>
                <w:iCs/>
                <w:noProof/>
                <w:color w:val="000000"/>
                <w:sz w:val="22"/>
                <w:szCs w:val="22"/>
              </w:rPr>
              <w:t>Nationalrat</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Belgium</w:t>
            </w:r>
          </w:p>
        </w:tc>
        <w:tc>
          <w:tcPr>
            <w:tcW w:w="3609" w:type="dxa"/>
            <w:shd w:val="clear" w:color="auto" w:fill="auto"/>
            <w:vAlign w:val="center"/>
          </w:tcPr>
          <w:p>
            <w:pPr>
              <w:jc w:val="center"/>
              <w:rPr>
                <w:i/>
                <w:iCs/>
                <w:noProof/>
                <w:color w:val="000000"/>
                <w:sz w:val="22"/>
                <w:szCs w:val="22"/>
                <w:lang w:val="fr-BE"/>
              </w:rPr>
            </w:pPr>
            <w:r>
              <w:rPr>
                <w:i/>
                <w:iCs/>
                <w:noProof/>
                <w:color w:val="000000"/>
                <w:sz w:val="22"/>
                <w:szCs w:val="22"/>
                <w:lang w:val="fr-BE"/>
              </w:rPr>
              <w:t>Sénat de Belgique / Belgische Senaat</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Bulgaria</w:t>
            </w:r>
          </w:p>
        </w:tc>
        <w:tc>
          <w:tcPr>
            <w:tcW w:w="3609" w:type="dxa"/>
            <w:shd w:val="clear" w:color="auto" w:fill="auto"/>
            <w:vAlign w:val="center"/>
          </w:tcPr>
          <w:p>
            <w:pPr>
              <w:jc w:val="center"/>
              <w:rPr>
                <w:i/>
                <w:iCs/>
                <w:noProof/>
                <w:color w:val="000000"/>
                <w:sz w:val="22"/>
                <w:szCs w:val="22"/>
              </w:rPr>
            </w:pPr>
            <w:r>
              <w:rPr>
                <w:i/>
                <w:iCs/>
                <w:noProof/>
                <w:color w:val="000000"/>
                <w:sz w:val="22"/>
                <w:szCs w:val="22"/>
              </w:rPr>
              <w:t>Narodno Sabranie</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Luxembourg</w:t>
            </w:r>
          </w:p>
        </w:tc>
        <w:tc>
          <w:tcPr>
            <w:tcW w:w="3609" w:type="dxa"/>
            <w:shd w:val="clear" w:color="auto" w:fill="auto"/>
            <w:vAlign w:val="center"/>
          </w:tcPr>
          <w:p>
            <w:pPr>
              <w:jc w:val="center"/>
              <w:rPr>
                <w:i/>
                <w:iCs/>
                <w:noProof/>
                <w:color w:val="000000"/>
                <w:sz w:val="22"/>
                <w:szCs w:val="22"/>
              </w:rPr>
            </w:pPr>
            <w:r>
              <w:rPr>
                <w:i/>
                <w:iCs/>
                <w:noProof/>
                <w:color w:val="000000"/>
                <w:sz w:val="22"/>
                <w:szCs w:val="22"/>
              </w:rPr>
              <w:t>Chambre des Députés</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Malta</w:t>
            </w:r>
          </w:p>
        </w:tc>
        <w:tc>
          <w:tcPr>
            <w:tcW w:w="3609" w:type="dxa"/>
            <w:shd w:val="clear" w:color="auto" w:fill="auto"/>
            <w:vAlign w:val="center"/>
          </w:tcPr>
          <w:p>
            <w:pPr>
              <w:jc w:val="center"/>
              <w:rPr>
                <w:i/>
                <w:iCs/>
                <w:noProof/>
                <w:color w:val="000000"/>
                <w:sz w:val="22"/>
                <w:szCs w:val="22"/>
              </w:rPr>
            </w:pPr>
            <w:r>
              <w:rPr>
                <w:i/>
                <w:iCs/>
                <w:noProof/>
                <w:color w:val="000000"/>
                <w:sz w:val="22"/>
                <w:szCs w:val="22"/>
              </w:rPr>
              <w:t>Kamra tad-Deputati</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Slovenia</w:t>
            </w:r>
          </w:p>
        </w:tc>
        <w:tc>
          <w:tcPr>
            <w:tcW w:w="3609" w:type="dxa"/>
            <w:shd w:val="clear" w:color="auto" w:fill="auto"/>
            <w:vAlign w:val="center"/>
          </w:tcPr>
          <w:p>
            <w:pPr>
              <w:jc w:val="center"/>
              <w:rPr>
                <w:i/>
                <w:iCs/>
                <w:noProof/>
                <w:color w:val="000000"/>
                <w:sz w:val="22"/>
                <w:szCs w:val="22"/>
              </w:rPr>
            </w:pPr>
            <w:r>
              <w:rPr>
                <w:i/>
                <w:iCs/>
                <w:noProof/>
                <w:color w:val="000000"/>
                <w:sz w:val="22"/>
                <w:szCs w:val="22"/>
              </w:rPr>
              <w:t>Državni svet</w:t>
            </w:r>
          </w:p>
        </w:tc>
        <w:tc>
          <w:tcPr>
            <w:tcW w:w="1660" w:type="dxa"/>
            <w:shd w:val="clear" w:color="auto" w:fill="auto"/>
            <w:vAlign w:val="center"/>
          </w:tcPr>
          <w:p>
            <w:pPr>
              <w:jc w:val="center"/>
              <w:rPr>
                <w:noProof/>
                <w:color w:val="000000"/>
                <w:sz w:val="22"/>
                <w:szCs w:val="22"/>
              </w:rPr>
            </w:pPr>
            <w:r>
              <w:rPr>
                <w:noProof/>
                <w:color w:val="000000"/>
                <w:sz w:val="22"/>
                <w:szCs w:val="22"/>
              </w:rPr>
              <w:t>1</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Estonia</w:t>
            </w:r>
          </w:p>
        </w:tc>
        <w:tc>
          <w:tcPr>
            <w:tcW w:w="3609" w:type="dxa"/>
            <w:shd w:val="clear" w:color="auto" w:fill="auto"/>
            <w:vAlign w:val="center"/>
          </w:tcPr>
          <w:p>
            <w:pPr>
              <w:jc w:val="center"/>
              <w:rPr>
                <w:i/>
                <w:iCs/>
                <w:noProof/>
                <w:color w:val="000000"/>
                <w:sz w:val="22"/>
                <w:szCs w:val="22"/>
              </w:rPr>
            </w:pPr>
            <w:r>
              <w:rPr>
                <w:i/>
                <w:iCs/>
                <w:noProof/>
                <w:color w:val="000000"/>
                <w:sz w:val="22"/>
                <w:szCs w:val="22"/>
              </w:rPr>
              <w:t>Riigikogu</w:t>
            </w:r>
          </w:p>
        </w:tc>
        <w:tc>
          <w:tcPr>
            <w:tcW w:w="1660" w:type="dxa"/>
            <w:shd w:val="clear" w:color="auto" w:fill="auto"/>
            <w:vAlign w:val="center"/>
          </w:tcPr>
          <w:p>
            <w:pPr>
              <w:jc w:val="center"/>
              <w:rPr>
                <w:noProof/>
                <w:color w:val="000000"/>
                <w:sz w:val="22"/>
                <w:szCs w:val="22"/>
              </w:rPr>
            </w:pPr>
            <w:r>
              <w:rPr>
                <w:noProof/>
                <w:color w:val="000000"/>
                <w:sz w:val="22"/>
                <w:szCs w:val="22"/>
              </w:rPr>
              <w:t>0</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Finland</w:t>
            </w:r>
          </w:p>
        </w:tc>
        <w:tc>
          <w:tcPr>
            <w:tcW w:w="3609" w:type="dxa"/>
            <w:shd w:val="clear" w:color="auto" w:fill="auto"/>
            <w:vAlign w:val="center"/>
          </w:tcPr>
          <w:p>
            <w:pPr>
              <w:jc w:val="center"/>
              <w:rPr>
                <w:i/>
                <w:iCs/>
                <w:noProof/>
                <w:color w:val="000000"/>
                <w:sz w:val="22"/>
                <w:szCs w:val="22"/>
              </w:rPr>
            </w:pPr>
            <w:r>
              <w:rPr>
                <w:i/>
                <w:iCs/>
                <w:noProof/>
                <w:color w:val="000000"/>
                <w:sz w:val="22"/>
                <w:szCs w:val="22"/>
              </w:rPr>
              <w:t>Eduskunta</w:t>
            </w:r>
          </w:p>
        </w:tc>
        <w:tc>
          <w:tcPr>
            <w:tcW w:w="1660" w:type="dxa"/>
            <w:shd w:val="clear" w:color="auto" w:fill="auto"/>
            <w:vAlign w:val="center"/>
          </w:tcPr>
          <w:p>
            <w:pPr>
              <w:jc w:val="center"/>
              <w:rPr>
                <w:noProof/>
                <w:color w:val="000000"/>
                <w:sz w:val="22"/>
                <w:szCs w:val="22"/>
              </w:rPr>
            </w:pPr>
            <w:r>
              <w:rPr>
                <w:noProof/>
                <w:color w:val="000000"/>
                <w:sz w:val="22"/>
                <w:szCs w:val="22"/>
              </w:rPr>
              <w:t>0</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Latvia</w:t>
            </w:r>
          </w:p>
        </w:tc>
        <w:tc>
          <w:tcPr>
            <w:tcW w:w="3609" w:type="dxa"/>
            <w:shd w:val="clear" w:color="auto" w:fill="auto"/>
            <w:vAlign w:val="center"/>
          </w:tcPr>
          <w:p>
            <w:pPr>
              <w:jc w:val="center"/>
              <w:rPr>
                <w:i/>
                <w:iCs/>
                <w:noProof/>
                <w:color w:val="000000"/>
                <w:sz w:val="22"/>
                <w:szCs w:val="22"/>
              </w:rPr>
            </w:pPr>
            <w:r>
              <w:rPr>
                <w:i/>
                <w:iCs/>
                <w:noProof/>
                <w:color w:val="000000"/>
                <w:sz w:val="22"/>
                <w:szCs w:val="22"/>
              </w:rPr>
              <w:t>Saeima</w:t>
            </w:r>
          </w:p>
        </w:tc>
        <w:tc>
          <w:tcPr>
            <w:tcW w:w="1660" w:type="dxa"/>
            <w:shd w:val="clear" w:color="auto" w:fill="auto"/>
            <w:vAlign w:val="center"/>
          </w:tcPr>
          <w:p>
            <w:pPr>
              <w:jc w:val="center"/>
              <w:rPr>
                <w:noProof/>
                <w:color w:val="000000"/>
                <w:sz w:val="22"/>
                <w:szCs w:val="22"/>
              </w:rPr>
            </w:pPr>
            <w:r>
              <w:rPr>
                <w:noProof/>
                <w:color w:val="000000"/>
                <w:sz w:val="22"/>
                <w:szCs w:val="22"/>
              </w:rPr>
              <w:t>0</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szCs w:val="22"/>
              </w:rPr>
              <w:t>Slovenia</w:t>
            </w:r>
          </w:p>
        </w:tc>
        <w:tc>
          <w:tcPr>
            <w:tcW w:w="3609" w:type="dxa"/>
            <w:shd w:val="clear" w:color="auto" w:fill="auto"/>
            <w:vAlign w:val="center"/>
          </w:tcPr>
          <w:p>
            <w:pPr>
              <w:jc w:val="center"/>
              <w:rPr>
                <w:i/>
                <w:iCs/>
                <w:noProof/>
                <w:color w:val="000000"/>
                <w:sz w:val="22"/>
                <w:szCs w:val="22"/>
              </w:rPr>
            </w:pPr>
            <w:r>
              <w:rPr>
                <w:i/>
                <w:iCs/>
                <w:noProof/>
                <w:color w:val="000000"/>
                <w:sz w:val="22"/>
                <w:szCs w:val="22"/>
              </w:rPr>
              <w:t>Državni zbor</w:t>
            </w:r>
          </w:p>
        </w:tc>
        <w:tc>
          <w:tcPr>
            <w:tcW w:w="1660" w:type="dxa"/>
            <w:shd w:val="clear" w:color="auto" w:fill="auto"/>
            <w:vAlign w:val="center"/>
          </w:tcPr>
          <w:p>
            <w:pPr>
              <w:jc w:val="center"/>
              <w:rPr>
                <w:noProof/>
                <w:color w:val="000000"/>
                <w:sz w:val="22"/>
                <w:szCs w:val="22"/>
              </w:rPr>
            </w:pPr>
            <w:r>
              <w:rPr>
                <w:noProof/>
                <w:color w:val="000000"/>
                <w:sz w:val="22"/>
                <w:szCs w:val="22"/>
              </w:rPr>
              <w:t>0</w:t>
            </w:r>
          </w:p>
        </w:tc>
        <w:tc>
          <w:tcPr>
            <w:tcW w:w="2364" w:type="dxa"/>
            <w:shd w:val="clear" w:color="auto" w:fill="auto"/>
            <w:vAlign w:val="center"/>
          </w:tcPr>
          <w:p>
            <w:pPr>
              <w:jc w:val="center"/>
              <w:rPr>
                <w:noProof/>
                <w:color w:val="000000"/>
                <w:sz w:val="22"/>
                <w:szCs w:val="22"/>
              </w:rPr>
            </w:pPr>
            <w:r>
              <w:rPr>
                <w:noProof/>
                <w:color w:val="000000"/>
                <w:sz w:val="22"/>
                <w:szCs w:val="22"/>
              </w:rPr>
              <w:t>0</w:t>
            </w:r>
          </w:p>
        </w:tc>
      </w:tr>
      <w:tr>
        <w:trPr>
          <w:cantSplit/>
        </w:trPr>
        <w:tc>
          <w:tcPr>
            <w:tcW w:w="5518" w:type="dxa"/>
            <w:gridSpan w:val="2"/>
            <w:shd w:val="clear" w:color="auto" w:fill="auto"/>
            <w:vAlign w:val="center"/>
          </w:tcPr>
          <w:p>
            <w:pPr>
              <w:jc w:val="center"/>
              <w:rPr>
                <w:b/>
                <w:noProof/>
                <w:sz w:val="22"/>
                <w:szCs w:val="22"/>
              </w:rPr>
            </w:pPr>
            <w:r>
              <w:rPr>
                <w:b/>
                <w:noProof/>
                <w:sz w:val="22"/>
                <w:szCs w:val="22"/>
              </w:rPr>
              <w:t>TOTAL</w:t>
            </w:r>
          </w:p>
        </w:tc>
        <w:tc>
          <w:tcPr>
            <w:tcW w:w="1660" w:type="dxa"/>
            <w:shd w:val="clear" w:color="auto" w:fill="auto"/>
          </w:tcPr>
          <w:p>
            <w:pPr>
              <w:jc w:val="center"/>
              <w:rPr>
                <w:b/>
                <w:noProof/>
                <w:sz w:val="22"/>
                <w:szCs w:val="22"/>
              </w:rPr>
            </w:pPr>
            <w:r>
              <w:rPr>
                <w:b/>
                <w:noProof/>
                <w:sz w:val="22"/>
                <w:szCs w:val="22"/>
              </w:rPr>
              <w:t>576</w:t>
            </w:r>
          </w:p>
        </w:tc>
        <w:tc>
          <w:tcPr>
            <w:tcW w:w="2364" w:type="dxa"/>
            <w:shd w:val="clear" w:color="auto" w:fill="auto"/>
          </w:tcPr>
          <w:p>
            <w:pPr>
              <w:jc w:val="center"/>
              <w:rPr>
                <w:b/>
                <w:noProof/>
                <w:sz w:val="22"/>
                <w:szCs w:val="22"/>
              </w:rPr>
            </w:pPr>
            <w:r>
              <w:rPr>
                <w:b/>
                <w:noProof/>
                <w:sz w:val="22"/>
                <w:szCs w:val="22"/>
              </w:rPr>
              <w:t>52</w:t>
            </w:r>
          </w:p>
        </w:tc>
      </w:tr>
    </w:tbl>
    <w:p>
      <w:pPr>
        <w:rPr>
          <w:b/>
          <w:noProof/>
          <w:u w:val="single"/>
        </w:rPr>
      </w:pPr>
    </w:p>
    <w:p>
      <w:pPr>
        <w:jc w:val="left"/>
        <w:rPr>
          <w:b/>
          <w:noProof/>
          <w:u w:val="single"/>
        </w:rPr>
      </w:pPr>
      <w:r>
        <w:rPr>
          <w:b/>
          <w:noProof/>
          <w:u w:val="single"/>
        </w:rPr>
        <w:br w:type="page"/>
      </w:r>
    </w:p>
    <w:p>
      <w:pPr>
        <w:spacing w:after="240"/>
        <w:jc w:val="center"/>
        <w:rPr>
          <w:b/>
          <w:noProof/>
          <w:u w:val="single"/>
        </w:rPr>
      </w:pPr>
      <w:r>
        <w:rPr>
          <w:b/>
          <w:noProof/>
          <w:u w:val="single"/>
        </w:rPr>
        <w:t>ANNEX 2</w:t>
      </w:r>
    </w:p>
    <w:p>
      <w:pPr>
        <w:spacing w:after="240"/>
        <w:jc w:val="center"/>
        <w:rPr>
          <w:b/>
          <w:noProof/>
        </w:rPr>
      </w:pPr>
      <w:r>
        <w:rPr>
          <w:b/>
          <w:noProof/>
        </w:rPr>
        <w:t>Commission documents generating the highest number of opinions</w:t>
      </w:r>
      <w:r>
        <w:rPr>
          <w:rStyle w:val="FootnoteReference"/>
          <w:noProof/>
        </w:rPr>
        <w:footnoteReference w:id="4"/>
      </w:r>
      <w:r>
        <w:rPr>
          <w:b/>
          <w:noProof/>
        </w:rPr>
        <w:t xml:space="preserve"> received by the Commission in 2017 (political dialogue and subsidiarity control mechanism)</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343"/>
        <w:gridCol w:w="1164"/>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lang w:eastAsia="en-GB"/>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Commission</w:t>
            </w:r>
            <w:r>
              <w:rPr>
                <w:b/>
                <w:bCs/>
                <w:noProof/>
                <w:color w:val="000000"/>
                <w:sz w:val="22"/>
                <w:szCs w:val="22"/>
                <w:lang w:eastAsia="en-GB"/>
              </w:rPr>
              <w:br/>
              <w:t>document</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Title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Total</w:t>
            </w:r>
            <w:r>
              <w:rPr>
                <w:b/>
                <w:bCs/>
                <w:noProof/>
                <w:color w:val="000000"/>
                <w:sz w:val="22"/>
                <w:szCs w:val="22"/>
                <w:lang w:eastAsia="en-GB"/>
              </w:rPr>
              <w:br/>
              <w:t>number</w:t>
            </w:r>
            <w:r>
              <w:rPr>
                <w:b/>
                <w:bCs/>
                <w:noProof/>
                <w:color w:val="000000"/>
                <w:sz w:val="22"/>
                <w:szCs w:val="22"/>
                <w:lang w:eastAsia="en-GB"/>
              </w:rPr>
              <w:br/>
              <w:t>of</w:t>
            </w:r>
            <w:r>
              <w:rPr>
                <w:b/>
                <w:bCs/>
                <w:noProof/>
                <w:color w:val="000000"/>
                <w:sz w:val="22"/>
                <w:szCs w:val="22"/>
                <w:lang w:eastAsia="en-GB"/>
              </w:rPr>
              <w:br/>
              <w:t>opinions</w:t>
            </w:r>
            <w:r>
              <w:rPr>
                <w:rStyle w:val="FootnoteReference"/>
                <w:b/>
                <w:bCs/>
                <w:noProof/>
                <w:color w:val="000000"/>
                <w:sz w:val="22"/>
                <w:szCs w:val="22"/>
                <w:lang w:eastAsia="en-GB"/>
              </w:rPr>
              <w:footnoteReference w:id="5"/>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Number</w:t>
            </w:r>
            <w:r>
              <w:rPr>
                <w:b/>
                <w:bCs/>
                <w:noProof/>
                <w:color w:val="000000"/>
                <w:sz w:val="22"/>
                <w:szCs w:val="22"/>
                <w:lang w:eastAsia="en-GB"/>
              </w:rPr>
              <w:br/>
              <w:t>of which were</w:t>
            </w:r>
            <w:r>
              <w:rPr>
                <w:b/>
                <w:bCs/>
                <w:noProof/>
                <w:color w:val="000000"/>
                <w:sz w:val="22"/>
                <w:szCs w:val="22"/>
                <w:lang w:eastAsia="en-GB"/>
              </w:rPr>
              <w:br/>
              <w:t>reasoned opinions</w:t>
            </w:r>
            <w:r>
              <w:rPr>
                <w:b/>
                <w:bCs/>
                <w:noProof/>
                <w:color w:val="000000"/>
                <w:sz w:val="22"/>
                <w:szCs w:val="22"/>
                <w:lang w:eastAsia="en-GB"/>
              </w:rPr>
              <w:br/>
              <w:t>(Protocol 2)</w:t>
            </w:r>
            <w:r>
              <w:rPr>
                <w:rStyle w:val="FootnoteReference"/>
                <w:b/>
                <w:bCs/>
                <w:noProof/>
                <w:color w:val="000000"/>
                <w:sz w:val="22"/>
                <w:szCs w:val="22"/>
                <w:lang w:eastAsia="en-GB"/>
              </w:rPr>
              <w:footnoteReference w:id="6"/>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COM(2016)861</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on the </w:t>
            </w:r>
            <w:r>
              <w:rPr>
                <w:b/>
                <w:noProof/>
                <w:color w:val="000000"/>
                <w:sz w:val="22"/>
                <w:szCs w:val="22"/>
                <w:lang w:eastAsia="en-GB"/>
              </w:rPr>
              <w:t>internal market for electricity</w:t>
            </w:r>
            <w:r>
              <w:rPr>
                <w:noProof/>
                <w:color w:val="000000"/>
                <w:sz w:val="22"/>
                <w:szCs w:val="22"/>
                <w:lang w:eastAsia="en-GB"/>
              </w:rPr>
              <w:t xml:space="preserve"> (recast)</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16</w:t>
            </w:r>
            <w:r>
              <w:rPr>
                <w:rStyle w:val="FootnoteReference"/>
                <w:noProof/>
                <w:color w:val="000000"/>
                <w:sz w:val="22"/>
                <w:szCs w:val="22"/>
                <w:lang w:eastAsia="en-GB"/>
              </w:rPr>
              <w:footnoteReference w:id="7"/>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11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COM(2017)253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w:t>
            </w:r>
            <w:r>
              <w:rPr>
                <w:b/>
                <w:noProof/>
                <w:color w:val="000000"/>
                <w:sz w:val="22"/>
                <w:szCs w:val="22"/>
                <w:lang w:eastAsia="en-GB"/>
              </w:rPr>
              <w:t xml:space="preserve">work-life balance for parents and carers </w:t>
            </w:r>
            <w:r>
              <w:rPr>
                <w:noProof/>
                <w:color w:val="000000"/>
                <w:sz w:val="22"/>
                <w:szCs w:val="22"/>
                <w:lang w:eastAsia="en-GB"/>
              </w:rPr>
              <w:t>and repealing Council Directive 2010/18/EU</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10</w:t>
            </w:r>
            <w:r>
              <w:rPr>
                <w:rStyle w:val="FootnoteReference"/>
                <w:noProof/>
                <w:color w:val="000000"/>
                <w:sz w:val="22"/>
                <w:szCs w:val="22"/>
                <w:lang w:eastAsia="en-GB"/>
              </w:rPr>
              <w:footnoteReference w:id="8"/>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COM(2016)864</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w:t>
            </w:r>
            <w:r>
              <w:rPr>
                <w:b/>
                <w:noProof/>
                <w:color w:val="000000"/>
                <w:sz w:val="22"/>
                <w:szCs w:val="22"/>
                <w:lang w:eastAsia="en-GB"/>
              </w:rPr>
              <w:t>common rules for the internal market in electricity</w:t>
            </w:r>
            <w:r>
              <w:rPr>
                <w:noProof/>
                <w:color w:val="000000"/>
                <w:sz w:val="22"/>
                <w:szCs w:val="22"/>
                <w:lang w:eastAsia="en-GB"/>
              </w:rPr>
              <w:t xml:space="preserve"> (recast)</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10</w:t>
            </w:r>
            <w:r>
              <w:rPr>
                <w:rStyle w:val="FootnoteReference"/>
                <w:noProof/>
                <w:color w:val="000000"/>
                <w:sz w:val="22"/>
                <w:szCs w:val="22"/>
                <w:lang w:eastAsia="en-GB"/>
              </w:rPr>
              <w:footnoteReference w:id="9"/>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COM(2016)767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the </w:t>
            </w:r>
            <w:r>
              <w:rPr>
                <w:b/>
                <w:noProof/>
                <w:color w:val="000000"/>
                <w:sz w:val="22"/>
                <w:szCs w:val="22"/>
                <w:lang w:eastAsia="en-GB"/>
              </w:rPr>
              <w:t>promotion of the use of energy from renewable sources</w:t>
            </w:r>
            <w:r>
              <w:rPr>
                <w:noProof/>
                <w:color w:val="000000"/>
                <w:sz w:val="22"/>
                <w:szCs w:val="22"/>
                <w:lang w:eastAsia="en-GB"/>
              </w:rPr>
              <w:t xml:space="preserve"> (recast)</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10</w:t>
            </w:r>
            <w:r>
              <w:rPr>
                <w:rStyle w:val="FootnoteReference"/>
                <w:noProof/>
                <w:color w:val="000000"/>
                <w:sz w:val="22"/>
                <w:szCs w:val="22"/>
                <w:lang w:eastAsia="en-GB"/>
              </w:rPr>
              <w:footnoteReference w:id="10"/>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COM(2017)10</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concerning the </w:t>
            </w:r>
            <w:r>
              <w:rPr>
                <w:b/>
                <w:noProof/>
                <w:color w:val="000000"/>
                <w:sz w:val="22"/>
                <w:szCs w:val="22"/>
                <w:lang w:eastAsia="en-GB"/>
              </w:rPr>
              <w:t>respect for private life and the protection of personal data in electronic communications</w:t>
            </w:r>
            <w:r>
              <w:rPr>
                <w:noProof/>
                <w:color w:val="000000"/>
                <w:sz w:val="22"/>
                <w:szCs w:val="22"/>
                <w:lang w:eastAsia="en-GB"/>
              </w:rPr>
              <w:t xml:space="preserve"> and repealing Directive 2002/58/EC (Regulation on Privacy and Electronic Communications)</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10</w:t>
            </w:r>
            <w:r>
              <w:rPr>
                <w:rStyle w:val="FootnoteReference"/>
                <w:noProof/>
                <w:color w:val="000000"/>
                <w:sz w:val="22"/>
                <w:szCs w:val="22"/>
                <w:lang w:eastAsia="en-GB"/>
              </w:rPr>
              <w:footnoteReference w:id="11"/>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6</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COM(2016)822</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a </w:t>
            </w:r>
            <w:r>
              <w:rPr>
                <w:b/>
                <w:noProof/>
                <w:color w:val="000000"/>
                <w:sz w:val="22"/>
                <w:szCs w:val="22"/>
                <w:lang w:eastAsia="en-GB"/>
              </w:rPr>
              <w:t>proportionality test before adoption of new regulation of professions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9</w:t>
            </w:r>
            <w:r>
              <w:rPr>
                <w:rStyle w:val="FootnoteReference"/>
                <w:noProof/>
                <w:color w:val="000000"/>
                <w:sz w:val="22"/>
                <w:szCs w:val="22"/>
                <w:lang w:eastAsia="en-GB"/>
              </w:rPr>
              <w:footnoteReference w:id="12"/>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5</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7</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COM(2016)863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establishing a </w:t>
            </w:r>
            <w:r>
              <w:rPr>
                <w:b/>
                <w:noProof/>
                <w:color w:val="000000"/>
                <w:sz w:val="22"/>
                <w:szCs w:val="22"/>
                <w:lang w:eastAsia="en-GB"/>
              </w:rPr>
              <w:t>European Union Agency for the Cooperation of Energy Regulators</w:t>
            </w:r>
            <w:r>
              <w:rPr>
                <w:noProof/>
                <w:color w:val="000000"/>
                <w:sz w:val="22"/>
                <w:szCs w:val="22"/>
                <w:lang w:eastAsia="en-GB"/>
              </w:rPr>
              <w:t xml:space="preserve"> (recast)</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9</w:t>
            </w:r>
            <w:r>
              <w:rPr>
                <w:rStyle w:val="FootnoteReference"/>
                <w:noProof/>
                <w:color w:val="000000"/>
                <w:sz w:val="22"/>
                <w:szCs w:val="22"/>
                <w:lang w:eastAsia="en-GB"/>
              </w:rPr>
              <w:footnoteReference w:id="13"/>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8</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COM(2016)821</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the enforcement of the Directive 2006/123/EC on services in the internal market, laying down a </w:t>
            </w:r>
            <w:r>
              <w:rPr>
                <w:b/>
                <w:noProof/>
                <w:color w:val="000000"/>
                <w:sz w:val="22"/>
                <w:szCs w:val="22"/>
                <w:lang w:eastAsia="en-GB"/>
              </w:rPr>
              <w:t>notification procedure for authorisation schemes and requirements related to services</w:t>
            </w:r>
            <w:r>
              <w:rPr>
                <w:noProof/>
                <w:color w:val="000000"/>
                <w:sz w:val="22"/>
                <w:szCs w:val="22"/>
                <w:lang w:eastAsia="en-GB"/>
              </w:rPr>
              <w:t xml:space="preserve">, and amending Directive 2006/123/EC and Regulation (EU) No 1024/2012 on </w:t>
            </w:r>
            <w:r>
              <w:rPr>
                <w:b/>
                <w:noProof/>
                <w:color w:val="000000"/>
                <w:sz w:val="22"/>
                <w:szCs w:val="22"/>
                <w:lang w:eastAsia="en-GB"/>
              </w:rPr>
              <w:t>administrative cooperation through the Internal Market Information System</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8</w:t>
            </w:r>
            <w:r>
              <w:rPr>
                <w:rStyle w:val="FootnoteReference"/>
                <w:noProof/>
                <w:color w:val="000000"/>
                <w:sz w:val="22"/>
                <w:szCs w:val="22"/>
                <w:lang w:eastAsia="en-GB"/>
              </w:rPr>
              <w:footnoteReference w:id="14"/>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9</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COM(2016)815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amending Regulation (EC) No 883/2004 on the </w:t>
            </w:r>
            <w:r>
              <w:rPr>
                <w:b/>
                <w:noProof/>
                <w:color w:val="000000"/>
                <w:sz w:val="22"/>
                <w:szCs w:val="22"/>
                <w:lang w:eastAsia="en-GB"/>
              </w:rPr>
              <w:t>coordination of social security systems</w:t>
            </w:r>
            <w:r>
              <w:rPr>
                <w:noProof/>
                <w:color w:val="000000"/>
                <w:sz w:val="22"/>
                <w:szCs w:val="22"/>
                <w:lang w:eastAsia="en-GB"/>
              </w:rPr>
              <w:t xml:space="preserve"> and regulation (EC) No 987/2009 laying down the procedure for implementing Regulation (EC) No 883/2004</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10</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COM(2016)710</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b/>
                <w:noProof/>
                <w:color w:val="000000"/>
                <w:sz w:val="22"/>
                <w:szCs w:val="22"/>
                <w:lang w:eastAsia="en-GB"/>
              </w:rPr>
              <w:t>Commission Work Programme 2017</w:t>
            </w:r>
            <w:r>
              <w:rPr>
                <w:noProof/>
                <w:color w:val="000000"/>
                <w:sz w:val="22"/>
                <w:szCs w:val="22"/>
                <w:lang w:eastAsia="en-GB"/>
              </w:rPr>
              <w:t>: Delivering a Europe that protects, empowers and defends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11</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COM(2016)765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amending Directive 2010/31/EU on the </w:t>
            </w:r>
            <w:r>
              <w:rPr>
                <w:b/>
                <w:noProof/>
                <w:color w:val="000000"/>
                <w:sz w:val="22"/>
                <w:szCs w:val="22"/>
                <w:lang w:eastAsia="en-GB"/>
              </w:rPr>
              <w:t>energy performance of buildings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7</w:t>
            </w:r>
            <w:r>
              <w:rPr>
                <w:rStyle w:val="FootnoteReference"/>
                <w:noProof/>
                <w:color w:val="000000"/>
                <w:sz w:val="22"/>
                <w:szCs w:val="22"/>
                <w:lang w:eastAsia="en-GB"/>
              </w:rPr>
              <w:footnoteReference w:id="15"/>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COM(2016)723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Directive of the European Parliament and of the Council on </w:t>
            </w:r>
            <w:r>
              <w:rPr>
                <w:b/>
                <w:noProof/>
                <w:color w:val="000000"/>
                <w:sz w:val="22"/>
                <w:szCs w:val="22"/>
                <w:lang w:eastAsia="en-GB"/>
              </w:rPr>
              <w:t xml:space="preserve">preventive restructuring frameworks, second chance and measures to increase the efficiency of restructuring, insolvency and discharge procedures </w:t>
            </w:r>
            <w:r>
              <w:rPr>
                <w:noProof/>
                <w:color w:val="000000"/>
                <w:sz w:val="22"/>
                <w:szCs w:val="22"/>
                <w:lang w:eastAsia="en-GB"/>
              </w:rPr>
              <w:t>and amending Directive 2012/30/EU</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7</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COM(2016)759</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on the </w:t>
            </w:r>
            <w:r>
              <w:rPr>
                <w:b/>
                <w:noProof/>
                <w:color w:val="000000"/>
                <w:sz w:val="22"/>
                <w:szCs w:val="22"/>
                <w:lang w:eastAsia="en-GB"/>
              </w:rPr>
              <w:t>Governance of the Energy Union</w:t>
            </w:r>
            <w:r>
              <w:rPr>
                <w:noProof/>
                <w:color w:val="000000"/>
                <w:sz w:val="22"/>
                <w:szCs w:val="22"/>
                <w:lang w:eastAsia="en-GB"/>
              </w:rPr>
              <w:t>,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7</w:t>
            </w:r>
            <w:r>
              <w:rPr>
                <w:rStyle w:val="FootnoteReference"/>
                <w:noProof/>
                <w:color w:val="000000"/>
                <w:sz w:val="22"/>
                <w:szCs w:val="22"/>
                <w:lang w:eastAsia="en-GB"/>
              </w:rPr>
              <w:footnoteReference w:id="16"/>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COM(2017)277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lang w:eastAsia="en-GB"/>
              </w:rPr>
            </w:pPr>
            <w:r>
              <w:rPr>
                <w:noProof/>
                <w:color w:val="000000"/>
                <w:sz w:val="22"/>
                <w:szCs w:val="22"/>
                <w:lang w:eastAsia="en-GB"/>
              </w:rPr>
              <w:t xml:space="preserve">Proposal for a Regulation of the European Parliament and of the Council amending Regulation (EC) No 561/2006 as regards on </w:t>
            </w:r>
            <w:r>
              <w:rPr>
                <w:b/>
                <w:noProof/>
                <w:color w:val="000000"/>
                <w:sz w:val="22"/>
                <w:szCs w:val="22"/>
                <w:lang w:eastAsia="en-GB"/>
              </w:rPr>
              <w:t>minimum requirements on maximum daily and weekly driving times</w:t>
            </w:r>
            <w:r>
              <w:rPr>
                <w:noProof/>
                <w:color w:val="000000"/>
                <w:sz w:val="22"/>
                <w:szCs w:val="22"/>
                <w:lang w:eastAsia="en-GB"/>
              </w:rPr>
              <w:t xml:space="preserve">, minimum breaks and daily and weekly rest periods and Regulation (EU) 165/2014 as regards positioning by means of </w:t>
            </w:r>
            <w:r>
              <w:rPr>
                <w:b/>
                <w:noProof/>
                <w:color w:val="000000"/>
                <w:sz w:val="22"/>
                <w:szCs w:val="22"/>
                <w:lang w:eastAsia="en-GB"/>
              </w:rPr>
              <w:t>tachographs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7</w:t>
            </w:r>
            <w:r>
              <w:rPr>
                <w:rStyle w:val="FootnoteReference"/>
                <w:noProof/>
                <w:color w:val="000000"/>
                <w:sz w:val="22"/>
                <w:szCs w:val="22"/>
                <w:lang w:eastAsia="en-GB"/>
              </w:rPr>
              <w:footnoteReference w:id="17"/>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bl>
    <w:p>
      <w:pPr>
        <w:rPr>
          <w:b/>
          <w:noProof/>
        </w:rPr>
      </w:pPr>
      <w:r>
        <w:rPr>
          <w:b/>
          <w:noProof/>
        </w:rPr>
        <w:br w:type="page"/>
      </w:r>
    </w:p>
    <w:p>
      <w:pPr>
        <w:spacing w:after="240"/>
        <w:jc w:val="center"/>
        <w:rPr>
          <w:b/>
          <w:noProof/>
          <w:u w:val="single"/>
        </w:rPr>
      </w:pPr>
      <w:r>
        <w:rPr>
          <w:b/>
          <w:noProof/>
          <w:u w:val="single"/>
        </w:rPr>
        <w:t>ANNEX 3</w:t>
      </w:r>
    </w:p>
    <w:p>
      <w:pPr>
        <w:spacing w:after="240"/>
        <w:jc w:val="center"/>
        <w:rPr>
          <w:b/>
          <w:noProof/>
        </w:rPr>
      </w:pPr>
      <w:r>
        <w:rPr>
          <w:b/>
          <w:noProof/>
        </w:rPr>
        <w:t>Number of opinions received by the Commission in 2017 per lead Commission service (political dialogue and subsidiarity control mechanism)</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6548"/>
        <w:gridCol w:w="2234"/>
      </w:tblGrid>
      <w:tr>
        <w:trPr>
          <w:trHeight w:val="340"/>
        </w:trPr>
        <w:tc>
          <w:tcPr>
            <w:tcW w:w="0" w:type="auto"/>
            <w:vAlign w:val="center"/>
          </w:tcPr>
          <w:p>
            <w:pPr>
              <w:jc w:val="center"/>
              <w:rPr>
                <w:rFonts w:ascii="Times New Roman" w:hAnsi="Times New Roman" w:cs="Times New Roman"/>
                <w:b/>
                <w:noProof/>
                <w:sz w:val="22"/>
              </w:rPr>
            </w:pPr>
            <w:r>
              <w:rPr>
                <w:rFonts w:ascii="Times New Roman" w:hAnsi="Times New Roman" w:cs="Times New Roman"/>
                <w:b/>
                <w:noProof/>
                <w:sz w:val="22"/>
              </w:rPr>
              <w:t>Lead Commission Service</w:t>
            </w:r>
          </w:p>
        </w:tc>
        <w:tc>
          <w:tcPr>
            <w:tcW w:w="2234" w:type="dxa"/>
            <w:vAlign w:val="center"/>
          </w:tcPr>
          <w:p>
            <w:pPr>
              <w:jc w:val="center"/>
              <w:rPr>
                <w:rFonts w:ascii="Times New Roman" w:hAnsi="Times New Roman" w:cs="Times New Roman"/>
                <w:b/>
                <w:noProof/>
                <w:sz w:val="22"/>
              </w:rPr>
            </w:pPr>
            <w:r>
              <w:rPr>
                <w:rFonts w:ascii="Times New Roman" w:hAnsi="Times New Roman" w:cs="Times New Roman"/>
                <w:b/>
                <w:noProof/>
                <w:sz w:val="22"/>
              </w:rPr>
              <w:t>Total number</w:t>
            </w:r>
            <w:r>
              <w:rPr>
                <w:rFonts w:ascii="Times New Roman" w:hAnsi="Times New Roman" w:cs="Times New Roman"/>
                <w:b/>
                <w:noProof/>
                <w:sz w:val="22"/>
              </w:rPr>
              <w:br/>
              <w:t>of opinions</w:t>
            </w:r>
            <w:r>
              <w:rPr>
                <w:rStyle w:val="FootnoteReference"/>
                <w:rFonts w:ascii="Times New Roman" w:hAnsi="Times New Roman" w:cs="Times New Roman"/>
                <w:noProof/>
                <w:sz w:val="22"/>
              </w:rPr>
              <w:footnoteReference w:id="18"/>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Secretariat-General</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101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Energy</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65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Internal Market, Industry, Entrepreneurship and SMEs (GROW)</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52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Migration and Home Affairs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41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Justice and Consumers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Mobility and Transport</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36</w:t>
            </w:r>
          </w:p>
        </w:tc>
      </w:tr>
      <w:tr>
        <w:trPr>
          <w:trHeight w:val="340"/>
        </w:trPr>
        <w:tc>
          <w:tcPr>
            <w:tcW w:w="0" w:type="auto"/>
            <w:noWrap/>
          </w:tcPr>
          <w:p>
            <w:pPr>
              <w:rPr>
                <w:rFonts w:ascii="Times New Roman" w:hAnsi="Times New Roman" w:cs="Times New Roman"/>
                <w:noProof/>
                <w:sz w:val="22"/>
              </w:rPr>
            </w:pPr>
            <w:r>
              <w:rPr>
                <w:rFonts w:ascii="Times New Roman" w:hAnsi="Times New Roman" w:cs="Times New Roman"/>
                <w:noProof/>
                <w:sz w:val="22"/>
              </w:rPr>
              <w:t>DG Financial Stability, Financial Services and Capital Markets (FISMA)</w:t>
            </w:r>
          </w:p>
        </w:tc>
        <w:tc>
          <w:tcPr>
            <w:tcW w:w="2234" w:type="dxa"/>
            <w:noWrap/>
          </w:tcPr>
          <w:p>
            <w:pPr>
              <w:jc w:val="center"/>
              <w:rPr>
                <w:rFonts w:ascii="Times New Roman" w:hAnsi="Times New Roman" w:cs="Times New Roman"/>
                <w:noProof/>
                <w:sz w:val="22"/>
              </w:rPr>
            </w:pPr>
            <w:r>
              <w:rPr>
                <w:rFonts w:ascii="Times New Roman" w:hAnsi="Times New Roman" w:cs="Times New Roman"/>
                <w:noProof/>
                <w:sz w:val="22"/>
              </w:rPr>
              <w:t>33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Communications Network, Content and Technology</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Taxation and Customs Union</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29</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Education, Youth, Sports and Culture</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25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Employment, Social Affairs and Inclusion</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22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Agriculture and Rural Development</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15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Environment</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11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European External Action Service</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10</w:t>
            </w:r>
            <w:r>
              <w:rPr>
                <w:rStyle w:val="FootnoteReference"/>
                <w:rFonts w:ascii="Times New Roman" w:hAnsi="Times New Roman" w:cs="Times New Roman"/>
                <w:noProof/>
                <w:sz w:val="22"/>
              </w:rPr>
              <w:footnoteReference w:id="19"/>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Trade</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10</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Article 50 Task Force</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9</w:t>
            </w:r>
            <w:r>
              <w:rPr>
                <w:rStyle w:val="FootnoteReference"/>
                <w:rFonts w:ascii="Times New Roman" w:hAnsi="Times New Roman" w:cs="Times New Roman"/>
                <w:noProof/>
                <w:sz w:val="22"/>
              </w:rPr>
              <w:footnoteReference w:id="20"/>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Eurostat - European Statistics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Competition</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6</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Regional and Urban Policy</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6</w:t>
            </w:r>
          </w:p>
        </w:tc>
      </w:tr>
      <w:tr>
        <w:trPr>
          <w:trHeight w:val="340"/>
        </w:trPr>
        <w:tc>
          <w:tcPr>
            <w:tcW w:w="0" w:type="auto"/>
            <w:noWrap/>
          </w:tcPr>
          <w:p>
            <w:pPr>
              <w:rPr>
                <w:rFonts w:ascii="Times New Roman" w:hAnsi="Times New Roman" w:cs="Times New Roman"/>
                <w:noProof/>
                <w:sz w:val="22"/>
              </w:rPr>
            </w:pPr>
            <w:r>
              <w:rPr>
                <w:rFonts w:ascii="Times New Roman" w:hAnsi="Times New Roman" w:cs="Times New Roman"/>
                <w:noProof/>
                <w:sz w:val="22"/>
              </w:rPr>
              <w:t>DG Budget</w:t>
            </w:r>
          </w:p>
        </w:tc>
        <w:tc>
          <w:tcPr>
            <w:tcW w:w="2234" w:type="dxa"/>
            <w:noWrap/>
          </w:tcPr>
          <w:p>
            <w:pPr>
              <w:jc w:val="center"/>
              <w:rPr>
                <w:rFonts w:ascii="Times New Roman" w:hAnsi="Times New Roman" w:cs="Times New Roman"/>
                <w:noProof/>
                <w:sz w:val="22"/>
              </w:rPr>
            </w:pPr>
            <w:r>
              <w:rPr>
                <w:rFonts w:ascii="Times New Roman" w:hAnsi="Times New Roman" w:cs="Times New Roman"/>
                <w:noProof/>
                <w:sz w:val="22"/>
              </w:rPr>
              <w:t>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Economic and Financial Affairs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4</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Maritime Affairs and Fisheries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4</w:t>
            </w:r>
          </w:p>
        </w:tc>
      </w:tr>
      <w:tr>
        <w:trPr>
          <w:trHeight w:val="340"/>
        </w:trPr>
        <w:tc>
          <w:tcPr>
            <w:tcW w:w="0" w:type="auto"/>
            <w:noWrap/>
          </w:tcPr>
          <w:p>
            <w:pPr>
              <w:rPr>
                <w:rFonts w:ascii="Times New Roman" w:hAnsi="Times New Roman" w:cs="Times New Roman"/>
                <w:noProof/>
                <w:sz w:val="22"/>
              </w:rPr>
            </w:pPr>
            <w:r>
              <w:rPr>
                <w:rFonts w:ascii="Times New Roman" w:hAnsi="Times New Roman" w:cs="Times New Roman"/>
                <w:noProof/>
                <w:sz w:val="22"/>
              </w:rPr>
              <w:t>DG International Cooperation and Development</w:t>
            </w:r>
          </w:p>
        </w:tc>
        <w:tc>
          <w:tcPr>
            <w:tcW w:w="2234" w:type="dxa"/>
            <w:noWrap/>
          </w:tcPr>
          <w:p>
            <w:pPr>
              <w:jc w:val="center"/>
              <w:rPr>
                <w:rFonts w:ascii="Times New Roman" w:hAnsi="Times New Roman" w:cs="Times New Roman"/>
                <w:noProof/>
                <w:sz w:val="22"/>
              </w:rPr>
            </w:pPr>
            <w:r>
              <w:rPr>
                <w:rFonts w:ascii="Times New Roman" w:hAnsi="Times New Roman" w:cs="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European Neighbourhood Policy and Enlargement Negotiations</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Research and Innovation (RTD)</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Health and Food Safety</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cs="Times New Roman"/>
                <w:noProof/>
                <w:sz w:val="22"/>
              </w:rPr>
              <w:t>DG Climate Action</w:t>
            </w:r>
          </w:p>
        </w:tc>
        <w:tc>
          <w:tcPr>
            <w:tcW w:w="2234" w:type="dxa"/>
            <w:noWrap/>
            <w:hideMark/>
          </w:tcPr>
          <w:p>
            <w:pPr>
              <w:jc w:val="center"/>
              <w:rPr>
                <w:rFonts w:ascii="Times New Roman" w:hAnsi="Times New Roman" w:cs="Times New Roman"/>
                <w:noProof/>
                <w:sz w:val="22"/>
              </w:rPr>
            </w:pPr>
            <w:r>
              <w:rPr>
                <w:rFonts w:ascii="Times New Roman" w:hAnsi="Times New Roman" w:cs="Times New Roman"/>
                <w:noProof/>
                <w:sz w:val="22"/>
              </w:rPr>
              <w:t>2</w:t>
            </w:r>
          </w:p>
        </w:tc>
      </w:tr>
      <w:tr>
        <w:trPr>
          <w:trHeight w:val="340"/>
        </w:trPr>
        <w:tc>
          <w:tcPr>
            <w:tcW w:w="0" w:type="auto"/>
            <w:vAlign w:val="center"/>
          </w:tcPr>
          <w:p>
            <w:pPr>
              <w:rPr>
                <w:rFonts w:ascii="Times New Roman" w:hAnsi="Times New Roman" w:cs="Times New Roman"/>
                <w:noProof/>
                <w:sz w:val="22"/>
              </w:rPr>
            </w:pPr>
            <w:r>
              <w:rPr>
                <w:rFonts w:ascii="Times New Roman" w:hAnsi="Times New Roman" w:cs="Times New Roman"/>
                <w:noProof/>
                <w:sz w:val="22"/>
              </w:rPr>
              <w:t>TOTAL</w:t>
            </w:r>
          </w:p>
        </w:tc>
        <w:tc>
          <w:tcPr>
            <w:tcW w:w="2234" w:type="dxa"/>
            <w:vAlign w:val="center"/>
          </w:tcPr>
          <w:p>
            <w:pPr>
              <w:jc w:val="center"/>
              <w:rPr>
                <w:rFonts w:ascii="Times New Roman" w:hAnsi="Times New Roman" w:cs="Times New Roman"/>
                <w:b/>
                <w:noProof/>
                <w:sz w:val="22"/>
              </w:rPr>
            </w:pPr>
            <w:r>
              <w:rPr>
                <w:rFonts w:ascii="Times New Roman" w:hAnsi="Times New Roman" w:cs="Times New Roman"/>
                <w:b/>
                <w:noProof/>
                <w:sz w:val="22"/>
              </w:rPr>
              <w:t>576</w:t>
            </w:r>
          </w:p>
        </w:tc>
      </w:tr>
    </w:tbl>
    <w:p>
      <w:pPr>
        <w:rPr>
          <w:noProof/>
          <w:lang w:val="fr-BE"/>
        </w:rPr>
      </w:pPr>
    </w:p>
    <w:sectPr>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Including both opinions and reasoned opinions received from national Parliaments.</w:t>
      </w:r>
    </w:p>
  </w:footnote>
  <w:footnote w:id="2">
    <w:p>
      <w:pPr>
        <w:pStyle w:val="FootnoteText"/>
        <w:ind w:left="284" w:hanging="284"/>
      </w:pPr>
      <w:r>
        <w:rPr>
          <w:rStyle w:val="FootnoteReference"/>
        </w:rPr>
        <w:footnoteRef/>
      </w:r>
      <w:r>
        <w:t xml:space="preserve"> </w:t>
      </w:r>
      <w:r>
        <w:tab/>
        <w:t>To qualify as a reasoned opinion according to the definition in Protocol No 2, an opinion must clearly state a breach of subsidiarity and be sent to the Commission within eight weeks of the transmission of the legislative proposal to national Parliaments.</w:t>
      </w:r>
    </w:p>
  </w:footnote>
  <w:footnote w:id="3">
    <w:p>
      <w:pPr>
        <w:pStyle w:val="FootnoteText"/>
        <w:ind w:left="284" w:hanging="284"/>
      </w:pPr>
      <w:r>
        <w:rPr>
          <w:rStyle w:val="FootnoteReference"/>
        </w:rPr>
        <w:footnoteRef/>
      </w:r>
      <w:r>
        <w:t xml:space="preserve">    Counted as thirty-eight joint opinions from two chambers.</w:t>
      </w:r>
    </w:p>
  </w:footnote>
  <w:footnote w:id="4">
    <w:p>
      <w:pPr>
        <w:pStyle w:val="FootnoteText"/>
        <w:tabs>
          <w:tab w:val="left" w:pos="284"/>
        </w:tabs>
        <w:ind w:left="284" w:hanging="284"/>
      </w:pPr>
      <w:r>
        <w:rPr>
          <w:rStyle w:val="FootnoteReference"/>
        </w:rPr>
        <w:footnoteRef/>
      </w:r>
      <w:r>
        <w:t xml:space="preserve"> </w:t>
      </w:r>
      <w:r>
        <w:tab/>
        <w:t>The table ranks all Commission documents for which at least seven opinions were received.</w:t>
      </w:r>
    </w:p>
  </w:footnote>
  <w:footnote w:id="5">
    <w:p>
      <w:pPr>
        <w:pStyle w:val="FootnoteText"/>
        <w:ind w:left="284" w:hanging="284"/>
      </w:pPr>
      <w:r>
        <w:rPr>
          <w:rStyle w:val="FootnoteReference"/>
        </w:rPr>
        <w:footnoteRef/>
      </w:r>
      <w:r>
        <w:t xml:space="preserve"> </w:t>
      </w:r>
      <w:r>
        <w:tab/>
        <w:t>Including both opinions and reasoned opinions received from national Parliaments.</w:t>
      </w:r>
    </w:p>
  </w:footnote>
  <w:footnote w:id="6">
    <w:p>
      <w:pPr>
        <w:pStyle w:val="FootnoteText"/>
        <w:ind w:left="284" w:hanging="284"/>
      </w:pPr>
      <w:r>
        <w:rPr>
          <w:rStyle w:val="FootnoteReference"/>
        </w:rPr>
        <w:footnoteRef/>
      </w:r>
      <w:r>
        <w:t xml:space="preserve"> </w:t>
      </w:r>
      <w:r>
        <w:tab/>
        <w:t>To quialify as a reasoned opinion according to the definition in Protocol No 2, an opinion must clearly state a breach of subsidiarity and be sent to the Commission within eight weeks of the transmission of the legislative proposal to national Parliaments.</w:t>
      </w:r>
    </w:p>
  </w:footnote>
  <w:footnote w:id="7">
    <w:p>
      <w:pPr>
        <w:pStyle w:val="FootnoteText"/>
        <w:ind w:left="284" w:hanging="284"/>
      </w:pPr>
      <w:r>
        <w:rPr>
          <w:rStyle w:val="FootnoteReference"/>
        </w:rPr>
        <w:footnoteRef/>
      </w:r>
      <w:r>
        <w:t xml:space="preserve"> </w:t>
      </w:r>
      <w:r>
        <w:tab/>
        <w:t xml:space="preserve">One of the opinions concerning this Commission document, from the CZ </w:t>
      </w:r>
      <w:r>
        <w:rPr>
          <w:i/>
        </w:rPr>
        <w:t>Senát,</w:t>
      </w:r>
      <w:r>
        <w:t xml:space="preserve"> jointly concerned COM(2016)864, COM(2016)862, COM(2016)863 and COM(2016)861. One opinion from the from the PT </w:t>
      </w:r>
      <w:r>
        <w:rPr>
          <w:i/>
        </w:rPr>
        <w:t xml:space="preserve">Assambleia da República </w:t>
      </w:r>
      <w:r>
        <w:t xml:space="preserve">jointly concerned COM(2016)864, COM(2016)863 and COM(2016)861. </w:t>
      </w:r>
    </w:p>
  </w:footnote>
  <w:footnote w:id="8">
    <w:p>
      <w:pPr>
        <w:pStyle w:val="FootnoteText"/>
        <w:ind w:left="284" w:hanging="284"/>
      </w:pPr>
      <w:r>
        <w:rPr>
          <w:rStyle w:val="FootnoteReference"/>
        </w:rPr>
        <w:footnoteRef/>
      </w:r>
      <w:r>
        <w:t xml:space="preserve"> </w:t>
      </w:r>
      <w:r>
        <w:tab/>
        <w:t xml:space="preserve">Two opinions, from the PT </w:t>
      </w:r>
      <w:r>
        <w:rPr>
          <w:i/>
        </w:rPr>
        <w:t>Assambleia da República</w:t>
      </w:r>
      <w:r>
        <w:t xml:space="preserve">, and the RO </w:t>
      </w:r>
      <w:r>
        <w:rPr>
          <w:i/>
        </w:rPr>
        <w:t xml:space="preserve">Camera Deputaților, </w:t>
      </w:r>
      <w:r>
        <w:t xml:space="preserve">jointly concerned COM(2017)253 and COM(2017)252. </w:t>
      </w:r>
    </w:p>
  </w:footnote>
  <w:footnote w:id="9">
    <w:p>
      <w:pPr>
        <w:pStyle w:val="FootnoteText"/>
        <w:ind w:left="284" w:hanging="284"/>
      </w:pPr>
      <w:r>
        <w:rPr>
          <w:rStyle w:val="FootnoteReference"/>
        </w:rPr>
        <w:footnoteRef/>
      </w:r>
      <w:r>
        <w:t xml:space="preserve"> </w:t>
      </w:r>
      <w:r>
        <w:tab/>
        <w:t xml:space="preserve">One of the opinions concerning this Commission document, from the ES </w:t>
      </w:r>
      <w:r>
        <w:rPr>
          <w:i/>
        </w:rPr>
        <w:t>Cortes Generales</w:t>
      </w:r>
      <w:r>
        <w:t xml:space="preserve">, jointly concerned COM(2016)864 and COM(2016)767. One opinion from the CZ </w:t>
      </w:r>
      <w:r>
        <w:rPr>
          <w:i/>
        </w:rPr>
        <w:t>Senát,</w:t>
      </w:r>
      <w:r>
        <w:t xml:space="preserve"> jointly concerned COM(2016)864, COM(2016)862, COM(2016)863 and COM(2016)861. One opinion from the PT  </w:t>
      </w:r>
      <w:r>
        <w:rPr>
          <w:i/>
        </w:rPr>
        <w:t>Assembleia da República,</w:t>
      </w:r>
      <w:r>
        <w:t xml:space="preserve"> jointly concerned COM(2016)864, COM(2016)863 and  COM(2016)861.</w:t>
      </w:r>
    </w:p>
  </w:footnote>
  <w:footnote w:id="10">
    <w:p>
      <w:pPr>
        <w:pStyle w:val="FootnoteText"/>
        <w:ind w:left="284" w:hanging="284"/>
      </w:pPr>
      <w:r>
        <w:rPr>
          <w:rStyle w:val="FootnoteReference"/>
        </w:rPr>
        <w:footnoteRef/>
      </w:r>
      <w:r>
        <w:t xml:space="preserve"> </w:t>
      </w:r>
      <w:r>
        <w:tab/>
        <w:t xml:space="preserve">One of the opinions concerning this Commission document, from the CZ </w:t>
      </w:r>
      <w:r>
        <w:rPr>
          <w:i/>
        </w:rPr>
        <w:t>Senát,</w:t>
      </w:r>
      <w:r>
        <w:t xml:space="preserve"> jointly concerned COM(2016)759 and COM(2016)767. One opinion from the CZ </w:t>
      </w:r>
      <w:r>
        <w:rPr>
          <w:i/>
        </w:rPr>
        <w:t>Poslanecká sněmovna</w:t>
      </w:r>
      <w:r>
        <w:t>, jointly concerned COM(2016)759, COM(2016)767, COM(2016)761 and COM(2016)760,</w:t>
      </w:r>
    </w:p>
  </w:footnote>
  <w:footnote w:id="11">
    <w:p>
      <w:pPr>
        <w:pStyle w:val="FootnoteText"/>
        <w:ind w:left="284" w:hanging="284"/>
      </w:pPr>
      <w:r>
        <w:rPr>
          <w:rStyle w:val="FootnoteReference"/>
        </w:rPr>
        <w:footnoteRef/>
      </w:r>
      <w:r>
        <w:t xml:space="preserve"> </w:t>
      </w:r>
      <w:r>
        <w:tab/>
        <w:t xml:space="preserve">One of the opinions concerning this Commission document, from the CZ </w:t>
      </w:r>
      <w:r>
        <w:rPr>
          <w:i/>
        </w:rPr>
        <w:t>Poslanecká sněmovna</w:t>
      </w:r>
      <w:r>
        <w:t xml:space="preserve">, jointly concerned COM(2017)10, COM(2017)8 and COM(2017)7. </w:t>
      </w:r>
    </w:p>
  </w:footnote>
  <w:footnote w:id="12">
    <w:p>
      <w:pPr>
        <w:pStyle w:val="FootnoteText"/>
        <w:ind w:left="284" w:hanging="284"/>
      </w:pPr>
      <w:r>
        <w:rPr>
          <w:rStyle w:val="FootnoteReference"/>
        </w:rPr>
        <w:footnoteRef/>
      </w:r>
      <w:r>
        <w:t xml:space="preserve"> </w:t>
      </w:r>
      <w:r>
        <w:tab/>
        <w:t xml:space="preserve">One of the opinions concerning this Commission document, from the PT </w:t>
      </w:r>
      <w:r>
        <w:rPr>
          <w:i/>
        </w:rPr>
        <w:t xml:space="preserve">Assambleia da República, </w:t>
      </w:r>
      <w:r>
        <w:t xml:space="preserve"> jointly concerned COM(2016)824, COM(2016)823, COM(2016)821,  COM(2016)822 and COM(2016)820. One opinion from the ES </w:t>
      </w:r>
      <w:r>
        <w:rPr>
          <w:i/>
        </w:rPr>
        <w:t>Cortes Generales,</w:t>
      </w:r>
      <w:r>
        <w:t xml:space="preserve"> jointly concerned COM(2016)824, COM(2016)823 and  COM(2016)822.</w:t>
      </w:r>
    </w:p>
  </w:footnote>
  <w:footnote w:id="13">
    <w:p>
      <w:pPr>
        <w:pStyle w:val="FootnoteText"/>
        <w:ind w:left="284" w:hanging="284"/>
      </w:pPr>
      <w:r>
        <w:rPr>
          <w:rStyle w:val="FootnoteReference"/>
        </w:rPr>
        <w:footnoteRef/>
      </w:r>
      <w:r>
        <w:t xml:space="preserve"> </w:t>
      </w:r>
      <w:r>
        <w:tab/>
        <w:t xml:space="preserve">One of the opinions concerning this Commission document, from the CZ </w:t>
      </w:r>
      <w:r>
        <w:rPr>
          <w:i/>
        </w:rPr>
        <w:t>Senát,</w:t>
      </w:r>
      <w:r>
        <w:t xml:space="preserve"> jointly concerned COM(2016)864, COM(2016)862, COM(2016)863  and COM(2016)861. One opinion from the PT  </w:t>
      </w:r>
      <w:r>
        <w:rPr>
          <w:i/>
        </w:rPr>
        <w:t>Assembleia da República,</w:t>
      </w:r>
      <w:r>
        <w:t xml:space="preserve"> jointly concerned COM(2016)864, COM(2016)863 and  COM(2016)861. One opinion from the FR Sénat, jointly concerned COM(2016)863 and COM(2016)861. One opinion from the AT </w:t>
      </w:r>
      <w:r>
        <w:rPr>
          <w:i/>
          <w:iCs/>
        </w:rPr>
        <w:t xml:space="preserve">Bundesrat, </w:t>
      </w:r>
      <w:r>
        <w:rPr>
          <w:iCs/>
        </w:rPr>
        <w:t xml:space="preserve">jointly concerned </w:t>
      </w:r>
      <w:r>
        <w:t>COM(2016)862 and COM(2016)863.</w:t>
      </w:r>
    </w:p>
  </w:footnote>
  <w:footnote w:id="14">
    <w:p>
      <w:pPr>
        <w:pStyle w:val="FootnoteText"/>
        <w:ind w:left="284" w:hanging="284"/>
      </w:pPr>
      <w:r>
        <w:rPr>
          <w:rStyle w:val="FootnoteReference"/>
        </w:rPr>
        <w:footnoteRef/>
      </w:r>
      <w:r>
        <w:t xml:space="preserve"> </w:t>
      </w:r>
      <w:r>
        <w:tab/>
        <w:t xml:space="preserve">One of the opinions concerning this Commission document, from the PT </w:t>
      </w:r>
      <w:r>
        <w:rPr>
          <w:i/>
        </w:rPr>
        <w:t xml:space="preserve">Assambleia da República, </w:t>
      </w:r>
      <w:r>
        <w:t xml:space="preserve"> jointly concerned COM(2016)824, COM(2016)823, COM(2016)863,  COM(2016)822 and COM(2016)820. </w:t>
      </w:r>
    </w:p>
  </w:footnote>
  <w:footnote w:id="15">
    <w:p>
      <w:pPr>
        <w:pStyle w:val="FootnoteText"/>
        <w:ind w:left="284" w:hanging="284"/>
      </w:pPr>
      <w:r>
        <w:rPr>
          <w:rStyle w:val="FootnoteReference"/>
        </w:rPr>
        <w:footnoteRef/>
      </w:r>
      <w:r>
        <w:t xml:space="preserve"> </w:t>
      </w:r>
      <w:r>
        <w:tab/>
        <w:t xml:space="preserve">Tw opinions, from the AT </w:t>
      </w:r>
      <w:r>
        <w:rPr>
          <w:i/>
        </w:rPr>
        <w:t xml:space="preserve">Bundesrat </w:t>
      </w:r>
      <w:r>
        <w:t xml:space="preserve">and the PT </w:t>
      </w:r>
      <w:r>
        <w:rPr>
          <w:i/>
        </w:rPr>
        <w:t>Assambleia da República</w:t>
      </w:r>
      <w:r>
        <w:t xml:space="preserve">, jointly concerned COM(2016)765 and  COM(2016)761. One opinion from the CZ </w:t>
      </w:r>
      <w:r>
        <w:rPr>
          <w:i/>
        </w:rPr>
        <w:t>Senát</w:t>
      </w:r>
      <w:r>
        <w:t xml:space="preserve">, jointly concerned COM(2017)277 and  COM(2016)765 and  COM(2016)761. </w:t>
      </w:r>
    </w:p>
  </w:footnote>
  <w:footnote w:id="16">
    <w:p>
      <w:pPr>
        <w:pStyle w:val="FootnoteText"/>
        <w:ind w:left="284" w:hanging="284"/>
      </w:pPr>
      <w:r>
        <w:rPr>
          <w:rStyle w:val="FootnoteReference"/>
        </w:rPr>
        <w:footnoteRef/>
      </w:r>
      <w:r>
        <w:t xml:space="preserve"> </w:t>
      </w:r>
      <w:r>
        <w:tab/>
        <w:t xml:space="preserve">One of the opinions concerning this Commission document, from the CZ </w:t>
      </w:r>
      <w:r>
        <w:rPr>
          <w:i/>
        </w:rPr>
        <w:t xml:space="preserve">Senát, </w:t>
      </w:r>
      <w:r>
        <w:t xml:space="preserve"> jointly concerned COM(2016)759 and  COM(2016)767. One opinion from the CZ </w:t>
      </w:r>
      <w:r>
        <w:rPr>
          <w:i/>
        </w:rPr>
        <w:t>Poslanecká sněmovna</w:t>
      </w:r>
      <w:r>
        <w:t xml:space="preserve">, jointly concerned COM(2016)759, COM(2016)767, COM(2016)761 and  COM(2016)860. One opinion from the PL </w:t>
      </w:r>
      <w:r>
        <w:rPr>
          <w:i/>
        </w:rPr>
        <w:t xml:space="preserve">Sejm , </w:t>
      </w:r>
      <w:r>
        <w:t xml:space="preserve"> jointly concerned COM(2016)759 and  COM(2016)860. One opinion from the ES </w:t>
      </w:r>
      <w:r>
        <w:rPr>
          <w:i/>
        </w:rPr>
        <w:t>Cortes Generales</w:t>
      </w:r>
      <w:r>
        <w:t xml:space="preserve">, jointly concerned COM(2016)759 and  COM(2016)862. </w:t>
      </w:r>
    </w:p>
  </w:footnote>
  <w:footnote w:id="17">
    <w:p>
      <w:pPr>
        <w:pStyle w:val="FootnoteText"/>
        <w:ind w:left="284" w:hanging="284"/>
      </w:pPr>
      <w:r>
        <w:rPr>
          <w:rStyle w:val="FootnoteReference"/>
        </w:rPr>
        <w:footnoteRef/>
      </w:r>
      <w:r>
        <w:t xml:space="preserve"> </w:t>
      </w:r>
      <w:r>
        <w:tab/>
        <w:t xml:space="preserve">Two opinions, from the  HU </w:t>
      </w:r>
      <w:r>
        <w:rPr>
          <w:i/>
        </w:rPr>
        <w:t xml:space="preserve">Országgyűlés </w:t>
      </w:r>
      <w:r>
        <w:t xml:space="preserve">and from the PT </w:t>
      </w:r>
      <w:r>
        <w:rPr>
          <w:i/>
        </w:rPr>
        <w:t>Assambleia da República</w:t>
      </w:r>
      <w:r>
        <w:t xml:space="preserve">, jointly concerned COM(2017)277 and  COM(2017)278. One opinion from the FR </w:t>
      </w:r>
      <w:r>
        <w:rPr>
          <w:i/>
        </w:rPr>
        <w:t>Sénat</w:t>
      </w:r>
      <w:r>
        <w:t xml:space="preserve">, jointly concerned COM(2017)277, COM(2017)278 and COM(2017)281. One opinion from the CZ </w:t>
      </w:r>
      <w:r>
        <w:rPr>
          <w:i/>
        </w:rPr>
        <w:t>Senát</w:t>
      </w:r>
      <w:r>
        <w:t xml:space="preserve"> jointly concerned COM(2017)282,   COM(2017)277, COM(2017)278  and COM(2017)281.</w:t>
      </w:r>
    </w:p>
  </w:footnote>
  <w:footnote w:id="18">
    <w:p>
      <w:pPr>
        <w:pStyle w:val="FootnoteText"/>
        <w:tabs>
          <w:tab w:val="left" w:pos="284"/>
        </w:tabs>
        <w:ind w:left="284" w:hanging="284"/>
      </w:pPr>
      <w:r>
        <w:rPr>
          <w:rStyle w:val="FootnoteReference"/>
        </w:rPr>
        <w:footnoteRef/>
      </w:r>
      <w:r>
        <w:t xml:space="preserve"> </w:t>
      </w:r>
      <w:r>
        <w:tab/>
        <w:t>Including both opinions and reasoned opinions received from national Parliaments.</w:t>
      </w:r>
    </w:p>
  </w:footnote>
  <w:footnote w:id="19">
    <w:p>
      <w:pPr>
        <w:pStyle w:val="FootnoteText"/>
        <w:ind w:left="284" w:hanging="284"/>
      </w:pPr>
      <w:r>
        <w:rPr>
          <w:rStyle w:val="FootnoteReference"/>
        </w:rPr>
        <w:footnoteRef/>
      </w:r>
      <w:r>
        <w:t xml:space="preserve"> </w:t>
      </w:r>
      <w:r>
        <w:tab/>
        <w:t>The EEAS is not a Commission service but an independent body.</w:t>
      </w:r>
    </w:p>
  </w:footnote>
  <w:footnote w:id="20">
    <w:p>
      <w:pPr>
        <w:pStyle w:val="FootnoteText"/>
        <w:ind w:left="284" w:hanging="284"/>
      </w:pPr>
      <w:r>
        <w:rPr>
          <w:rStyle w:val="FootnoteReference"/>
        </w:rPr>
        <w:footnoteRef/>
      </w:r>
      <w:r>
        <w:t xml:space="preserve"> </w:t>
      </w:r>
      <w:r>
        <w:tab/>
        <w:t>The Art.50 Task Force is not a Commission service but an independent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7B8F374E-0965-489D-82C8-096FC3F347CB"/>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ON RELATIONS BETWEEN THE EUROPEAN COMMISSION AND NATIONAL PARLIAMENTS"/>
    <w:docVar w:name="LW_PART_NBR" w:val="&lt;UNUSED&gt;"/>
    <w:docVar w:name="LW_PART_NBR_TOTAL" w:val="&lt;UNUSED&gt;"/>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EurolookProperties>
  <Created>
    <Version>4.6</Version>
    <Date>2018-08-29T12:28:07</Date>
    <Language>EN</Language>
  </Created>
  <Edited>
    <Version>10.0.37441.0</Version>
    <Date>2018-08-29T12:31:20</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E185D78C-AD8C-44D8-9F36-C303026A0844}">
  <ds:schemaRefs/>
</ds:datastoreItem>
</file>

<file path=customXml/itemProps2.xml><?xml version="1.0" encoding="utf-8"?>
<ds:datastoreItem xmlns:ds="http://schemas.openxmlformats.org/officeDocument/2006/customXml" ds:itemID="{749A81CD-47B2-43EE-A84B-07911B2F577B}">
  <ds:schemaRefs/>
</ds:datastoreItem>
</file>

<file path=customXml/itemProps3.xml><?xml version="1.0" encoding="utf-8"?>
<ds:datastoreItem xmlns:ds="http://schemas.openxmlformats.org/officeDocument/2006/customXml" ds:itemID="{E0D61C8E-61D8-48E1-A8A1-D7C9F052D3F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1011</Words>
  <Characters>5480</Characters>
  <Application>Microsoft Office Word</Application>
  <DocSecurity>0</DocSecurity>
  <PresentationFormat>Microsoft Word 14.0</PresentationFormat>
  <Lines>421</Lines>
  <Paragraphs>360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Therace</dc:creator>
  <cp:keywords>EL4</cp:keywords>
  <cp:lastModifiedBy>WES PDFC Administrator</cp:lastModifiedBy>
  <cp:revision>8</cp:revision>
  <dcterms:created xsi:type="dcterms:W3CDTF">2018-08-29T10:28:00Z</dcterms:created>
  <dcterms:modified xsi:type="dcterms:W3CDTF">2018-10-16T14:35:00Z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3</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