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6A7C900-38E0-463D-9DCC-F1DA3F09451A" style="width:450.75pt;height:39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pPr>
        <w:autoSpaceDE w:val="0"/>
        <w:autoSpaceDN w:val="0"/>
        <w:adjustRightInd w:val="0"/>
        <w:jc w:val="center"/>
        <w:rPr>
          <w:b/>
          <w:noProof/>
          <w:szCs w:val="24"/>
        </w:rPr>
      </w:pPr>
      <w:bookmarkStart w:id="1" w:name="_GoBack"/>
      <w:bookmarkEnd w:id="1"/>
      <w:r>
        <w:rPr>
          <w:b/>
          <w:noProof/>
        </w:rPr>
        <w:lastRenderedPageBreak/>
        <w:t>Liste des documents de la Commission</w:t>
      </w:r>
      <w:r>
        <w:rPr>
          <w:b/>
          <w:noProof/>
          <w:szCs w:val="24"/>
        </w:rPr>
        <w:br/>
      </w:r>
      <w:r>
        <w:rPr>
          <w:b/>
          <w:noProof/>
        </w:rPr>
        <w:t>au sujet desquels la Commission a reçu des avis motivés</w:t>
      </w:r>
      <w:r>
        <w:rPr>
          <w:b/>
          <w:noProof/>
          <w:vertAlign w:val="superscript"/>
        </w:rPr>
        <w:footnoteReference w:id="1"/>
      </w:r>
      <w:r>
        <w:rPr>
          <w:b/>
          <w:noProof/>
        </w:rPr>
        <w:t xml:space="preserve"> </w:t>
      </w:r>
      <w:r>
        <w:rPr>
          <w:b/>
          <w:noProof/>
          <w:szCs w:val="24"/>
        </w:rPr>
        <w:br/>
      </w:r>
      <w:r>
        <w:rPr>
          <w:b/>
          <w:noProof/>
        </w:rPr>
        <w:t>de la part des parlements nationaux en 2017 en ce qui concerne le respect du principe de subsidiarité</w:t>
      </w:r>
    </w:p>
    <w:tbl>
      <w:tblPr>
        <w:tblW w:w="105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14"/>
        <w:gridCol w:w="1977"/>
        <w:gridCol w:w="2811"/>
        <w:gridCol w:w="1207"/>
        <w:gridCol w:w="1157"/>
        <w:gridCol w:w="3022"/>
      </w:tblGrid>
      <w:tr>
        <w:trPr>
          <w:cantSplit/>
          <w:tblHeader/>
        </w:trPr>
        <w:tc>
          <w:tcPr>
            <w:tcW w:w="414" w:type="dxa"/>
            <w:tcBorders>
              <w:top w:val="nil"/>
              <w:left w:val="nil"/>
            </w:tcBorders>
            <w:shd w:val="clear" w:color="auto" w:fill="auto"/>
            <w:vAlign w:val="center"/>
          </w:tcPr>
          <w:p>
            <w:pPr>
              <w:spacing w:after="0"/>
              <w:jc w:val="center"/>
              <w:rPr>
                <w:noProof/>
                <w:sz w:val="20"/>
              </w:rPr>
            </w:pPr>
          </w:p>
        </w:tc>
        <w:tc>
          <w:tcPr>
            <w:tcW w:w="1977" w:type="dxa"/>
            <w:shd w:val="clear" w:color="auto" w:fill="auto"/>
            <w:vAlign w:val="center"/>
          </w:tcPr>
          <w:p>
            <w:pPr>
              <w:spacing w:after="0"/>
              <w:jc w:val="center"/>
              <w:rPr>
                <w:b/>
                <w:noProof/>
                <w:sz w:val="20"/>
              </w:rPr>
            </w:pPr>
            <w:r>
              <w:rPr>
                <w:b/>
                <w:noProof/>
                <w:sz w:val="20"/>
              </w:rPr>
              <w:t>Document de la</w:t>
            </w:r>
            <w:r>
              <w:rPr>
                <w:b/>
                <w:noProof/>
                <w:sz w:val="20"/>
              </w:rPr>
              <w:br/>
              <w:t>Commission</w:t>
            </w:r>
          </w:p>
        </w:tc>
        <w:tc>
          <w:tcPr>
            <w:tcW w:w="2811" w:type="dxa"/>
            <w:shd w:val="clear" w:color="auto" w:fill="auto"/>
            <w:vAlign w:val="center"/>
          </w:tcPr>
          <w:p>
            <w:pPr>
              <w:spacing w:after="0"/>
              <w:jc w:val="center"/>
              <w:rPr>
                <w:noProof/>
                <w:sz w:val="20"/>
              </w:rPr>
            </w:pPr>
            <w:r>
              <w:rPr>
                <w:b/>
                <w:noProof/>
                <w:sz w:val="20"/>
              </w:rPr>
              <w:t>Intitulé</w:t>
            </w:r>
          </w:p>
        </w:tc>
        <w:tc>
          <w:tcPr>
            <w:tcW w:w="1207" w:type="dxa"/>
            <w:shd w:val="clear" w:color="auto" w:fill="auto"/>
            <w:vAlign w:val="center"/>
          </w:tcPr>
          <w:p>
            <w:pPr>
              <w:spacing w:after="0"/>
              <w:jc w:val="center"/>
              <w:rPr>
                <w:b/>
                <w:noProof/>
                <w:sz w:val="20"/>
              </w:rPr>
            </w:pPr>
            <w:r>
              <w:rPr>
                <w:b/>
                <w:noProof/>
                <w:sz w:val="20"/>
              </w:rPr>
              <w:t>Nombre</w:t>
            </w:r>
            <w:r>
              <w:rPr>
                <w:b/>
                <w:noProof/>
                <w:sz w:val="20"/>
              </w:rPr>
              <w:br/>
              <w:t>d’avis</w:t>
            </w:r>
            <w:r>
              <w:rPr>
                <w:b/>
                <w:noProof/>
                <w:sz w:val="20"/>
              </w:rPr>
              <w:br/>
              <w:t>motivés</w:t>
            </w:r>
            <w:r>
              <w:rPr>
                <w:b/>
                <w:noProof/>
                <w:sz w:val="20"/>
              </w:rPr>
              <w:br/>
              <w:t>(protocole</w:t>
            </w:r>
            <w:r>
              <w:rPr>
                <w:b/>
                <w:noProof/>
                <w:sz w:val="20"/>
              </w:rPr>
              <w:br/>
              <w:t>nº 2)</w:t>
            </w:r>
          </w:p>
        </w:tc>
        <w:tc>
          <w:tcPr>
            <w:tcW w:w="1157" w:type="dxa"/>
            <w:shd w:val="clear" w:color="auto" w:fill="auto"/>
            <w:vAlign w:val="center"/>
          </w:tcPr>
          <w:p>
            <w:pPr>
              <w:spacing w:after="0"/>
              <w:jc w:val="center"/>
              <w:rPr>
                <w:noProof/>
                <w:sz w:val="20"/>
              </w:rPr>
            </w:pPr>
            <w:r>
              <w:rPr>
                <w:b/>
                <w:noProof/>
                <w:sz w:val="20"/>
              </w:rPr>
              <w:t>Nombre</w:t>
            </w:r>
            <w:r>
              <w:rPr>
                <w:b/>
                <w:noProof/>
                <w:sz w:val="20"/>
              </w:rPr>
              <w:br/>
              <w:t>de voix</w:t>
            </w:r>
            <w:r>
              <w:rPr>
                <w:b/>
                <w:noProof/>
                <w:sz w:val="20"/>
              </w:rPr>
              <w:br/>
              <w:t>(protocole</w:t>
            </w:r>
            <w:r>
              <w:rPr>
                <w:b/>
                <w:noProof/>
                <w:sz w:val="20"/>
              </w:rPr>
              <w:br/>
              <w:t>nº 2)</w:t>
            </w:r>
            <w:r>
              <w:rPr>
                <w:noProof/>
                <w:sz w:val="20"/>
                <w:vertAlign w:val="superscript"/>
              </w:rPr>
              <w:footnoteReference w:id="2"/>
            </w:r>
          </w:p>
        </w:tc>
        <w:tc>
          <w:tcPr>
            <w:tcW w:w="3022" w:type="dxa"/>
            <w:shd w:val="clear" w:color="auto" w:fill="auto"/>
            <w:vAlign w:val="center"/>
          </w:tcPr>
          <w:p>
            <w:pPr>
              <w:spacing w:after="0"/>
              <w:jc w:val="center"/>
              <w:rPr>
                <w:noProof/>
                <w:sz w:val="20"/>
              </w:rPr>
            </w:pPr>
            <w:r>
              <w:rPr>
                <w:b/>
                <w:noProof/>
                <w:sz w:val="20"/>
              </w:rPr>
              <w:t>Chambres nationales</w:t>
            </w:r>
            <w:r>
              <w:rPr>
                <w:b/>
                <w:noProof/>
                <w:sz w:val="20"/>
              </w:rPr>
              <w:br/>
              <w:t>ayant émis</w:t>
            </w:r>
            <w:r>
              <w:rPr>
                <w:b/>
                <w:noProof/>
                <w:sz w:val="20"/>
              </w:rPr>
              <w:br/>
              <w:t>un avis motivé</w:t>
            </w:r>
          </w:p>
        </w:tc>
      </w:tr>
      <w:tr>
        <w:trPr>
          <w:cantSplit/>
        </w:trPr>
        <w:tc>
          <w:tcPr>
            <w:tcW w:w="414" w:type="dxa"/>
            <w:shd w:val="clear" w:color="auto" w:fill="auto"/>
          </w:tcPr>
          <w:p>
            <w:pPr>
              <w:spacing w:after="0"/>
              <w:jc w:val="left"/>
              <w:rPr>
                <w:noProof/>
                <w:sz w:val="20"/>
              </w:rPr>
            </w:pPr>
            <w:r>
              <w:rPr>
                <w:noProof/>
                <w:sz w:val="20"/>
              </w:rPr>
              <w:t>1</w:t>
            </w:r>
          </w:p>
        </w:tc>
        <w:tc>
          <w:tcPr>
            <w:tcW w:w="1977" w:type="dxa"/>
            <w:shd w:val="clear" w:color="auto" w:fill="auto"/>
          </w:tcPr>
          <w:p>
            <w:pPr>
              <w:spacing w:after="0"/>
              <w:jc w:val="left"/>
              <w:rPr>
                <w:noProof/>
                <w:color w:val="000000"/>
                <w:sz w:val="20"/>
              </w:rPr>
            </w:pPr>
            <w:r>
              <w:rPr>
                <w:noProof/>
                <w:color w:val="000000"/>
                <w:sz w:val="20"/>
              </w:rPr>
              <w:t>COM(2016) 861</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sur le </w:t>
            </w:r>
            <w:r>
              <w:rPr>
                <w:b/>
                <w:noProof/>
                <w:color w:val="000000"/>
                <w:sz w:val="20"/>
              </w:rPr>
              <w:t>marché intérieur de l’électricité</w:t>
            </w:r>
            <w:r>
              <w:rPr>
                <w:noProof/>
                <w:color w:val="000000"/>
                <w:sz w:val="20"/>
              </w:rPr>
              <w:t xml:space="preserve"> (refonte) </w:t>
            </w:r>
          </w:p>
        </w:tc>
        <w:tc>
          <w:tcPr>
            <w:tcW w:w="1207" w:type="dxa"/>
            <w:shd w:val="clear" w:color="auto" w:fill="auto"/>
          </w:tcPr>
          <w:p>
            <w:pPr>
              <w:spacing w:after="0"/>
              <w:jc w:val="center"/>
              <w:rPr>
                <w:noProof/>
                <w:color w:val="000000"/>
                <w:sz w:val="20"/>
              </w:rPr>
            </w:pPr>
            <w:r>
              <w:rPr>
                <w:noProof/>
                <w:color w:val="000000"/>
                <w:sz w:val="20"/>
              </w:rPr>
              <w:t>11</w:t>
            </w:r>
          </w:p>
        </w:tc>
        <w:tc>
          <w:tcPr>
            <w:tcW w:w="1157" w:type="dxa"/>
            <w:shd w:val="clear" w:color="auto" w:fill="auto"/>
          </w:tcPr>
          <w:p>
            <w:pPr>
              <w:spacing w:after="0"/>
              <w:jc w:val="center"/>
              <w:rPr>
                <w:noProof/>
                <w:color w:val="000000"/>
                <w:sz w:val="20"/>
              </w:rPr>
            </w:pPr>
            <w:r>
              <w:rPr>
                <w:noProof/>
                <w:color w:val="000000"/>
                <w:sz w:val="20"/>
              </w:rPr>
              <w:t>13</w:t>
            </w:r>
          </w:p>
        </w:tc>
        <w:tc>
          <w:tcPr>
            <w:tcW w:w="3022" w:type="dxa"/>
            <w:tcBorders>
              <w:bottom w:val="single" w:sz="4" w:space="0" w:color="auto"/>
            </w:tcBorders>
            <w:shd w:val="clear" w:color="auto" w:fill="auto"/>
          </w:tcPr>
          <w:p>
            <w:pPr>
              <w:spacing w:after="0"/>
              <w:jc w:val="left"/>
              <w:rPr>
                <w:noProof/>
                <w:sz w:val="20"/>
                <w:lang w:val="de-DE"/>
              </w:rPr>
            </w:pPr>
            <w:r>
              <w:rPr>
                <w:i/>
                <w:noProof/>
                <w:sz w:val="20"/>
                <w:lang w:val="de-DE"/>
              </w:rPr>
              <w:t>Bundesrat</w:t>
            </w:r>
            <w:r>
              <w:rPr>
                <w:noProof/>
                <w:sz w:val="20"/>
                <w:lang w:val="de-DE"/>
              </w:rPr>
              <w:t xml:space="preserve"> allemand (1 voix) </w:t>
            </w:r>
          </w:p>
          <w:p>
            <w:pPr>
              <w:spacing w:after="0"/>
              <w:jc w:val="left"/>
              <w:rPr>
                <w:noProof/>
                <w:sz w:val="20"/>
                <w:lang w:val="de-DE"/>
              </w:rPr>
            </w:pPr>
          </w:p>
          <w:p>
            <w:pPr>
              <w:spacing w:after="0"/>
              <w:jc w:val="left"/>
              <w:rPr>
                <w:noProof/>
                <w:sz w:val="20"/>
                <w:lang w:val="de-DE"/>
              </w:rPr>
            </w:pPr>
            <w:r>
              <w:rPr>
                <w:i/>
                <w:noProof/>
                <w:sz w:val="20"/>
                <w:lang w:val="de-DE"/>
              </w:rPr>
              <w:t>Bundestag</w:t>
            </w:r>
            <w:r>
              <w:rPr>
                <w:noProof/>
                <w:sz w:val="20"/>
                <w:lang w:val="de-DE"/>
              </w:rPr>
              <w:t xml:space="preserve"> allemand (1 voix) </w:t>
            </w:r>
          </w:p>
          <w:p>
            <w:pPr>
              <w:spacing w:after="0"/>
              <w:jc w:val="left"/>
              <w:rPr>
                <w:noProof/>
                <w:sz w:val="20"/>
                <w:lang w:val="de-DE"/>
              </w:rPr>
            </w:pPr>
          </w:p>
          <w:p>
            <w:pPr>
              <w:spacing w:after="0"/>
              <w:jc w:val="left"/>
              <w:rPr>
                <w:noProof/>
                <w:sz w:val="20"/>
              </w:rPr>
            </w:pPr>
            <w:r>
              <w:rPr>
                <w:i/>
                <w:noProof/>
                <w:sz w:val="20"/>
              </w:rPr>
              <w:t>Bundesrat</w:t>
            </w:r>
            <w:r>
              <w:rPr>
                <w:noProof/>
                <w:sz w:val="20"/>
              </w:rPr>
              <w:t xml:space="preserve"> autrichien (1 voix) </w:t>
            </w:r>
          </w:p>
          <w:p>
            <w:pPr>
              <w:spacing w:after="0"/>
              <w:jc w:val="left"/>
              <w:rPr>
                <w:noProof/>
                <w:sz w:val="20"/>
              </w:rPr>
            </w:pPr>
          </w:p>
          <w:p>
            <w:pPr>
              <w:spacing w:after="0"/>
              <w:jc w:val="left"/>
              <w:rPr>
                <w:noProof/>
                <w:sz w:val="20"/>
              </w:rPr>
            </w:pPr>
            <w:r>
              <w:rPr>
                <w:i/>
                <w:noProof/>
                <w:sz w:val="20"/>
              </w:rPr>
              <w:t>Cortes Generales</w:t>
            </w:r>
            <w:r>
              <w:rPr>
                <w:noProof/>
                <w:sz w:val="20"/>
              </w:rPr>
              <w:t xml:space="preserve"> espagnoles (2 voix) </w:t>
            </w:r>
          </w:p>
          <w:p>
            <w:pPr>
              <w:spacing w:after="0"/>
              <w:jc w:val="left"/>
              <w:rPr>
                <w:noProof/>
                <w:sz w:val="20"/>
              </w:rPr>
            </w:pPr>
          </w:p>
          <w:p>
            <w:pPr>
              <w:spacing w:after="0"/>
              <w:jc w:val="left"/>
              <w:rPr>
                <w:noProof/>
                <w:sz w:val="20"/>
              </w:rPr>
            </w:pPr>
            <w:r>
              <w:rPr>
                <w:noProof/>
                <w:sz w:val="20"/>
              </w:rPr>
              <w:t xml:space="preserve">Sénat français (1 voix) </w:t>
            </w:r>
          </w:p>
          <w:p>
            <w:pPr>
              <w:spacing w:after="0"/>
              <w:jc w:val="left"/>
              <w:rPr>
                <w:noProof/>
                <w:sz w:val="20"/>
              </w:rPr>
            </w:pPr>
          </w:p>
          <w:p>
            <w:pPr>
              <w:spacing w:after="0"/>
              <w:jc w:val="left"/>
              <w:rPr>
                <w:noProof/>
                <w:sz w:val="20"/>
              </w:rPr>
            </w:pPr>
            <w:r>
              <w:rPr>
                <w:i/>
                <w:noProof/>
                <w:color w:val="000000"/>
                <w:sz w:val="20"/>
              </w:rPr>
              <w:t>Országgyűlés</w:t>
            </w:r>
            <w:r>
              <w:rPr>
                <w:noProof/>
                <w:sz w:val="20"/>
              </w:rPr>
              <w:t xml:space="preserve"> hongrois (2 voix)</w:t>
            </w:r>
          </w:p>
          <w:p>
            <w:pPr>
              <w:spacing w:after="0"/>
              <w:jc w:val="left"/>
              <w:rPr>
                <w:i/>
                <w:iCs/>
                <w:noProof/>
                <w:color w:val="000000"/>
                <w:sz w:val="20"/>
              </w:rPr>
            </w:pPr>
          </w:p>
          <w:p>
            <w:pPr>
              <w:spacing w:after="0"/>
              <w:jc w:val="left"/>
              <w:rPr>
                <w:noProof/>
                <w:sz w:val="20"/>
              </w:rPr>
            </w:pPr>
            <w:r>
              <w:rPr>
                <w:i/>
                <w:noProof/>
                <w:color w:val="000000"/>
                <w:sz w:val="20"/>
              </w:rPr>
              <w:t>Sejm</w:t>
            </w:r>
            <w:r>
              <w:rPr>
                <w:noProof/>
              </w:rPr>
              <w:t xml:space="preserve"> </w:t>
            </w:r>
            <w:r>
              <w:rPr>
                <w:noProof/>
                <w:sz w:val="20"/>
              </w:rPr>
              <w:t xml:space="preserve">polonais (1 voix) </w:t>
            </w:r>
          </w:p>
          <w:p>
            <w:pPr>
              <w:spacing w:after="0"/>
              <w:jc w:val="left"/>
              <w:rPr>
                <w:iCs/>
                <w:noProof/>
                <w:color w:val="000000"/>
                <w:sz w:val="20"/>
              </w:rPr>
            </w:pPr>
          </w:p>
          <w:p>
            <w:pPr>
              <w:spacing w:after="0"/>
              <w:jc w:val="left"/>
              <w:rPr>
                <w:noProof/>
                <w:sz w:val="20"/>
              </w:rPr>
            </w:pPr>
            <w:r>
              <w:rPr>
                <w:i/>
                <w:noProof/>
                <w:color w:val="000000"/>
                <w:sz w:val="20"/>
              </w:rPr>
              <w:t>Senat</w:t>
            </w:r>
            <w:r>
              <w:rPr>
                <w:noProof/>
                <w:sz w:val="20"/>
              </w:rPr>
              <w:t xml:space="preserve"> polonais (1 voix) </w:t>
            </w:r>
          </w:p>
          <w:p>
            <w:pPr>
              <w:spacing w:after="0"/>
              <w:jc w:val="left"/>
              <w:rPr>
                <w:iCs/>
                <w:noProof/>
                <w:color w:val="000000"/>
                <w:sz w:val="20"/>
              </w:rPr>
            </w:pPr>
          </w:p>
          <w:p>
            <w:pPr>
              <w:spacing w:after="0"/>
              <w:jc w:val="left"/>
              <w:rPr>
                <w:noProof/>
                <w:sz w:val="20"/>
              </w:rPr>
            </w:pPr>
            <w:r>
              <w:rPr>
                <w:i/>
                <w:noProof/>
                <w:color w:val="000000"/>
                <w:sz w:val="20"/>
              </w:rPr>
              <w:t>Poslanecká sněmovna</w:t>
            </w:r>
            <w:r>
              <w:rPr>
                <w:noProof/>
                <w:sz w:val="20"/>
              </w:rPr>
              <w:t xml:space="preserve"> tchèque (1 voix) </w:t>
            </w:r>
          </w:p>
          <w:p>
            <w:pPr>
              <w:spacing w:after="0"/>
              <w:jc w:val="left"/>
              <w:rPr>
                <w:i/>
                <w:iCs/>
                <w:noProof/>
                <w:color w:val="000000"/>
                <w:sz w:val="20"/>
              </w:rPr>
            </w:pPr>
          </w:p>
          <w:p>
            <w:pPr>
              <w:spacing w:after="0"/>
              <w:jc w:val="left"/>
              <w:rPr>
                <w:noProof/>
                <w:sz w:val="20"/>
              </w:rPr>
            </w:pPr>
            <w:r>
              <w:rPr>
                <w:i/>
                <w:noProof/>
                <w:color w:val="000000"/>
                <w:sz w:val="20"/>
              </w:rPr>
              <w:t>Camera Deputaților</w:t>
            </w:r>
            <w:r>
              <w:rPr>
                <w:noProof/>
                <w:sz w:val="20"/>
              </w:rPr>
              <w:t xml:space="preserve"> roumaine (1 voix) </w:t>
            </w:r>
          </w:p>
          <w:p>
            <w:pPr>
              <w:spacing w:after="0"/>
              <w:jc w:val="left"/>
              <w:rPr>
                <w:i/>
                <w:iCs/>
                <w:noProof/>
                <w:color w:val="000000"/>
                <w:sz w:val="20"/>
              </w:rPr>
            </w:pPr>
          </w:p>
          <w:p>
            <w:pPr>
              <w:spacing w:after="0"/>
              <w:jc w:val="left"/>
              <w:rPr>
                <w:iCs/>
                <w:noProof/>
                <w:color w:val="000000"/>
                <w:sz w:val="20"/>
              </w:rPr>
            </w:pPr>
            <w:r>
              <w:rPr>
                <w:i/>
                <w:noProof/>
                <w:color w:val="000000"/>
                <w:sz w:val="20"/>
              </w:rPr>
              <w:t>Senatul</w:t>
            </w:r>
            <w:r>
              <w:rPr>
                <w:noProof/>
                <w:sz w:val="20"/>
              </w:rPr>
              <w:t xml:space="preserve"> roumain (1 voix) </w:t>
            </w:r>
          </w:p>
        </w:tc>
      </w:tr>
      <w:tr>
        <w:trPr>
          <w:cantSplit/>
        </w:trPr>
        <w:tc>
          <w:tcPr>
            <w:tcW w:w="414" w:type="dxa"/>
            <w:shd w:val="clear" w:color="auto" w:fill="auto"/>
          </w:tcPr>
          <w:p>
            <w:pPr>
              <w:spacing w:after="0"/>
              <w:jc w:val="left"/>
              <w:rPr>
                <w:noProof/>
                <w:sz w:val="20"/>
              </w:rPr>
            </w:pPr>
            <w:r>
              <w:rPr>
                <w:noProof/>
                <w:sz w:val="20"/>
              </w:rPr>
              <w:t>2</w:t>
            </w:r>
          </w:p>
        </w:tc>
        <w:tc>
          <w:tcPr>
            <w:tcW w:w="1977" w:type="dxa"/>
            <w:shd w:val="clear" w:color="auto" w:fill="auto"/>
          </w:tcPr>
          <w:p>
            <w:pPr>
              <w:spacing w:after="0"/>
              <w:jc w:val="left"/>
              <w:rPr>
                <w:noProof/>
                <w:color w:val="000000"/>
                <w:sz w:val="20"/>
              </w:rPr>
            </w:pPr>
            <w:r>
              <w:rPr>
                <w:noProof/>
                <w:color w:val="000000"/>
                <w:sz w:val="20"/>
              </w:rPr>
              <w:t>COM(2016) 822</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relative à un </w:t>
            </w:r>
            <w:r>
              <w:rPr>
                <w:b/>
                <w:noProof/>
                <w:color w:val="000000"/>
                <w:sz w:val="20"/>
              </w:rPr>
              <w:t>contrôle de proportionnalité avant l’adoption d’une nouvelle réglementation de professions</w:t>
            </w:r>
          </w:p>
        </w:tc>
        <w:tc>
          <w:tcPr>
            <w:tcW w:w="1207" w:type="dxa"/>
            <w:shd w:val="clear" w:color="auto" w:fill="auto"/>
          </w:tcPr>
          <w:p>
            <w:pPr>
              <w:spacing w:after="0"/>
              <w:jc w:val="center"/>
              <w:rPr>
                <w:noProof/>
                <w:color w:val="000000"/>
                <w:sz w:val="20"/>
              </w:rPr>
            </w:pPr>
            <w:r>
              <w:rPr>
                <w:noProof/>
                <w:color w:val="000000"/>
                <w:sz w:val="20"/>
              </w:rPr>
              <w:t>5</w:t>
            </w:r>
          </w:p>
        </w:tc>
        <w:tc>
          <w:tcPr>
            <w:tcW w:w="1157" w:type="dxa"/>
            <w:shd w:val="clear" w:color="auto" w:fill="auto"/>
          </w:tcPr>
          <w:p>
            <w:pPr>
              <w:spacing w:after="0"/>
              <w:jc w:val="center"/>
              <w:rPr>
                <w:noProof/>
                <w:color w:val="000000"/>
                <w:sz w:val="20"/>
              </w:rPr>
            </w:pPr>
            <w:r>
              <w:rPr>
                <w:noProof/>
                <w:color w:val="000000"/>
                <w:sz w:val="20"/>
              </w:rPr>
              <w:t>5</w:t>
            </w:r>
          </w:p>
        </w:tc>
        <w:tc>
          <w:tcPr>
            <w:tcW w:w="3022" w:type="dxa"/>
            <w:tcBorders>
              <w:bottom w:val="single" w:sz="4" w:space="0" w:color="auto"/>
            </w:tcBorders>
            <w:shd w:val="clear" w:color="auto" w:fill="auto"/>
          </w:tcPr>
          <w:p>
            <w:pPr>
              <w:spacing w:after="0"/>
              <w:jc w:val="left"/>
              <w:rPr>
                <w:noProof/>
                <w:sz w:val="20"/>
                <w:lang w:val="de-DE"/>
              </w:rPr>
            </w:pPr>
            <w:r>
              <w:rPr>
                <w:i/>
                <w:noProof/>
                <w:sz w:val="20"/>
                <w:lang w:val="de-DE"/>
              </w:rPr>
              <w:t>Bundestag</w:t>
            </w:r>
            <w:r>
              <w:rPr>
                <w:noProof/>
                <w:sz w:val="20"/>
                <w:lang w:val="de-DE"/>
              </w:rPr>
              <w:t xml:space="preserve"> allemand (1 voix) </w:t>
            </w:r>
          </w:p>
          <w:p>
            <w:pPr>
              <w:spacing w:after="0"/>
              <w:jc w:val="left"/>
              <w:rPr>
                <w:noProof/>
                <w:sz w:val="20"/>
                <w:lang w:val="de-DE"/>
              </w:rPr>
            </w:pPr>
          </w:p>
          <w:p>
            <w:pPr>
              <w:spacing w:after="0"/>
              <w:jc w:val="left"/>
              <w:rPr>
                <w:noProof/>
                <w:sz w:val="20"/>
                <w:lang w:val="de-DE"/>
              </w:rPr>
            </w:pPr>
            <w:r>
              <w:rPr>
                <w:i/>
                <w:noProof/>
                <w:sz w:val="20"/>
                <w:lang w:val="de-DE"/>
              </w:rPr>
              <w:t>Bundesrat</w:t>
            </w:r>
            <w:r>
              <w:rPr>
                <w:noProof/>
                <w:sz w:val="20"/>
                <w:lang w:val="de-DE"/>
              </w:rPr>
              <w:t xml:space="preserve"> allemand (1 voix) </w:t>
            </w:r>
          </w:p>
          <w:p>
            <w:pPr>
              <w:spacing w:after="0"/>
              <w:jc w:val="left"/>
              <w:rPr>
                <w:noProof/>
                <w:sz w:val="20"/>
                <w:lang w:val="de-DE"/>
              </w:rPr>
            </w:pPr>
          </w:p>
          <w:p>
            <w:pPr>
              <w:spacing w:after="0"/>
              <w:jc w:val="left"/>
              <w:rPr>
                <w:noProof/>
                <w:sz w:val="20"/>
              </w:rPr>
            </w:pPr>
            <w:r>
              <w:rPr>
                <w:i/>
                <w:noProof/>
                <w:sz w:val="20"/>
              </w:rPr>
              <w:t>Bundesrat</w:t>
            </w:r>
            <w:r>
              <w:rPr>
                <w:noProof/>
                <w:sz w:val="20"/>
              </w:rPr>
              <w:t xml:space="preserve"> autrichien (1 voix) </w:t>
            </w:r>
          </w:p>
          <w:p>
            <w:pPr>
              <w:spacing w:after="0"/>
              <w:jc w:val="left"/>
              <w:rPr>
                <w:noProof/>
                <w:sz w:val="20"/>
              </w:rPr>
            </w:pPr>
          </w:p>
          <w:p>
            <w:pPr>
              <w:spacing w:after="0"/>
              <w:jc w:val="left"/>
              <w:rPr>
                <w:noProof/>
                <w:sz w:val="20"/>
              </w:rPr>
            </w:pPr>
            <w:r>
              <w:rPr>
                <w:noProof/>
                <w:sz w:val="20"/>
              </w:rPr>
              <w:t>Assemblée nationale française (1 voix)</w:t>
            </w:r>
          </w:p>
          <w:p>
            <w:pPr>
              <w:spacing w:after="0"/>
              <w:jc w:val="left"/>
              <w:rPr>
                <w:i/>
                <w:iCs/>
                <w:noProof/>
                <w:color w:val="000000"/>
                <w:sz w:val="20"/>
              </w:rPr>
            </w:pPr>
          </w:p>
          <w:p>
            <w:pPr>
              <w:spacing w:after="0"/>
              <w:jc w:val="left"/>
              <w:rPr>
                <w:noProof/>
                <w:sz w:val="20"/>
              </w:rPr>
            </w:pPr>
            <w:r>
              <w:rPr>
                <w:noProof/>
                <w:sz w:val="20"/>
              </w:rPr>
              <w:t>Sénat français (1 voix)</w:t>
            </w:r>
          </w:p>
        </w:tc>
      </w:tr>
      <w:tr>
        <w:trPr>
          <w:cantSplit/>
        </w:trPr>
        <w:tc>
          <w:tcPr>
            <w:tcW w:w="414" w:type="dxa"/>
            <w:shd w:val="clear" w:color="auto" w:fill="auto"/>
          </w:tcPr>
          <w:p>
            <w:pPr>
              <w:spacing w:after="0"/>
              <w:jc w:val="left"/>
              <w:rPr>
                <w:noProof/>
                <w:sz w:val="20"/>
              </w:rPr>
            </w:pPr>
            <w:r>
              <w:rPr>
                <w:noProof/>
                <w:sz w:val="20"/>
              </w:rPr>
              <w:t>3</w:t>
            </w:r>
          </w:p>
        </w:tc>
        <w:tc>
          <w:tcPr>
            <w:tcW w:w="1977" w:type="dxa"/>
            <w:shd w:val="clear" w:color="auto" w:fill="auto"/>
          </w:tcPr>
          <w:p>
            <w:pPr>
              <w:spacing w:after="0"/>
              <w:jc w:val="left"/>
              <w:rPr>
                <w:noProof/>
                <w:color w:val="000000"/>
                <w:sz w:val="20"/>
              </w:rPr>
            </w:pPr>
            <w:r>
              <w:rPr>
                <w:noProof/>
                <w:color w:val="000000"/>
                <w:sz w:val="20"/>
              </w:rPr>
              <w:t>COM(2017) 253</w:t>
            </w:r>
          </w:p>
        </w:tc>
        <w:tc>
          <w:tcPr>
            <w:tcW w:w="2811" w:type="dxa"/>
            <w:shd w:val="clear" w:color="auto" w:fill="auto"/>
          </w:tcPr>
          <w:p>
            <w:pPr>
              <w:spacing w:after="0"/>
              <w:jc w:val="left"/>
              <w:rPr>
                <w:noProof/>
                <w:color w:val="000000"/>
                <w:sz w:val="20"/>
              </w:rPr>
            </w:pPr>
            <w:r>
              <w:rPr>
                <w:noProof/>
                <w:color w:val="000000"/>
                <w:sz w:val="20"/>
              </w:rPr>
              <w:t>Proposition de directive du Parlement européen et du Conseil concernant l’</w:t>
            </w:r>
            <w:r>
              <w:rPr>
                <w:b/>
                <w:noProof/>
                <w:color w:val="000000"/>
                <w:sz w:val="20"/>
              </w:rPr>
              <w:t>équilibre entre vie professionnelle et vie privée des parents et aidants</w:t>
            </w:r>
            <w:r>
              <w:rPr>
                <w:noProof/>
                <w:color w:val="000000"/>
                <w:sz w:val="20"/>
              </w:rPr>
              <w:t xml:space="preserve"> et abrogeant la directive 2010/18/UE du Conseil</w:t>
            </w:r>
          </w:p>
        </w:tc>
        <w:tc>
          <w:tcPr>
            <w:tcW w:w="1207" w:type="dxa"/>
            <w:shd w:val="clear" w:color="auto" w:fill="auto"/>
          </w:tcPr>
          <w:p>
            <w:pPr>
              <w:spacing w:after="0"/>
              <w:jc w:val="center"/>
              <w:rPr>
                <w:noProof/>
                <w:color w:val="000000"/>
                <w:sz w:val="20"/>
              </w:rPr>
            </w:pPr>
            <w:r>
              <w:rPr>
                <w:noProof/>
                <w:color w:val="000000"/>
                <w:sz w:val="20"/>
              </w:rPr>
              <w:t>4</w:t>
            </w:r>
          </w:p>
        </w:tc>
        <w:tc>
          <w:tcPr>
            <w:tcW w:w="1157" w:type="dxa"/>
            <w:shd w:val="clear" w:color="auto" w:fill="auto"/>
          </w:tcPr>
          <w:p>
            <w:pPr>
              <w:spacing w:after="0"/>
              <w:jc w:val="center"/>
              <w:rPr>
                <w:noProof/>
                <w:color w:val="000000"/>
                <w:sz w:val="20"/>
              </w:rPr>
            </w:pPr>
            <w:r>
              <w:rPr>
                <w:noProof/>
                <w:color w:val="000000"/>
                <w:sz w:val="20"/>
              </w:rPr>
              <w:t>4</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Eerste Kamer</w:t>
            </w:r>
            <w:r>
              <w:rPr>
                <w:noProof/>
                <w:sz w:val="20"/>
              </w:rPr>
              <w:t xml:space="preserve"> néerlandaise (1 voix) </w:t>
            </w:r>
          </w:p>
          <w:p>
            <w:pPr>
              <w:spacing w:after="0"/>
              <w:jc w:val="left"/>
              <w:rPr>
                <w:i/>
                <w:iCs/>
                <w:noProof/>
                <w:color w:val="000000"/>
                <w:sz w:val="20"/>
              </w:rPr>
            </w:pPr>
          </w:p>
          <w:p>
            <w:pPr>
              <w:spacing w:after="0"/>
              <w:jc w:val="left"/>
              <w:rPr>
                <w:noProof/>
                <w:sz w:val="20"/>
              </w:rPr>
            </w:pPr>
            <w:r>
              <w:rPr>
                <w:i/>
                <w:noProof/>
                <w:color w:val="000000"/>
                <w:sz w:val="20"/>
              </w:rPr>
              <w:t>Tweede Kamer</w:t>
            </w:r>
            <w:r>
              <w:rPr>
                <w:noProof/>
                <w:sz w:val="20"/>
              </w:rPr>
              <w:t xml:space="preserve"> néerlandaise (1 voix)</w:t>
            </w:r>
          </w:p>
          <w:p>
            <w:pPr>
              <w:spacing w:after="0"/>
              <w:jc w:val="left"/>
              <w:rPr>
                <w:noProof/>
                <w:sz w:val="20"/>
              </w:rPr>
            </w:pPr>
          </w:p>
          <w:p>
            <w:pPr>
              <w:spacing w:after="0"/>
              <w:jc w:val="left"/>
              <w:rPr>
                <w:noProof/>
                <w:sz w:val="20"/>
              </w:rPr>
            </w:pPr>
            <w:r>
              <w:rPr>
                <w:i/>
                <w:noProof/>
                <w:sz w:val="20"/>
              </w:rPr>
              <w:t>Sejm</w:t>
            </w:r>
            <w:r>
              <w:rPr>
                <w:noProof/>
                <w:sz w:val="20"/>
              </w:rPr>
              <w:t xml:space="preserve"> polonais (1 voix)</w:t>
            </w:r>
          </w:p>
          <w:p>
            <w:pPr>
              <w:spacing w:after="0"/>
              <w:jc w:val="left"/>
              <w:rPr>
                <w:noProof/>
                <w:sz w:val="20"/>
              </w:rPr>
            </w:pPr>
          </w:p>
          <w:p>
            <w:pPr>
              <w:spacing w:after="0"/>
              <w:jc w:val="left"/>
              <w:rPr>
                <w:noProof/>
                <w:sz w:val="20"/>
              </w:rPr>
            </w:pPr>
            <w:r>
              <w:rPr>
                <w:i/>
                <w:noProof/>
                <w:sz w:val="20"/>
              </w:rPr>
              <w:t>Senat</w:t>
            </w:r>
            <w:r>
              <w:rPr>
                <w:noProof/>
                <w:sz w:val="20"/>
              </w:rPr>
              <w:t xml:space="preserve"> polonais (1 voix)</w:t>
            </w:r>
          </w:p>
        </w:tc>
      </w:tr>
      <w:tr>
        <w:trPr>
          <w:cantSplit/>
        </w:trPr>
        <w:tc>
          <w:tcPr>
            <w:tcW w:w="414" w:type="dxa"/>
            <w:shd w:val="clear" w:color="auto" w:fill="auto"/>
          </w:tcPr>
          <w:p>
            <w:pPr>
              <w:spacing w:after="0"/>
              <w:jc w:val="left"/>
              <w:rPr>
                <w:noProof/>
                <w:sz w:val="20"/>
              </w:rPr>
            </w:pPr>
            <w:r>
              <w:rPr>
                <w:noProof/>
                <w:sz w:val="20"/>
              </w:rPr>
              <w:t>4</w:t>
            </w:r>
          </w:p>
        </w:tc>
        <w:tc>
          <w:tcPr>
            <w:tcW w:w="1977" w:type="dxa"/>
            <w:shd w:val="clear" w:color="auto" w:fill="auto"/>
          </w:tcPr>
          <w:p>
            <w:pPr>
              <w:spacing w:after="0"/>
              <w:jc w:val="left"/>
              <w:rPr>
                <w:noProof/>
                <w:color w:val="000000"/>
                <w:sz w:val="20"/>
              </w:rPr>
            </w:pPr>
            <w:r>
              <w:rPr>
                <w:noProof/>
                <w:color w:val="000000"/>
                <w:sz w:val="20"/>
              </w:rPr>
              <w:t>COM(2016) 821</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sur l’application de la directive 2006/123/CE relative aux services dans le marché intérieur, établissant une </w:t>
            </w:r>
            <w:r>
              <w:rPr>
                <w:b/>
                <w:noProof/>
                <w:color w:val="000000"/>
                <w:sz w:val="20"/>
              </w:rPr>
              <w:t>procédure de notification des régimes d’autorisation et des exigences en matière de services</w:t>
            </w:r>
            <w:r>
              <w:rPr>
                <w:noProof/>
                <w:color w:val="000000"/>
                <w:sz w:val="20"/>
              </w:rPr>
              <w:t xml:space="preserve">, et modifiant la directive 2006/123/CE et le règlement (UE) nº 1024/2012 concernant la </w:t>
            </w:r>
            <w:r>
              <w:rPr>
                <w:b/>
                <w:noProof/>
                <w:color w:val="000000"/>
                <w:sz w:val="20"/>
              </w:rPr>
              <w:t>coopération administrative par l’intermédiaire du système d’information du marché intérieur</w:t>
            </w:r>
          </w:p>
        </w:tc>
        <w:tc>
          <w:tcPr>
            <w:tcW w:w="1207" w:type="dxa"/>
            <w:shd w:val="clear" w:color="auto" w:fill="auto"/>
          </w:tcPr>
          <w:p>
            <w:pPr>
              <w:spacing w:after="0"/>
              <w:jc w:val="center"/>
              <w:rPr>
                <w:noProof/>
                <w:color w:val="000000"/>
                <w:sz w:val="20"/>
              </w:rPr>
            </w:pPr>
            <w:r>
              <w:rPr>
                <w:noProof/>
                <w:color w:val="000000"/>
                <w:sz w:val="20"/>
              </w:rPr>
              <w:t>4</w:t>
            </w:r>
          </w:p>
        </w:tc>
        <w:tc>
          <w:tcPr>
            <w:tcW w:w="1157" w:type="dxa"/>
            <w:shd w:val="clear" w:color="auto" w:fill="auto"/>
          </w:tcPr>
          <w:p>
            <w:pPr>
              <w:spacing w:after="0"/>
              <w:jc w:val="center"/>
              <w:rPr>
                <w:noProof/>
                <w:color w:val="000000"/>
                <w:sz w:val="20"/>
              </w:rPr>
            </w:pPr>
            <w:r>
              <w:rPr>
                <w:noProof/>
                <w:color w:val="000000"/>
                <w:sz w:val="20"/>
              </w:rPr>
              <w:t>4</w:t>
            </w:r>
          </w:p>
        </w:tc>
        <w:tc>
          <w:tcPr>
            <w:tcW w:w="3022" w:type="dxa"/>
            <w:tcBorders>
              <w:bottom w:val="single" w:sz="4" w:space="0" w:color="auto"/>
            </w:tcBorders>
            <w:shd w:val="clear" w:color="auto" w:fill="auto"/>
          </w:tcPr>
          <w:p>
            <w:pPr>
              <w:spacing w:after="0"/>
              <w:jc w:val="left"/>
              <w:rPr>
                <w:noProof/>
                <w:sz w:val="20"/>
                <w:lang w:val="de-DE"/>
              </w:rPr>
            </w:pPr>
            <w:r>
              <w:rPr>
                <w:i/>
                <w:noProof/>
                <w:sz w:val="20"/>
                <w:lang w:val="de-DE"/>
              </w:rPr>
              <w:t>Bundestag</w:t>
            </w:r>
            <w:r>
              <w:rPr>
                <w:noProof/>
                <w:sz w:val="20"/>
                <w:lang w:val="de-DE"/>
              </w:rPr>
              <w:t xml:space="preserve"> allemand (1 voix) </w:t>
            </w:r>
          </w:p>
          <w:p>
            <w:pPr>
              <w:spacing w:after="0"/>
              <w:jc w:val="left"/>
              <w:rPr>
                <w:noProof/>
                <w:sz w:val="20"/>
                <w:lang w:val="de-DE"/>
              </w:rPr>
            </w:pPr>
          </w:p>
          <w:p>
            <w:pPr>
              <w:spacing w:after="0"/>
              <w:jc w:val="left"/>
              <w:rPr>
                <w:noProof/>
                <w:sz w:val="20"/>
                <w:lang w:val="de-DE"/>
              </w:rPr>
            </w:pPr>
            <w:r>
              <w:rPr>
                <w:i/>
                <w:noProof/>
                <w:sz w:val="20"/>
                <w:lang w:val="de-DE"/>
              </w:rPr>
              <w:t>Bundesrat</w:t>
            </w:r>
            <w:r>
              <w:rPr>
                <w:noProof/>
                <w:sz w:val="20"/>
                <w:lang w:val="de-DE"/>
              </w:rPr>
              <w:t xml:space="preserve"> allemand (1 voix) </w:t>
            </w:r>
          </w:p>
          <w:p>
            <w:pPr>
              <w:spacing w:after="0"/>
              <w:jc w:val="left"/>
              <w:rPr>
                <w:noProof/>
                <w:sz w:val="20"/>
                <w:lang w:val="de-DE"/>
              </w:rPr>
            </w:pPr>
          </w:p>
          <w:p>
            <w:pPr>
              <w:spacing w:after="0"/>
              <w:jc w:val="left"/>
              <w:rPr>
                <w:noProof/>
                <w:sz w:val="20"/>
              </w:rPr>
            </w:pPr>
            <w:r>
              <w:rPr>
                <w:noProof/>
                <w:sz w:val="20"/>
              </w:rPr>
              <w:t xml:space="preserve">Assemblée nationale française (1 voix) </w:t>
            </w:r>
          </w:p>
          <w:p>
            <w:pPr>
              <w:spacing w:after="0"/>
              <w:jc w:val="left"/>
              <w:rPr>
                <w:i/>
                <w:iCs/>
                <w:noProof/>
                <w:color w:val="000000"/>
                <w:sz w:val="20"/>
              </w:rPr>
            </w:pPr>
          </w:p>
          <w:p>
            <w:pPr>
              <w:spacing w:after="0"/>
              <w:jc w:val="left"/>
              <w:rPr>
                <w:noProof/>
                <w:sz w:val="20"/>
              </w:rPr>
            </w:pPr>
            <w:r>
              <w:rPr>
                <w:noProof/>
                <w:sz w:val="20"/>
              </w:rPr>
              <w:t xml:space="preserve">Sénat français (1 voix) </w:t>
            </w:r>
          </w:p>
        </w:tc>
      </w:tr>
      <w:tr>
        <w:trPr>
          <w:cantSplit/>
        </w:trPr>
        <w:tc>
          <w:tcPr>
            <w:tcW w:w="414" w:type="dxa"/>
            <w:shd w:val="clear" w:color="auto" w:fill="auto"/>
          </w:tcPr>
          <w:p>
            <w:pPr>
              <w:spacing w:after="0"/>
              <w:jc w:val="left"/>
              <w:rPr>
                <w:noProof/>
                <w:sz w:val="20"/>
              </w:rPr>
            </w:pPr>
            <w:r>
              <w:rPr>
                <w:noProof/>
                <w:sz w:val="20"/>
              </w:rPr>
              <w:t>5</w:t>
            </w:r>
          </w:p>
        </w:tc>
        <w:tc>
          <w:tcPr>
            <w:tcW w:w="1977" w:type="dxa"/>
            <w:shd w:val="clear" w:color="auto" w:fill="auto"/>
          </w:tcPr>
          <w:p>
            <w:pPr>
              <w:spacing w:after="0"/>
              <w:jc w:val="left"/>
              <w:rPr>
                <w:noProof/>
                <w:color w:val="000000"/>
                <w:sz w:val="20"/>
              </w:rPr>
            </w:pPr>
            <w:r>
              <w:rPr>
                <w:noProof/>
                <w:color w:val="000000"/>
                <w:sz w:val="20"/>
              </w:rPr>
              <w:t>COM(2016) 864l</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concernant des </w:t>
            </w:r>
            <w:r>
              <w:rPr>
                <w:b/>
                <w:noProof/>
                <w:color w:val="000000"/>
                <w:sz w:val="20"/>
              </w:rPr>
              <w:t>règles communes pour le marché intérieur de l’électricité</w:t>
            </w:r>
            <w:r>
              <w:rPr>
                <w:noProof/>
                <w:color w:val="000000"/>
                <w:sz w:val="20"/>
              </w:rPr>
              <w:t xml:space="preserve"> (refonte) </w:t>
            </w:r>
          </w:p>
        </w:tc>
        <w:tc>
          <w:tcPr>
            <w:tcW w:w="1207" w:type="dxa"/>
            <w:shd w:val="clear" w:color="auto" w:fill="auto"/>
          </w:tcPr>
          <w:p>
            <w:pPr>
              <w:spacing w:after="0"/>
              <w:jc w:val="center"/>
              <w:rPr>
                <w:noProof/>
                <w:color w:val="000000"/>
                <w:sz w:val="20"/>
              </w:rPr>
            </w:pPr>
            <w:r>
              <w:rPr>
                <w:noProof/>
                <w:color w:val="000000"/>
                <w:sz w:val="20"/>
              </w:rPr>
              <w:t>3</w:t>
            </w:r>
          </w:p>
        </w:tc>
        <w:tc>
          <w:tcPr>
            <w:tcW w:w="1157" w:type="dxa"/>
            <w:shd w:val="clear" w:color="auto" w:fill="auto"/>
          </w:tcPr>
          <w:p>
            <w:pPr>
              <w:spacing w:after="0"/>
              <w:jc w:val="center"/>
              <w:rPr>
                <w:noProof/>
                <w:color w:val="000000"/>
                <w:sz w:val="20"/>
              </w:rPr>
            </w:pPr>
            <w:r>
              <w:rPr>
                <w:noProof/>
                <w:color w:val="000000"/>
                <w:sz w:val="20"/>
              </w:rPr>
              <w:t>4</w:t>
            </w:r>
          </w:p>
        </w:tc>
        <w:tc>
          <w:tcPr>
            <w:tcW w:w="3022" w:type="dxa"/>
            <w:tcBorders>
              <w:bottom w:val="single" w:sz="4" w:space="0" w:color="auto"/>
            </w:tcBorders>
            <w:shd w:val="clear" w:color="auto" w:fill="auto"/>
          </w:tcPr>
          <w:p>
            <w:pPr>
              <w:spacing w:after="0"/>
              <w:jc w:val="left"/>
              <w:rPr>
                <w:noProof/>
                <w:sz w:val="20"/>
              </w:rPr>
            </w:pPr>
            <w:r>
              <w:rPr>
                <w:i/>
                <w:noProof/>
                <w:sz w:val="20"/>
              </w:rPr>
              <w:t>Bundesrat</w:t>
            </w:r>
            <w:r>
              <w:rPr>
                <w:noProof/>
                <w:sz w:val="20"/>
              </w:rPr>
              <w:t xml:space="preserve"> autrichien (1 voix) </w:t>
            </w:r>
          </w:p>
          <w:p>
            <w:pPr>
              <w:spacing w:after="0"/>
              <w:jc w:val="left"/>
              <w:rPr>
                <w:noProof/>
                <w:sz w:val="20"/>
              </w:rPr>
            </w:pPr>
          </w:p>
          <w:p>
            <w:pPr>
              <w:spacing w:after="0"/>
              <w:jc w:val="left"/>
              <w:rPr>
                <w:noProof/>
                <w:sz w:val="20"/>
              </w:rPr>
            </w:pPr>
            <w:r>
              <w:rPr>
                <w:i/>
                <w:noProof/>
                <w:color w:val="000000"/>
                <w:sz w:val="20"/>
              </w:rPr>
              <w:t>Országgyűlés</w:t>
            </w:r>
            <w:r>
              <w:rPr>
                <w:noProof/>
                <w:sz w:val="20"/>
              </w:rPr>
              <w:t xml:space="preserve"> hongrois (2 voix) </w:t>
            </w:r>
          </w:p>
          <w:p>
            <w:pPr>
              <w:spacing w:after="0"/>
              <w:jc w:val="left"/>
              <w:rPr>
                <w:noProof/>
                <w:sz w:val="20"/>
              </w:rPr>
            </w:pPr>
          </w:p>
          <w:p>
            <w:pPr>
              <w:spacing w:after="0"/>
              <w:jc w:val="left"/>
              <w:rPr>
                <w:noProof/>
                <w:sz w:val="20"/>
              </w:rPr>
            </w:pPr>
            <w:r>
              <w:rPr>
                <w:i/>
                <w:noProof/>
                <w:sz w:val="20"/>
              </w:rPr>
              <w:t>Senat</w:t>
            </w:r>
            <w:r>
              <w:rPr>
                <w:noProof/>
                <w:sz w:val="20"/>
              </w:rPr>
              <w:t xml:space="preserve"> polonais (1 voix) </w:t>
            </w:r>
          </w:p>
        </w:tc>
      </w:tr>
      <w:tr>
        <w:trPr>
          <w:cantSplit/>
        </w:trPr>
        <w:tc>
          <w:tcPr>
            <w:tcW w:w="414" w:type="dxa"/>
            <w:shd w:val="clear" w:color="auto" w:fill="auto"/>
          </w:tcPr>
          <w:p>
            <w:pPr>
              <w:spacing w:after="0"/>
              <w:jc w:val="left"/>
              <w:rPr>
                <w:noProof/>
                <w:sz w:val="20"/>
              </w:rPr>
            </w:pPr>
            <w:r>
              <w:rPr>
                <w:noProof/>
                <w:sz w:val="20"/>
              </w:rPr>
              <w:t>6</w:t>
            </w:r>
          </w:p>
        </w:tc>
        <w:tc>
          <w:tcPr>
            <w:tcW w:w="1977" w:type="dxa"/>
            <w:shd w:val="clear" w:color="auto" w:fill="auto"/>
          </w:tcPr>
          <w:p>
            <w:pPr>
              <w:spacing w:after="0"/>
              <w:jc w:val="left"/>
              <w:rPr>
                <w:noProof/>
                <w:color w:val="000000"/>
                <w:sz w:val="20"/>
              </w:rPr>
            </w:pPr>
            <w:r>
              <w:rPr>
                <w:noProof/>
                <w:color w:val="000000"/>
                <w:sz w:val="20"/>
              </w:rPr>
              <w:t>COM(2016) 863l</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instituant une </w:t>
            </w:r>
            <w:r>
              <w:rPr>
                <w:b/>
                <w:noProof/>
                <w:color w:val="000000"/>
                <w:sz w:val="20"/>
              </w:rPr>
              <w:t>Agence de l’Union européenne pour la coopération des régulateurs de l’énergie</w:t>
            </w:r>
            <w:r>
              <w:rPr>
                <w:noProof/>
                <w:color w:val="000000"/>
                <w:sz w:val="20"/>
              </w:rPr>
              <w:t xml:space="preserve"> (refonte) </w:t>
            </w:r>
          </w:p>
        </w:tc>
        <w:tc>
          <w:tcPr>
            <w:tcW w:w="1207" w:type="dxa"/>
            <w:shd w:val="clear" w:color="auto" w:fill="auto"/>
          </w:tcPr>
          <w:p>
            <w:pPr>
              <w:spacing w:after="0"/>
              <w:jc w:val="center"/>
              <w:rPr>
                <w:noProof/>
                <w:color w:val="000000"/>
                <w:sz w:val="20"/>
              </w:rPr>
            </w:pPr>
            <w:r>
              <w:rPr>
                <w:noProof/>
                <w:color w:val="000000"/>
                <w:sz w:val="20"/>
              </w:rPr>
              <w:t>3</w:t>
            </w:r>
          </w:p>
        </w:tc>
        <w:tc>
          <w:tcPr>
            <w:tcW w:w="1157" w:type="dxa"/>
            <w:shd w:val="clear" w:color="auto" w:fill="auto"/>
          </w:tcPr>
          <w:p>
            <w:pPr>
              <w:spacing w:after="0"/>
              <w:jc w:val="center"/>
              <w:rPr>
                <w:noProof/>
                <w:color w:val="000000"/>
                <w:sz w:val="20"/>
              </w:rPr>
            </w:pPr>
            <w:r>
              <w:rPr>
                <w:noProof/>
                <w:color w:val="000000"/>
                <w:sz w:val="20"/>
              </w:rPr>
              <w:t>3</w:t>
            </w:r>
          </w:p>
        </w:tc>
        <w:tc>
          <w:tcPr>
            <w:tcW w:w="3022" w:type="dxa"/>
            <w:tcBorders>
              <w:bottom w:val="single" w:sz="4" w:space="0" w:color="auto"/>
            </w:tcBorders>
            <w:shd w:val="clear" w:color="auto" w:fill="auto"/>
          </w:tcPr>
          <w:p>
            <w:pPr>
              <w:spacing w:after="0"/>
              <w:jc w:val="left"/>
              <w:rPr>
                <w:noProof/>
                <w:sz w:val="20"/>
              </w:rPr>
            </w:pPr>
            <w:r>
              <w:rPr>
                <w:i/>
                <w:noProof/>
                <w:sz w:val="20"/>
              </w:rPr>
              <w:t>Bundestag</w:t>
            </w:r>
            <w:r>
              <w:rPr>
                <w:noProof/>
                <w:sz w:val="20"/>
              </w:rPr>
              <w:t xml:space="preserve"> allemand (1 voix) </w:t>
            </w:r>
          </w:p>
          <w:p>
            <w:pPr>
              <w:spacing w:after="0"/>
              <w:jc w:val="left"/>
              <w:rPr>
                <w:noProof/>
                <w:sz w:val="20"/>
              </w:rPr>
            </w:pPr>
          </w:p>
          <w:p>
            <w:pPr>
              <w:spacing w:after="0"/>
              <w:jc w:val="left"/>
              <w:rPr>
                <w:noProof/>
                <w:sz w:val="20"/>
              </w:rPr>
            </w:pPr>
            <w:r>
              <w:rPr>
                <w:noProof/>
                <w:sz w:val="20"/>
              </w:rPr>
              <w:t xml:space="preserve">Sénat français (1 voix) </w:t>
            </w:r>
          </w:p>
          <w:p>
            <w:pPr>
              <w:spacing w:after="0"/>
              <w:jc w:val="left"/>
              <w:rPr>
                <w:noProof/>
                <w:sz w:val="20"/>
              </w:rPr>
            </w:pPr>
          </w:p>
          <w:p>
            <w:pPr>
              <w:spacing w:after="0"/>
              <w:jc w:val="left"/>
              <w:rPr>
                <w:noProof/>
                <w:sz w:val="20"/>
              </w:rPr>
            </w:pPr>
            <w:r>
              <w:rPr>
                <w:i/>
                <w:noProof/>
                <w:color w:val="000000"/>
                <w:sz w:val="20"/>
              </w:rPr>
              <w:t>Senatul</w:t>
            </w:r>
            <w:r>
              <w:rPr>
                <w:noProof/>
              </w:rPr>
              <w:t xml:space="preserve"> roumain (1 voix)</w:t>
            </w:r>
            <w:r>
              <w:rPr>
                <w:noProof/>
                <w:sz w:val="20"/>
              </w:rPr>
              <w:t xml:space="preserve"> </w:t>
            </w:r>
          </w:p>
        </w:tc>
      </w:tr>
      <w:tr>
        <w:trPr>
          <w:cantSplit/>
        </w:trPr>
        <w:tc>
          <w:tcPr>
            <w:tcW w:w="414" w:type="dxa"/>
            <w:shd w:val="clear" w:color="auto" w:fill="auto"/>
          </w:tcPr>
          <w:p>
            <w:pPr>
              <w:spacing w:after="0"/>
              <w:jc w:val="left"/>
              <w:rPr>
                <w:noProof/>
                <w:sz w:val="20"/>
              </w:rPr>
            </w:pPr>
            <w:r>
              <w:rPr>
                <w:noProof/>
                <w:sz w:val="20"/>
              </w:rPr>
              <w:t>7</w:t>
            </w:r>
          </w:p>
        </w:tc>
        <w:tc>
          <w:tcPr>
            <w:tcW w:w="1977" w:type="dxa"/>
            <w:shd w:val="clear" w:color="auto" w:fill="auto"/>
          </w:tcPr>
          <w:p>
            <w:pPr>
              <w:spacing w:after="0"/>
              <w:jc w:val="left"/>
              <w:rPr>
                <w:noProof/>
                <w:color w:val="000000"/>
                <w:sz w:val="20"/>
              </w:rPr>
            </w:pPr>
            <w:r>
              <w:rPr>
                <w:noProof/>
                <w:color w:val="000000"/>
                <w:sz w:val="20"/>
              </w:rPr>
              <w:t>COM(2016) 765</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modifiant la directive 2010/31/UE sur la </w:t>
            </w:r>
            <w:r>
              <w:rPr>
                <w:b/>
                <w:noProof/>
                <w:color w:val="000000"/>
                <w:sz w:val="20"/>
              </w:rPr>
              <w:t>performance énergétique des bâtiments</w:t>
            </w:r>
          </w:p>
        </w:tc>
        <w:tc>
          <w:tcPr>
            <w:tcW w:w="1207" w:type="dxa"/>
            <w:shd w:val="clear" w:color="auto" w:fill="auto"/>
          </w:tcPr>
          <w:p>
            <w:pPr>
              <w:spacing w:after="0"/>
              <w:jc w:val="center"/>
              <w:rPr>
                <w:noProof/>
                <w:color w:val="000000"/>
                <w:sz w:val="20"/>
              </w:rPr>
            </w:pPr>
            <w:r>
              <w:rPr>
                <w:noProof/>
                <w:color w:val="000000"/>
                <w:sz w:val="20"/>
              </w:rPr>
              <w:t>2</w:t>
            </w:r>
          </w:p>
        </w:tc>
        <w:tc>
          <w:tcPr>
            <w:tcW w:w="1157" w:type="dxa"/>
            <w:shd w:val="clear" w:color="auto" w:fill="auto"/>
          </w:tcPr>
          <w:p>
            <w:pPr>
              <w:spacing w:after="0"/>
              <w:jc w:val="center"/>
              <w:rPr>
                <w:noProof/>
                <w:color w:val="000000"/>
                <w:sz w:val="20"/>
              </w:rPr>
            </w:pPr>
            <w:r>
              <w:rPr>
                <w:noProof/>
                <w:color w:val="000000"/>
                <w:sz w:val="20"/>
              </w:rPr>
              <w:t>2</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Eerste Kamer</w:t>
            </w:r>
            <w:r>
              <w:rPr>
                <w:noProof/>
                <w:sz w:val="20"/>
              </w:rPr>
              <w:t xml:space="preserve"> néerlandaise (1 voix) </w:t>
            </w:r>
          </w:p>
          <w:p>
            <w:pPr>
              <w:spacing w:after="0"/>
              <w:jc w:val="left"/>
              <w:rPr>
                <w:i/>
                <w:iCs/>
                <w:noProof/>
                <w:color w:val="000000"/>
                <w:sz w:val="20"/>
              </w:rPr>
            </w:pPr>
          </w:p>
          <w:p>
            <w:pPr>
              <w:spacing w:after="0"/>
              <w:jc w:val="left"/>
              <w:rPr>
                <w:noProof/>
                <w:sz w:val="20"/>
              </w:rPr>
            </w:pPr>
            <w:r>
              <w:rPr>
                <w:i/>
                <w:noProof/>
                <w:color w:val="000000"/>
                <w:sz w:val="20"/>
              </w:rPr>
              <w:t>Tweede Kamer</w:t>
            </w:r>
            <w:r>
              <w:rPr>
                <w:noProof/>
                <w:sz w:val="20"/>
              </w:rPr>
              <w:t xml:space="preserve"> néerlandaise (1 voix) </w:t>
            </w:r>
          </w:p>
          <w:p>
            <w:pPr>
              <w:spacing w:after="0"/>
              <w:jc w:val="left"/>
              <w:rPr>
                <w:noProof/>
                <w:sz w:val="20"/>
              </w:rPr>
            </w:pPr>
          </w:p>
          <w:p>
            <w:pPr>
              <w:spacing w:after="0"/>
              <w:jc w:val="left"/>
              <w:rPr>
                <w:noProof/>
                <w:sz w:val="20"/>
              </w:rPr>
            </w:pPr>
          </w:p>
        </w:tc>
      </w:tr>
      <w:tr>
        <w:trPr>
          <w:cantSplit/>
        </w:trPr>
        <w:tc>
          <w:tcPr>
            <w:tcW w:w="414" w:type="dxa"/>
            <w:shd w:val="clear" w:color="auto" w:fill="auto"/>
          </w:tcPr>
          <w:p>
            <w:pPr>
              <w:spacing w:after="0"/>
              <w:jc w:val="left"/>
              <w:rPr>
                <w:noProof/>
                <w:sz w:val="20"/>
              </w:rPr>
            </w:pPr>
            <w:r>
              <w:rPr>
                <w:noProof/>
                <w:sz w:val="20"/>
              </w:rPr>
              <w:t>8</w:t>
            </w:r>
          </w:p>
        </w:tc>
        <w:tc>
          <w:tcPr>
            <w:tcW w:w="1977" w:type="dxa"/>
            <w:shd w:val="clear" w:color="auto" w:fill="auto"/>
          </w:tcPr>
          <w:p>
            <w:pPr>
              <w:spacing w:after="0"/>
              <w:jc w:val="left"/>
              <w:rPr>
                <w:noProof/>
                <w:color w:val="000000"/>
                <w:sz w:val="20"/>
              </w:rPr>
            </w:pPr>
            <w:r>
              <w:rPr>
                <w:noProof/>
                <w:color w:val="000000"/>
                <w:sz w:val="20"/>
              </w:rPr>
              <w:t>COM(2016) 723</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relative aux </w:t>
            </w:r>
            <w:r>
              <w:rPr>
                <w:b/>
                <w:noProof/>
                <w:color w:val="000000"/>
                <w:sz w:val="20"/>
              </w:rPr>
              <w:t>cadres de restructuration préventifs, à la seconde chance et aux mesures à prendre pour augmenter l’efficience des procédures de restructuration, d’insolvabilité et d’apurement</w:t>
            </w:r>
            <w:r>
              <w:rPr>
                <w:noProof/>
                <w:color w:val="000000"/>
                <w:sz w:val="20"/>
              </w:rPr>
              <w:t xml:space="preserve"> et modifiant la directive 2012/30/UE</w:t>
            </w:r>
          </w:p>
        </w:tc>
        <w:tc>
          <w:tcPr>
            <w:tcW w:w="1207" w:type="dxa"/>
            <w:shd w:val="clear" w:color="auto" w:fill="auto"/>
          </w:tcPr>
          <w:p>
            <w:pPr>
              <w:spacing w:after="0"/>
              <w:jc w:val="center"/>
              <w:rPr>
                <w:noProof/>
                <w:color w:val="000000"/>
                <w:sz w:val="20"/>
              </w:rPr>
            </w:pPr>
            <w:r>
              <w:rPr>
                <w:noProof/>
                <w:color w:val="000000"/>
                <w:sz w:val="20"/>
              </w:rPr>
              <w:t>2</w:t>
            </w:r>
          </w:p>
        </w:tc>
        <w:tc>
          <w:tcPr>
            <w:tcW w:w="1157" w:type="dxa"/>
            <w:shd w:val="clear" w:color="auto" w:fill="auto"/>
          </w:tcPr>
          <w:p>
            <w:pPr>
              <w:spacing w:after="0"/>
              <w:jc w:val="center"/>
              <w:rPr>
                <w:noProof/>
                <w:color w:val="000000"/>
                <w:sz w:val="20"/>
              </w:rPr>
            </w:pPr>
            <w:r>
              <w:rPr>
                <w:noProof/>
                <w:color w:val="000000"/>
                <w:sz w:val="20"/>
              </w:rPr>
              <w:t>2</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Seanad Éireann</w:t>
            </w:r>
            <w:r>
              <w:rPr>
                <w:noProof/>
                <w:sz w:val="20"/>
              </w:rPr>
              <w:t xml:space="preserve"> irlandais (1 voix) </w:t>
            </w:r>
          </w:p>
          <w:p>
            <w:pPr>
              <w:spacing w:after="0"/>
              <w:jc w:val="left"/>
              <w:rPr>
                <w:noProof/>
                <w:sz w:val="20"/>
              </w:rPr>
            </w:pPr>
          </w:p>
          <w:p>
            <w:pPr>
              <w:spacing w:after="0"/>
              <w:jc w:val="left"/>
              <w:rPr>
                <w:noProof/>
                <w:sz w:val="20"/>
              </w:rPr>
            </w:pPr>
            <w:r>
              <w:rPr>
                <w:i/>
                <w:noProof/>
                <w:color w:val="000000"/>
                <w:sz w:val="20"/>
              </w:rPr>
              <w:t>Dáil</w:t>
            </w:r>
            <w:r>
              <w:rPr>
                <w:noProof/>
                <w:sz w:val="20"/>
              </w:rPr>
              <w:t xml:space="preserve"> </w:t>
            </w:r>
            <w:r>
              <w:rPr>
                <w:i/>
                <w:noProof/>
                <w:color w:val="000000"/>
                <w:sz w:val="20"/>
              </w:rPr>
              <w:t>Éireann</w:t>
            </w:r>
            <w:r>
              <w:rPr>
                <w:noProof/>
                <w:sz w:val="20"/>
              </w:rPr>
              <w:t xml:space="preserve"> irlandais (1 voix)</w:t>
            </w:r>
          </w:p>
        </w:tc>
      </w:tr>
      <w:tr>
        <w:trPr>
          <w:cantSplit/>
        </w:trPr>
        <w:tc>
          <w:tcPr>
            <w:tcW w:w="414" w:type="dxa"/>
            <w:shd w:val="clear" w:color="auto" w:fill="auto"/>
          </w:tcPr>
          <w:p>
            <w:pPr>
              <w:spacing w:after="0"/>
              <w:jc w:val="left"/>
              <w:rPr>
                <w:noProof/>
                <w:sz w:val="20"/>
              </w:rPr>
            </w:pPr>
            <w:r>
              <w:rPr>
                <w:noProof/>
                <w:sz w:val="20"/>
              </w:rPr>
              <w:t>9</w:t>
            </w:r>
          </w:p>
        </w:tc>
        <w:tc>
          <w:tcPr>
            <w:tcW w:w="1977" w:type="dxa"/>
            <w:shd w:val="clear" w:color="auto" w:fill="auto"/>
          </w:tcPr>
          <w:p>
            <w:pPr>
              <w:spacing w:after="0"/>
              <w:jc w:val="left"/>
              <w:rPr>
                <w:noProof/>
                <w:color w:val="000000"/>
                <w:sz w:val="20"/>
              </w:rPr>
            </w:pPr>
            <w:r>
              <w:rPr>
                <w:noProof/>
                <w:color w:val="000000"/>
                <w:sz w:val="20"/>
              </w:rPr>
              <w:t>COM(2016) 823</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relative au </w:t>
            </w:r>
            <w:r>
              <w:rPr>
                <w:b/>
                <w:noProof/>
                <w:color w:val="000000"/>
                <w:sz w:val="20"/>
              </w:rPr>
              <w:t xml:space="preserve">cadre juridique et opérationnel applicable à la carte électronique européenne de services </w:t>
            </w:r>
          </w:p>
        </w:tc>
        <w:tc>
          <w:tcPr>
            <w:tcW w:w="1207" w:type="dxa"/>
            <w:shd w:val="clear" w:color="auto" w:fill="auto"/>
          </w:tcPr>
          <w:p>
            <w:pPr>
              <w:spacing w:after="0"/>
              <w:jc w:val="center"/>
              <w:rPr>
                <w:noProof/>
                <w:color w:val="000000"/>
                <w:sz w:val="20"/>
              </w:rPr>
            </w:pPr>
            <w:r>
              <w:rPr>
                <w:noProof/>
                <w:color w:val="000000"/>
                <w:sz w:val="20"/>
              </w:rPr>
              <w:t>2</w:t>
            </w:r>
          </w:p>
        </w:tc>
        <w:tc>
          <w:tcPr>
            <w:tcW w:w="1157" w:type="dxa"/>
            <w:shd w:val="clear" w:color="auto" w:fill="auto"/>
          </w:tcPr>
          <w:p>
            <w:pPr>
              <w:spacing w:after="0"/>
              <w:jc w:val="center"/>
              <w:rPr>
                <w:noProof/>
                <w:color w:val="000000"/>
                <w:sz w:val="20"/>
              </w:rPr>
            </w:pPr>
            <w:r>
              <w:rPr>
                <w:noProof/>
                <w:color w:val="000000"/>
                <w:sz w:val="20"/>
              </w:rPr>
              <w:t>2</w:t>
            </w:r>
          </w:p>
        </w:tc>
        <w:tc>
          <w:tcPr>
            <w:tcW w:w="3022" w:type="dxa"/>
            <w:tcBorders>
              <w:bottom w:val="single" w:sz="4" w:space="0" w:color="auto"/>
            </w:tcBorders>
            <w:shd w:val="clear" w:color="auto" w:fill="auto"/>
          </w:tcPr>
          <w:p>
            <w:pPr>
              <w:spacing w:after="0"/>
              <w:jc w:val="left"/>
              <w:rPr>
                <w:noProof/>
                <w:sz w:val="20"/>
                <w:lang w:val="de-DE"/>
              </w:rPr>
            </w:pPr>
            <w:r>
              <w:rPr>
                <w:i/>
                <w:noProof/>
                <w:sz w:val="20"/>
                <w:lang w:val="de-DE"/>
              </w:rPr>
              <w:t>Bundestag</w:t>
            </w:r>
            <w:r>
              <w:rPr>
                <w:noProof/>
                <w:sz w:val="20"/>
                <w:lang w:val="de-DE"/>
              </w:rPr>
              <w:t xml:space="preserve"> allemand (1 voix) </w:t>
            </w:r>
          </w:p>
          <w:p>
            <w:pPr>
              <w:spacing w:after="0"/>
              <w:jc w:val="left"/>
              <w:rPr>
                <w:noProof/>
                <w:sz w:val="20"/>
                <w:lang w:val="de-DE"/>
              </w:rPr>
            </w:pPr>
          </w:p>
          <w:p>
            <w:pPr>
              <w:spacing w:after="0"/>
              <w:jc w:val="left"/>
              <w:rPr>
                <w:noProof/>
                <w:sz w:val="20"/>
                <w:lang w:val="de-DE"/>
              </w:rPr>
            </w:pPr>
            <w:r>
              <w:rPr>
                <w:i/>
                <w:noProof/>
                <w:sz w:val="20"/>
                <w:lang w:val="de-DE"/>
              </w:rPr>
              <w:t>Bundesrat</w:t>
            </w:r>
            <w:r>
              <w:rPr>
                <w:noProof/>
                <w:sz w:val="20"/>
                <w:lang w:val="de-DE"/>
              </w:rPr>
              <w:t xml:space="preserve"> autrichien (1 voix) </w:t>
            </w:r>
          </w:p>
        </w:tc>
      </w:tr>
      <w:tr>
        <w:trPr>
          <w:cantSplit/>
        </w:trPr>
        <w:tc>
          <w:tcPr>
            <w:tcW w:w="414" w:type="dxa"/>
            <w:shd w:val="clear" w:color="auto" w:fill="auto"/>
          </w:tcPr>
          <w:p>
            <w:pPr>
              <w:spacing w:after="0"/>
              <w:jc w:val="left"/>
              <w:rPr>
                <w:noProof/>
                <w:sz w:val="20"/>
              </w:rPr>
            </w:pPr>
            <w:r>
              <w:rPr>
                <w:noProof/>
                <w:sz w:val="20"/>
              </w:rPr>
              <w:t>10</w:t>
            </w:r>
          </w:p>
        </w:tc>
        <w:tc>
          <w:tcPr>
            <w:tcW w:w="1977" w:type="dxa"/>
            <w:shd w:val="clear" w:color="auto" w:fill="auto"/>
          </w:tcPr>
          <w:p>
            <w:pPr>
              <w:spacing w:after="0"/>
              <w:jc w:val="left"/>
              <w:rPr>
                <w:noProof/>
                <w:color w:val="000000"/>
                <w:sz w:val="20"/>
              </w:rPr>
            </w:pPr>
            <w:r>
              <w:rPr>
                <w:noProof/>
                <w:color w:val="000000"/>
                <w:sz w:val="20"/>
              </w:rPr>
              <w:t>COM(2016) 824</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portant </w:t>
            </w:r>
            <w:r>
              <w:rPr>
                <w:b/>
                <w:noProof/>
                <w:color w:val="000000"/>
                <w:sz w:val="20"/>
              </w:rPr>
              <w:t>introduction d’une carte électronique européenne de services</w:t>
            </w:r>
            <w:r>
              <w:rPr>
                <w:noProof/>
                <w:color w:val="000000"/>
                <w:sz w:val="20"/>
              </w:rPr>
              <w:t xml:space="preserve"> et de facilités administratives connexes</w:t>
            </w:r>
          </w:p>
        </w:tc>
        <w:tc>
          <w:tcPr>
            <w:tcW w:w="1207" w:type="dxa"/>
            <w:shd w:val="clear" w:color="auto" w:fill="auto"/>
          </w:tcPr>
          <w:p>
            <w:pPr>
              <w:spacing w:after="0"/>
              <w:jc w:val="center"/>
              <w:rPr>
                <w:noProof/>
                <w:color w:val="000000"/>
                <w:sz w:val="20"/>
              </w:rPr>
            </w:pPr>
            <w:r>
              <w:rPr>
                <w:noProof/>
                <w:color w:val="000000"/>
                <w:sz w:val="20"/>
              </w:rPr>
              <w:t>2</w:t>
            </w:r>
          </w:p>
        </w:tc>
        <w:tc>
          <w:tcPr>
            <w:tcW w:w="1157" w:type="dxa"/>
            <w:shd w:val="clear" w:color="auto" w:fill="auto"/>
          </w:tcPr>
          <w:p>
            <w:pPr>
              <w:spacing w:after="0"/>
              <w:jc w:val="center"/>
              <w:rPr>
                <w:noProof/>
                <w:color w:val="000000"/>
                <w:sz w:val="20"/>
              </w:rPr>
            </w:pPr>
            <w:r>
              <w:rPr>
                <w:noProof/>
                <w:color w:val="000000"/>
                <w:sz w:val="20"/>
              </w:rPr>
              <w:t>2</w:t>
            </w:r>
          </w:p>
        </w:tc>
        <w:tc>
          <w:tcPr>
            <w:tcW w:w="3022" w:type="dxa"/>
            <w:tcBorders>
              <w:bottom w:val="single" w:sz="4" w:space="0" w:color="auto"/>
            </w:tcBorders>
            <w:shd w:val="clear" w:color="auto" w:fill="auto"/>
          </w:tcPr>
          <w:p>
            <w:pPr>
              <w:spacing w:after="0"/>
              <w:jc w:val="left"/>
              <w:rPr>
                <w:noProof/>
                <w:sz w:val="20"/>
                <w:lang w:val="de-DE"/>
              </w:rPr>
            </w:pPr>
            <w:r>
              <w:rPr>
                <w:i/>
                <w:noProof/>
                <w:sz w:val="20"/>
                <w:lang w:val="de-DE"/>
              </w:rPr>
              <w:t>Bundestag</w:t>
            </w:r>
            <w:r>
              <w:rPr>
                <w:noProof/>
                <w:sz w:val="20"/>
                <w:lang w:val="de-DE"/>
              </w:rPr>
              <w:t xml:space="preserve"> allemand (1 voix) </w:t>
            </w:r>
          </w:p>
          <w:p>
            <w:pPr>
              <w:spacing w:after="0"/>
              <w:jc w:val="left"/>
              <w:rPr>
                <w:noProof/>
                <w:sz w:val="20"/>
                <w:lang w:val="de-DE"/>
              </w:rPr>
            </w:pPr>
          </w:p>
          <w:p>
            <w:pPr>
              <w:spacing w:after="0"/>
              <w:jc w:val="left"/>
              <w:rPr>
                <w:noProof/>
                <w:sz w:val="20"/>
                <w:lang w:val="de-DE"/>
              </w:rPr>
            </w:pPr>
            <w:r>
              <w:rPr>
                <w:i/>
                <w:noProof/>
                <w:sz w:val="20"/>
                <w:lang w:val="de-DE"/>
              </w:rPr>
              <w:t>Bundesrat</w:t>
            </w:r>
            <w:r>
              <w:rPr>
                <w:noProof/>
                <w:sz w:val="20"/>
                <w:lang w:val="de-DE"/>
              </w:rPr>
              <w:t xml:space="preserve"> autrichien (1 voix)</w:t>
            </w:r>
          </w:p>
        </w:tc>
      </w:tr>
      <w:tr>
        <w:trPr>
          <w:cantSplit/>
        </w:trPr>
        <w:tc>
          <w:tcPr>
            <w:tcW w:w="414" w:type="dxa"/>
            <w:shd w:val="clear" w:color="auto" w:fill="auto"/>
          </w:tcPr>
          <w:p>
            <w:pPr>
              <w:spacing w:after="0"/>
              <w:jc w:val="left"/>
              <w:rPr>
                <w:noProof/>
                <w:sz w:val="20"/>
              </w:rPr>
            </w:pPr>
            <w:r>
              <w:rPr>
                <w:noProof/>
                <w:sz w:val="20"/>
              </w:rPr>
              <w:t>11</w:t>
            </w:r>
          </w:p>
        </w:tc>
        <w:tc>
          <w:tcPr>
            <w:tcW w:w="1977" w:type="dxa"/>
            <w:shd w:val="clear" w:color="auto" w:fill="auto"/>
          </w:tcPr>
          <w:p>
            <w:pPr>
              <w:spacing w:after="0"/>
              <w:jc w:val="left"/>
              <w:rPr>
                <w:noProof/>
                <w:color w:val="000000"/>
                <w:sz w:val="20"/>
              </w:rPr>
            </w:pPr>
            <w:r>
              <w:rPr>
                <w:noProof/>
                <w:color w:val="000000"/>
                <w:sz w:val="20"/>
              </w:rPr>
              <w:t>COM(2017) 647l</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modifiant le règlement (CE) nº 1073/2009 établissant des </w:t>
            </w:r>
            <w:r>
              <w:rPr>
                <w:b/>
                <w:noProof/>
                <w:color w:val="000000"/>
                <w:sz w:val="20"/>
              </w:rPr>
              <w:t>règles communes pour l’accès au marché international des services de transport par autocars et autobus</w:t>
            </w:r>
          </w:p>
        </w:tc>
        <w:tc>
          <w:tcPr>
            <w:tcW w:w="1207" w:type="dxa"/>
            <w:shd w:val="clear" w:color="auto" w:fill="auto"/>
          </w:tcPr>
          <w:p>
            <w:pPr>
              <w:spacing w:after="0"/>
              <w:jc w:val="center"/>
              <w:rPr>
                <w:noProof/>
                <w:color w:val="000000"/>
                <w:sz w:val="20"/>
              </w:rPr>
            </w:pPr>
            <w:r>
              <w:rPr>
                <w:noProof/>
                <w:color w:val="000000"/>
                <w:sz w:val="20"/>
              </w:rPr>
              <w:t>2</w:t>
            </w:r>
          </w:p>
        </w:tc>
        <w:tc>
          <w:tcPr>
            <w:tcW w:w="1157" w:type="dxa"/>
            <w:shd w:val="clear" w:color="auto" w:fill="auto"/>
          </w:tcPr>
          <w:p>
            <w:pPr>
              <w:spacing w:after="0"/>
              <w:jc w:val="center"/>
              <w:rPr>
                <w:noProof/>
                <w:color w:val="000000"/>
                <w:sz w:val="20"/>
              </w:rPr>
            </w:pPr>
            <w:r>
              <w:rPr>
                <w:noProof/>
                <w:color w:val="000000"/>
                <w:sz w:val="20"/>
              </w:rPr>
              <w:t>4</w:t>
            </w:r>
          </w:p>
        </w:tc>
        <w:tc>
          <w:tcPr>
            <w:tcW w:w="3022" w:type="dxa"/>
            <w:tcBorders>
              <w:bottom w:val="single" w:sz="4" w:space="0" w:color="auto"/>
            </w:tcBorders>
            <w:shd w:val="clear" w:color="auto" w:fill="auto"/>
          </w:tcPr>
          <w:p>
            <w:pPr>
              <w:spacing w:after="0"/>
              <w:jc w:val="left"/>
              <w:rPr>
                <w:noProof/>
                <w:sz w:val="20"/>
              </w:rPr>
            </w:pPr>
            <w:r>
              <w:rPr>
                <w:i/>
                <w:noProof/>
                <w:sz w:val="20"/>
              </w:rPr>
              <w:t>Cortes Generales</w:t>
            </w:r>
            <w:r>
              <w:rPr>
                <w:noProof/>
                <w:sz w:val="20"/>
              </w:rPr>
              <w:t xml:space="preserve"> espagnoles (2 voix) </w:t>
            </w:r>
          </w:p>
          <w:p>
            <w:pPr>
              <w:spacing w:after="0"/>
              <w:jc w:val="left"/>
              <w:rPr>
                <w:noProof/>
                <w:sz w:val="20"/>
              </w:rPr>
            </w:pPr>
          </w:p>
          <w:p>
            <w:pPr>
              <w:spacing w:after="0"/>
              <w:jc w:val="left"/>
              <w:rPr>
                <w:noProof/>
                <w:sz w:val="20"/>
              </w:rPr>
            </w:pPr>
            <w:r>
              <w:rPr>
                <w:i/>
                <w:noProof/>
                <w:sz w:val="20"/>
              </w:rPr>
              <w:t>Houses of the Oireachtas</w:t>
            </w:r>
            <w:r>
              <w:rPr>
                <w:noProof/>
                <w:sz w:val="20"/>
              </w:rPr>
              <w:t xml:space="preserve"> irlandaises (2 voix)</w:t>
            </w:r>
          </w:p>
        </w:tc>
      </w:tr>
      <w:tr>
        <w:trPr>
          <w:cantSplit/>
        </w:trPr>
        <w:tc>
          <w:tcPr>
            <w:tcW w:w="414" w:type="dxa"/>
            <w:shd w:val="clear" w:color="auto" w:fill="auto"/>
          </w:tcPr>
          <w:p>
            <w:pPr>
              <w:spacing w:after="0"/>
              <w:jc w:val="left"/>
              <w:rPr>
                <w:noProof/>
                <w:sz w:val="20"/>
              </w:rPr>
            </w:pPr>
            <w:r>
              <w:rPr>
                <w:noProof/>
                <w:sz w:val="20"/>
              </w:rPr>
              <w:t>12</w:t>
            </w:r>
          </w:p>
        </w:tc>
        <w:tc>
          <w:tcPr>
            <w:tcW w:w="1977" w:type="dxa"/>
            <w:shd w:val="clear" w:color="auto" w:fill="auto"/>
          </w:tcPr>
          <w:p>
            <w:pPr>
              <w:spacing w:after="0"/>
              <w:jc w:val="left"/>
              <w:rPr>
                <w:noProof/>
                <w:color w:val="000000"/>
                <w:sz w:val="20"/>
              </w:rPr>
            </w:pPr>
            <w:r>
              <w:rPr>
                <w:noProof/>
                <w:color w:val="000000"/>
                <w:sz w:val="20"/>
              </w:rPr>
              <w:t>COM(2016) 815</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modifiant le règlement (CE) nº 883/2004 sur la </w:t>
            </w:r>
            <w:r>
              <w:rPr>
                <w:b/>
                <w:noProof/>
                <w:color w:val="000000"/>
                <w:sz w:val="20"/>
              </w:rPr>
              <w:t>coordination des systèmes de sécurité sociale</w:t>
            </w:r>
            <w:r>
              <w:rPr>
                <w:noProof/>
                <w:color w:val="000000"/>
                <w:sz w:val="20"/>
              </w:rPr>
              <w:t xml:space="preserve"> et le règlement (CE) nº 987/2009 fixant les modalités d’application du règlement (CE) nº 883/2004</w:t>
            </w:r>
          </w:p>
        </w:tc>
        <w:tc>
          <w:tcPr>
            <w:tcW w:w="1207" w:type="dxa"/>
            <w:shd w:val="clear" w:color="auto" w:fill="auto"/>
          </w:tcPr>
          <w:p>
            <w:pPr>
              <w:spacing w:after="0"/>
              <w:jc w:val="center"/>
              <w:rPr>
                <w:noProof/>
                <w:color w:val="000000"/>
                <w:sz w:val="20"/>
              </w:rPr>
            </w:pPr>
            <w:r>
              <w:rPr>
                <w:noProof/>
                <w:color w:val="000000"/>
                <w:sz w:val="20"/>
              </w:rPr>
              <w:t>1</w:t>
            </w:r>
          </w:p>
        </w:tc>
        <w:tc>
          <w:tcPr>
            <w:tcW w:w="1157" w:type="dxa"/>
            <w:shd w:val="clear" w:color="auto" w:fill="auto"/>
          </w:tcPr>
          <w:p>
            <w:pPr>
              <w:spacing w:after="0"/>
              <w:jc w:val="center"/>
              <w:rPr>
                <w:noProof/>
                <w:color w:val="000000"/>
                <w:sz w:val="20"/>
              </w:rPr>
            </w:pPr>
            <w:r>
              <w:rPr>
                <w:noProof/>
                <w:color w:val="000000"/>
                <w:sz w:val="20"/>
              </w:rPr>
              <w:t>1</w:t>
            </w:r>
          </w:p>
        </w:tc>
        <w:tc>
          <w:tcPr>
            <w:tcW w:w="3022" w:type="dxa"/>
            <w:shd w:val="clear" w:color="auto" w:fill="auto"/>
          </w:tcPr>
          <w:p>
            <w:pPr>
              <w:spacing w:after="0"/>
              <w:jc w:val="left"/>
              <w:rPr>
                <w:noProof/>
                <w:sz w:val="20"/>
              </w:rPr>
            </w:pPr>
            <w:r>
              <w:rPr>
                <w:noProof/>
                <w:sz w:val="20"/>
              </w:rPr>
              <w:t>Sénat français (1 voix)</w:t>
            </w:r>
          </w:p>
        </w:tc>
      </w:tr>
      <w:tr>
        <w:trPr>
          <w:cantSplit/>
        </w:trPr>
        <w:tc>
          <w:tcPr>
            <w:tcW w:w="414" w:type="dxa"/>
            <w:shd w:val="clear" w:color="auto" w:fill="auto"/>
          </w:tcPr>
          <w:p>
            <w:pPr>
              <w:spacing w:after="0"/>
              <w:jc w:val="left"/>
              <w:rPr>
                <w:noProof/>
                <w:sz w:val="20"/>
              </w:rPr>
            </w:pPr>
            <w:r>
              <w:rPr>
                <w:noProof/>
                <w:sz w:val="20"/>
              </w:rPr>
              <w:t>13</w:t>
            </w:r>
          </w:p>
        </w:tc>
        <w:tc>
          <w:tcPr>
            <w:tcW w:w="1977" w:type="dxa"/>
            <w:shd w:val="clear" w:color="auto" w:fill="auto"/>
          </w:tcPr>
          <w:p>
            <w:pPr>
              <w:spacing w:after="0"/>
              <w:jc w:val="left"/>
              <w:rPr>
                <w:noProof/>
                <w:color w:val="000000"/>
                <w:sz w:val="20"/>
              </w:rPr>
            </w:pPr>
            <w:r>
              <w:rPr>
                <w:noProof/>
                <w:color w:val="000000"/>
                <w:sz w:val="20"/>
              </w:rPr>
              <w:t>COM(2017) 275</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modifiant la directive 1999/62/CE relative à la </w:t>
            </w:r>
            <w:r>
              <w:rPr>
                <w:b/>
                <w:noProof/>
                <w:color w:val="000000"/>
                <w:sz w:val="20"/>
              </w:rPr>
              <w:t>taxation des poids lourds pour l’utilisation de certaines infrastructures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shd w:val="clear" w:color="auto" w:fill="auto"/>
          </w:tcPr>
          <w:p>
            <w:pPr>
              <w:spacing w:after="0"/>
              <w:jc w:val="left"/>
              <w:rPr>
                <w:noProof/>
                <w:sz w:val="20"/>
              </w:rPr>
            </w:pPr>
            <w:r>
              <w:rPr>
                <w:i/>
                <w:noProof/>
                <w:sz w:val="20"/>
              </w:rPr>
              <w:t>Bundesrat</w:t>
            </w:r>
            <w:r>
              <w:rPr>
                <w:noProof/>
                <w:sz w:val="20"/>
              </w:rPr>
              <w:t xml:space="preserve"> autrichien (1 voix) </w:t>
            </w:r>
          </w:p>
        </w:tc>
      </w:tr>
      <w:tr>
        <w:trPr>
          <w:cantSplit/>
        </w:trPr>
        <w:tc>
          <w:tcPr>
            <w:tcW w:w="414" w:type="dxa"/>
            <w:shd w:val="clear" w:color="auto" w:fill="auto"/>
          </w:tcPr>
          <w:p>
            <w:pPr>
              <w:spacing w:after="0"/>
              <w:jc w:val="left"/>
              <w:rPr>
                <w:noProof/>
                <w:sz w:val="20"/>
              </w:rPr>
            </w:pPr>
            <w:r>
              <w:rPr>
                <w:noProof/>
                <w:sz w:val="20"/>
              </w:rPr>
              <w:t>14</w:t>
            </w:r>
          </w:p>
        </w:tc>
        <w:tc>
          <w:tcPr>
            <w:tcW w:w="1977" w:type="dxa"/>
            <w:shd w:val="clear" w:color="auto" w:fill="auto"/>
          </w:tcPr>
          <w:p>
            <w:pPr>
              <w:spacing w:after="0"/>
              <w:jc w:val="left"/>
              <w:rPr>
                <w:noProof/>
                <w:color w:val="000000"/>
                <w:sz w:val="20"/>
              </w:rPr>
            </w:pPr>
            <w:r>
              <w:rPr>
                <w:noProof/>
                <w:color w:val="000000"/>
                <w:sz w:val="20"/>
              </w:rPr>
              <w:t>COM(2017) 278</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modifiant la directive 2006/22/CE quant aux </w:t>
            </w:r>
            <w:r>
              <w:rPr>
                <w:b/>
                <w:noProof/>
                <w:color w:val="000000"/>
                <w:sz w:val="20"/>
              </w:rPr>
              <w:t>exigences en matière de contrôle</w:t>
            </w:r>
            <w:r>
              <w:rPr>
                <w:noProof/>
                <w:color w:val="000000"/>
                <w:sz w:val="20"/>
              </w:rPr>
              <w:t xml:space="preserve"> et établissant des règles spécifiques en ce qui concerne la directive 96/71/CE et la directive 2014/67/UE pour le </w:t>
            </w:r>
            <w:r>
              <w:rPr>
                <w:b/>
                <w:noProof/>
                <w:color w:val="000000"/>
                <w:sz w:val="20"/>
              </w:rPr>
              <w:t>détachement de conducteurs dans le secteur du transport routier</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shd w:val="clear" w:color="auto" w:fill="auto"/>
          </w:tcPr>
          <w:p>
            <w:pPr>
              <w:spacing w:after="0"/>
              <w:jc w:val="left"/>
              <w:rPr>
                <w:noProof/>
                <w:sz w:val="20"/>
              </w:rPr>
            </w:pPr>
            <w:r>
              <w:rPr>
                <w:i/>
                <w:noProof/>
                <w:sz w:val="20"/>
              </w:rPr>
              <w:t>Senat</w:t>
            </w:r>
            <w:r>
              <w:rPr>
                <w:noProof/>
                <w:sz w:val="20"/>
              </w:rPr>
              <w:t xml:space="preserve"> polonais (1 voix) </w:t>
            </w:r>
          </w:p>
        </w:tc>
      </w:tr>
      <w:tr>
        <w:trPr>
          <w:cantSplit/>
        </w:trPr>
        <w:tc>
          <w:tcPr>
            <w:tcW w:w="414" w:type="dxa"/>
            <w:shd w:val="clear" w:color="auto" w:fill="auto"/>
          </w:tcPr>
          <w:p>
            <w:pPr>
              <w:spacing w:after="0"/>
              <w:jc w:val="left"/>
              <w:rPr>
                <w:noProof/>
                <w:sz w:val="20"/>
              </w:rPr>
            </w:pPr>
            <w:r>
              <w:rPr>
                <w:noProof/>
                <w:sz w:val="20"/>
              </w:rPr>
              <w:t>15</w:t>
            </w:r>
          </w:p>
        </w:tc>
        <w:tc>
          <w:tcPr>
            <w:tcW w:w="1977" w:type="dxa"/>
            <w:shd w:val="clear" w:color="auto" w:fill="auto"/>
          </w:tcPr>
          <w:p>
            <w:pPr>
              <w:spacing w:after="0"/>
              <w:jc w:val="left"/>
              <w:rPr>
                <w:noProof/>
                <w:color w:val="000000"/>
                <w:sz w:val="20"/>
              </w:rPr>
            </w:pPr>
            <w:r>
              <w:rPr>
                <w:noProof/>
                <w:color w:val="000000"/>
                <w:sz w:val="20"/>
              </w:rPr>
              <w:t>COM(2016) 750</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concernant </w:t>
            </w:r>
            <w:r>
              <w:rPr>
                <w:b/>
                <w:noProof/>
                <w:color w:val="000000"/>
                <w:sz w:val="20"/>
              </w:rPr>
              <w:t>la définition, la présentation et l’étiquetage des boissons spiritueuses, l’utilisation des noms de boissons spiritueuses dans la présentation et l’étiquetage d’autres denrées alimentaires, ainsi que la protection des indications géographiques relatives aux boissons spiritueuses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lang w:val="it-IT"/>
              </w:rPr>
            </w:pPr>
            <w:r>
              <w:rPr>
                <w:i/>
                <w:noProof/>
                <w:color w:val="000000"/>
                <w:sz w:val="20"/>
                <w:lang w:val="it-IT"/>
              </w:rPr>
              <w:t>Senato della Repubblica</w:t>
            </w:r>
            <w:r>
              <w:rPr>
                <w:noProof/>
                <w:sz w:val="20"/>
                <w:lang w:val="it-IT"/>
              </w:rPr>
              <w:t xml:space="preserve"> italien</w:t>
            </w:r>
            <w:r>
              <w:rPr>
                <w:i/>
                <w:iCs/>
                <w:noProof/>
                <w:color w:val="000000"/>
                <w:sz w:val="20"/>
                <w:lang w:val="it-IT"/>
              </w:rPr>
              <w:br/>
            </w:r>
            <w:r>
              <w:rPr>
                <w:noProof/>
                <w:sz w:val="20"/>
                <w:lang w:val="it-IT"/>
              </w:rPr>
              <w:t xml:space="preserve">(1 voix) </w:t>
            </w:r>
          </w:p>
        </w:tc>
      </w:tr>
      <w:tr>
        <w:trPr>
          <w:cantSplit/>
        </w:trPr>
        <w:tc>
          <w:tcPr>
            <w:tcW w:w="414" w:type="dxa"/>
            <w:shd w:val="clear" w:color="auto" w:fill="auto"/>
          </w:tcPr>
          <w:p>
            <w:pPr>
              <w:spacing w:after="0"/>
              <w:jc w:val="left"/>
              <w:rPr>
                <w:noProof/>
                <w:sz w:val="20"/>
              </w:rPr>
            </w:pPr>
            <w:r>
              <w:rPr>
                <w:noProof/>
                <w:sz w:val="20"/>
              </w:rPr>
              <w:t>16</w:t>
            </w:r>
          </w:p>
        </w:tc>
        <w:tc>
          <w:tcPr>
            <w:tcW w:w="1977" w:type="dxa"/>
            <w:shd w:val="clear" w:color="auto" w:fill="auto"/>
          </w:tcPr>
          <w:p>
            <w:pPr>
              <w:spacing w:after="0"/>
              <w:jc w:val="left"/>
              <w:rPr>
                <w:noProof/>
                <w:color w:val="000000"/>
                <w:sz w:val="20"/>
              </w:rPr>
            </w:pPr>
            <w:r>
              <w:rPr>
                <w:noProof/>
                <w:color w:val="000000"/>
                <w:sz w:val="20"/>
              </w:rPr>
              <w:t>COM(2017) 477l</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relatif à l’ENISA, </w:t>
            </w:r>
            <w:r>
              <w:rPr>
                <w:b/>
                <w:noProof/>
                <w:color w:val="000000"/>
                <w:sz w:val="20"/>
              </w:rPr>
              <w:t>Agence de l’Union européenne pour la cybersécurité</w:t>
            </w:r>
            <w:r>
              <w:rPr>
                <w:noProof/>
                <w:color w:val="000000"/>
                <w:sz w:val="20"/>
              </w:rPr>
              <w:t>, et abrogeant le règlement (UE) nº 526/2013, et relatif à la certification des technologies de l’information et des communications en matière de cybersécurité (</w:t>
            </w:r>
            <w:r>
              <w:rPr>
                <w:b/>
                <w:noProof/>
                <w:color w:val="000000"/>
                <w:sz w:val="20"/>
              </w:rPr>
              <w:t>règlement sur la cybersécurité</w:t>
            </w:r>
            <w:r>
              <w:rPr>
                <w:noProof/>
                <w:color w:val="000000"/>
                <w:sz w:val="20"/>
              </w:rPr>
              <w:t xml:space="preserve">). </w:t>
            </w:r>
          </w:p>
        </w:tc>
        <w:tc>
          <w:tcPr>
            <w:tcW w:w="1207" w:type="dxa"/>
            <w:shd w:val="clear" w:color="auto" w:fill="auto"/>
          </w:tcPr>
          <w:p>
            <w:pPr>
              <w:spacing w:after="0"/>
              <w:jc w:val="center"/>
              <w:rPr>
                <w:noProof/>
                <w:color w:val="000000"/>
                <w:sz w:val="20"/>
              </w:rPr>
            </w:pPr>
            <w:r>
              <w:rPr>
                <w:noProof/>
                <w:color w:val="000000"/>
                <w:sz w:val="20"/>
              </w:rPr>
              <w:t>1</w:t>
            </w:r>
          </w:p>
        </w:tc>
        <w:tc>
          <w:tcPr>
            <w:tcW w:w="1157" w:type="dxa"/>
            <w:shd w:val="clear" w:color="auto" w:fill="auto"/>
          </w:tcPr>
          <w:p>
            <w:pPr>
              <w:spacing w:after="0"/>
              <w:jc w:val="center"/>
              <w:rPr>
                <w:noProof/>
                <w:color w:val="000000"/>
                <w:sz w:val="20"/>
              </w:rPr>
            </w:pPr>
            <w:r>
              <w:rPr>
                <w:noProof/>
                <w:color w:val="000000"/>
                <w:sz w:val="20"/>
              </w:rPr>
              <w:t>1</w:t>
            </w:r>
          </w:p>
        </w:tc>
        <w:tc>
          <w:tcPr>
            <w:tcW w:w="3022" w:type="dxa"/>
            <w:tcBorders>
              <w:bottom w:val="single" w:sz="4" w:space="0" w:color="auto"/>
            </w:tcBorders>
            <w:shd w:val="clear" w:color="auto" w:fill="auto"/>
          </w:tcPr>
          <w:p>
            <w:pPr>
              <w:spacing w:after="0"/>
              <w:jc w:val="left"/>
              <w:rPr>
                <w:noProof/>
                <w:sz w:val="20"/>
              </w:rPr>
            </w:pPr>
            <w:r>
              <w:rPr>
                <w:noProof/>
                <w:sz w:val="20"/>
              </w:rPr>
              <w:t xml:space="preserve">Sénat français (1 voix) </w:t>
            </w:r>
          </w:p>
        </w:tc>
      </w:tr>
      <w:tr>
        <w:trPr>
          <w:cantSplit/>
        </w:trPr>
        <w:tc>
          <w:tcPr>
            <w:tcW w:w="414" w:type="dxa"/>
            <w:shd w:val="clear" w:color="auto" w:fill="auto"/>
          </w:tcPr>
          <w:p>
            <w:pPr>
              <w:spacing w:after="0"/>
              <w:jc w:val="left"/>
              <w:rPr>
                <w:noProof/>
                <w:sz w:val="20"/>
              </w:rPr>
            </w:pPr>
            <w:r>
              <w:rPr>
                <w:noProof/>
                <w:sz w:val="20"/>
              </w:rPr>
              <w:t>17</w:t>
            </w:r>
          </w:p>
        </w:tc>
        <w:tc>
          <w:tcPr>
            <w:tcW w:w="1977" w:type="dxa"/>
            <w:shd w:val="clear" w:color="auto" w:fill="auto"/>
          </w:tcPr>
          <w:p>
            <w:pPr>
              <w:spacing w:after="0"/>
              <w:jc w:val="left"/>
              <w:rPr>
                <w:noProof/>
                <w:color w:val="000000"/>
                <w:sz w:val="20"/>
              </w:rPr>
            </w:pPr>
            <w:r>
              <w:rPr>
                <w:noProof/>
                <w:color w:val="000000"/>
                <w:sz w:val="20"/>
              </w:rPr>
              <w:t>COM(2017) 495</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concernant </w:t>
            </w:r>
            <w:r>
              <w:rPr>
                <w:b/>
                <w:noProof/>
                <w:color w:val="000000"/>
                <w:sz w:val="20"/>
              </w:rPr>
              <w:t>un cadre applicable à la libre circulation des données à caractère non personnel dans l’Union européenne</w:t>
            </w:r>
          </w:p>
        </w:tc>
        <w:tc>
          <w:tcPr>
            <w:tcW w:w="1207" w:type="dxa"/>
            <w:shd w:val="clear" w:color="auto" w:fill="auto"/>
          </w:tcPr>
          <w:p>
            <w:pPr>
              <w:spacing w:after="0"/>
              <w:jc w:val="center"/>
              <w:rPr>
                <w:noProof/>
                <w:color w:val="000000"/>
                <w:sz w:val="20"/>
              </w:rPr>
            </w:pPr>
            <w:r>
              <w:rPr>
                <w:noProof/>
                <w:color w:val="000000"/>
                <w:sz w:val="20"/>
              </w:rPr>
              <w:t>1</w:t>
            </w:r>
          </w:p>
        </w:tc>
        <w:tc>
          <w:tcPr>
            <w:tcW w:w="1157" w:type="dxa"/>
            <w:shd w:val="clear" w:color="auto" w:fill="auto"/>
          </w:tcPr>
          <w:p>
            <w:pPr>
              <w:spacing w:after="0"/>
              <w:jc w:val="center"/>
              <w:rPr>
                <w:noProof/>
                <w:color w:val="000000"/>
                <w:sz w:val="20"/>
              </w:rPr>
            </w:pPr>
            <w:r>
              <w:rPr>
                <w:noProof/>
                <w:color w:val="000000"/>
                <w:sz w:val="20"/>
              </w:rPr>
              <w:t>1</w:t>
            </w:r>
          </w:p>
        </w:tc>
        <w:tc>
          <w:tcPr>
            <w:tcW w:w="3022" w:type="dxa"/>
            <w:tcBorders>
              <w:bottom w:val="single" w:sz="4" w:space="0" w:color="auto"/>
            </w:tcBorders>
            <w:shd w:val="clear" w:color="auto" w:fill="auto"/>
          </w:tcPr>
          <w:p>
            <w:pPr>
              <w:spacing w:after="0"/>
              <w:jc w:val="left"/>
              <w:rPr>
                <w:noProof/>
                <w:sz w:val="20"/>
              </w:rPr>
            </w:pPr>
            <w:r>
              <w:rPr>
                <w:noProof/>
                <w:sz w:val="20"/>
              </w:rPr>
              <w:t xml:space="preserve">Sénat français (1 voix) </w:t>
            </w:r>
          </w:p>
        </w:tc>
      </w:tr>
      <w:tr>
        <w:trPr>
          <w:cantSplit/>
        </w:trPr>
        <w:tc>
          <w:tcPr>
            <w:tcW w:w="414" w:type="dxa"/>
            <w:shd w:val="clear" w:color="auto" w:fill="auto"/>
          </w:tcPr>
          <w:p>
            <w:pPr>
              <w:spacing w:after="0"/>
              <w:jc w:val="left"/>
              <w:rPr>
                <w:noProof/>
                <w:sz w:val="20"/>
              </w:rPr>
            </w:pPr>
            <w:r>
              <w:rPr>
                <w:noProof/>
                <w:sz w:val="20"/>
              </w:rPr>
              <w:t>18</w:t>
            </w:r>
          </w:p>
        </w:tc>
        <w:tc>
          <w:tcPr>
            <w:tcW w:w="1977" w:type="dxa"/>
            <w:shd w:val="clear" w:color="auto" w:fill="auto"/>
          </w:tcPr>
          <w:p>
            <w:pPr>
              <w:spacing w:after="0"/>
              <w:jc w:val="left"/>
              <w:rPr>
                <w:noProof/>
                <w:color w:val="000000"/>
                <w:sz w:val="20"/>
              </w:rPr>
            </w:pPr>
            <w:r>
              <w:rPr>
                <w:noProof/>
                <w:color w:val="000000"/>
                <w:sz w:val="20"/>
              </w:rPr>
              <w:t>COM(2016) 850</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modifiant le règlement (UE) nº 575/2013 en ce qui concerne </w:t>
            </w:r>
            <w:r>
              <w:rPr>
                <w:b/>
                <w:noProof/>
                <w:color w:val="000000"/>
                <w:sz w:val="20"/>
              </w:rPr>
              <w:t>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w:t>
            </w:r>
            <w:r>
              <w:rPr>
                <w:noProof/>
                <w:color w:val="000000"/>
                <w:sz w:val="20"/>
              </w:rPr>
              <w:t>, et modifiant le règlement (UE) nº 648/2012</w:t>
            </w:r>
          </w:p>
        </w:tc>
        <w:tc>
          <w:tcPr>
            <w:tcW w:w="1207" w:type="dxa"/>
            <w:shd w:val="clear" w:color="auto" w:fill="auto"/>
          </w:tcPr>
          <w:p>
            <w:pPr>
              <w:spacing w:after="0"/>
              <w:jc w:val="center"/>
              <w:rPr>
                <w:noProof/>
                <w:color w:val="000000"/>
                <w:sz w:val="20"/>
              </w:rPr>
            </w:pPr>
            <w:r>
              <w:rPr>
                <w:noProof/>
                <w:color w:val="000000"/>
                <w:sz w:val="20"/>
              </w:rPr>
              <w:t>1</w:t>
            </w:r>
          </w:p>
        </w:tc>
        <w:tc>
          <w:tcPr>
            <w:tcW w:w="1157" w:type="dxa"/>
            <w:shd w:val="clear" w:color="auto" w:fill="auto"/>
          </w:tcPr>
          <w:p>
            <w:pPr>
              <w:spacing w:after="0"/>
              <w:jc w:val="center"/>
              <w:rPr>
                <w:noProof/>
                <w:color w:val="000000"/>
                <w:sz w:val="20"/>
              </w:rPr>
            </w:pPr>
            <w:r>
              <w:rPr>
                <w:noProof/>
                <w:color w:val="000000"/>
                <w:sz w:val="20"/>
              </w:rPr>
              <w:t>2</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Riksdag</w:t>
            </w:r>
            <w:r>
              <w:rPr>
                <w:noProof/>
                <w:sz w:val="20"/>
              </w:rPr>
              <w:t xml:space="preserve"> suédois (2 voix) </w:t>
            </w:r>
          </w:p>
        </w:tc>
      </w:tr>
      <w:tr>
        <w:trPr>
          <w:cantSplit/>
        </w:trPr>
        <w:tc>
          <w:tcPr>
            <w:tcW w:w="414" w:type="dxa"/>
            <w:shd w:val="clear" w:color="auto" w:fill="auto"/>
          </w:tcPr>
          <w:p>
            <w:pPr>
              <w:spacing w:after="0"/>
              <w:jc w:val="left"/>
              <w:rPr>
                <w:noProof/>
                <w:sz w:val="20"/>
              </w:rPr>
            </w:pPr>
            <w:r>
              <w:rPr>
                <w:noProof/>
                <w:sz w:val="20"/>
              </w:rPr>
              <w:t>19</w:t>
            </w:r>
          </w:p>
        </w:tc>
        <w:tc>
          <w:tcPr>
            <w:tcW w:w="1977" w:type="dxa"/>
            <w:shd w:val="clear" w:color="auto" w:fill="auto"/>
          </w:tcPr>
          <w:p>
            <w:pPr>
              <w:spacing w:after="0"/>
              <w:jc w:val="left"/>
              <w:rPr>
                <w:noProof/>
                <w:color w:val="000000"/>
                <w:sz w:val="20"/>
              </w:rPr>
            </w:pPr>
            <w:r>
              <w:rPr>
                <w:noProof/>
                <w:color w:val="000000"/>
                <w:sz w:val="20"/>
              </w:rPr>
              <w:t>COM(2016) 854</w:t>
            </w:r>
          </w:p>
        </w:tc>
        <w:tc>
          <w:tcPr>
            <w:tcW w:w="2811" w:type="dxa"/>
            <w:shd w:val="clear" w:color="auto" w:fill="auto"/>
          </w:tcPr>
          <w:p>
            <w:pPr>
              <w:spacing w:after="0"/>
              <w:jc w:val="left"/>
              <w:rPr>
                <w:noProof/>
                <w:color w:val="000000"/>
                <w:sz w:val="20"/>
              </w:rPr>
            </w:pPr>
            <w:r>
              <w:rPr>
                <w:noProof/>
                <w:color w:val="000000"/>
                <w:sz w:val="20"/>
              </w:rPr>
              <w:t xml:space="preserve">Proposition de directive du Parlement européen et du Conseil modifiant la directive 2013/36/UE en ce qui concerne les </w:t>
            </w:r>
            <w:r>
              <w:rPr>
                <w:b/>
                <w:noProof/>
                <w:color w:val="000000"/>
                <w:sz w:val="20"/>
              </w:rPr>
              <w:t>entités exemptées, les compagnies financières holding, les compagnies financières holding mixtes, la rémunération, les mesures et pouvoirs de surveillance et les mesures de conservation de fonds propres</w:t>
            </w:r>
          </w:p>
        </w:tc>
        <w:tc>
          <w:tcPr>
            <w:tcW w:w="1207" w:type="dxa"/>
            <w:shd w:val="clear" w:color="auto" w:fill="auto"/>
          </w:tcPr>
          <w:p>
            <w:pPr>
              <w:spacing w:after="0"/>
              <w:jc w:val="center"/>
              <w:rPr>
                <w:noProof/>
                <w:color w:val="000000"/>
                <w:sz w:val="20"/>
              </w:rPr>
            </w:pPr>
            <w:r>
              <w:rPr>
                <w:noProof/>
                <w:color w:val="000000"/>
                <w:sz w:val="20"/>
              </w:rPr>
              <w:t>1</w:t>
            </w:r>
          </w:p>
        </w:tc>
        <w:tc>
          <w:tcPr>
            <w:tcW w:w="1157" w:type="dxa"/>
            <w:shd w:val="clear" w:color="auto" w:fill="auto"/>
          </w:tcPr>
          <w:p>
            <w:pPr>
              <w:spacing w:after="0"/>
              <w:jc w:val="center"/>
              <w:rPr>
                <w:noProof/>
                <w:color w:val="000000"/>
                <w:sz w:val="20"/>
              </w:rPr>
            </w:pPr>
            <w:r>
              <w:rPr>
                <w:noProof/>
                <w:color w:val="000000"/>
                <w:sz w:val="20"/>
              </w:rPr>
              <w:t>2</w:t>
            </w:r>
          </w:p>
        </w:tc>
        <w:tc>
          <w:tcPr>
            <w:tcW w:w="3022" w:type="dxa"/>
            <w:shd w:val="clear" w:color="auto" w:fill="auto"/>
          </w:tcPr>
          <w:p>
            <w:pPr>
              <w:spacing w:after="0"/>
              <w:jc w:val="left"/>
              <w:rPr>
                <w:noProof/>
                <w:sz w:val="20"/>
              </w:rPr>
            </w:pPr>
            <w:r>
              <w:rPr>
                <w:i/>
                <w:noProof/>
                <w:color w:val="000000"/>
                <w:sz w:val="20"/>
              </w:rPr>
              <w:t>Riksdag</w:t>
            </w:r>
            <w:r>
              <w:rPr>
                <w:noProof/>
                <w:sz w:val="20"/>
              </w:rPr>
              <w:t xml:space="preserve"> suédois (2 voix) </w:t>
            </w:r>
          </w:p>
        </w:tc>
      </w:tr>
      <w:tr>
        <w:trPr>
          <w:cantSplit/>
        </w:trPr>
        <w:tc>
          <w:tcPr>
            <w:tcW w:w="414" w:type="dxa"/>
            <w:shd w:val="clear" w:color="auto" w:fill="auto"/>
          </w:tcPr>
          <w:p>
            <w:pPr>
              <w:spacing w:after="0"/>
              <w:jc w:val="left"/>
              <w:rPr>
                <w:noProof/>
                <w:sz w:val="20"/>
              </w:rPr>
            </w:pPr>
            <w:r>
              <w:rPr>
                <w:noProof/>
                <w:sz w:val="20"/>
              </w:rPr>
              <w:t>20</w:t>
            </w:r>
          </w:p>
        </w:tc>
        <w:tc>
          <w:tcPr>
            <w:tcW w:w="1977" w:type="dxa"/>
            <w:shd w:val="clear" w:color="auto" w:fill="auto"/>
          </w:tcPr>
          <w:p>
            <w:pPr>
              <w:spacing w:after="0"/>
              <w:jc w:val="left"/>
              <w:rPr>
                <w:noProof/>
                <w:color w:val="000000"/>
                <w:sz w:val="20"/>
              </w:rPr>
            </w:pPr>
            <w:r>
              <w:rPr>
                <w:noProof/>
                <w:color w:val="000000"/>
                <w:sz w:val="20"/>
              </w:rPr>
              <w:t>COM(2017) 331</w:t>
            </w:r>
          </w:p>
        </w:tc>
        <w:tc>
          <w:tcPr>
            <w:tcW w:w="2811" w:type="dxa"/>
            <w:shd w:val="clear" w:color="auto" w:fill="auto"/>
          </w:tcPr>
          <w:p>
            <w:pPr>
              <w:spacing w:after="0"/>
              <w:jc w:val="left"/>
              <w:rPr>
                <w:noProof/>
                <w:color w:val="000000"/>
                <w:sz w:val="20"/>
              </w:rPr>
            </w:pPr>
            <w:r>
              <w:rPr>
                <w:noProof/>
                <w:color w:val="000000"/>
                <w:sz w:val="20"/>
              </w:rPr>
              <w:t xml:space="preserve">Proposition de règlement du Parlement européen et du Conseil modifiant le règlement (UE) nº 1095/2010 instituant une Autorité européenne de surveillance (Autorité européenne des marchés financiers) et modifiant le règlement (UE) nº 648/2012 en ce qui concerne les </w:t>
            </w:r>
            <w:r>
              <w:rPr>
                <w:b/>
                <w:noProof/>
                <w:color w:val="000000"/>
                <w:sz w:val="20"/>
              </w:rPr>
              <w:t>procédures d’agrément des contreparties centrales et les autorités qui y participent, ainsi que les conditions de reconnaissance des contreparties centrales des pays tiers</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2</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Riksdag</w:t>
            </w:r>
            <w:r>
              <w:rPr>
                <w:noProof/>
                <w:sz w:val="20"/>
              </w:rPr>
              <w:t xml:space="preserve"> suédois (2 voix) </w:t>
            </w:r>
          </w:p>
        </w:tc>
      </w:tr>
      <w:tr>
        <w:trPr>
          <w:cantSplit/>
        </w:trPr>
        <w:tc>
          <w:tcPr>
            <w:tcW w:w="414" w:type="dxa"/>
            <w:shd w:val="clear" w:color="auto" w:fill="auto"/>
          </w:tcPr>
          <w:p>
            <w:pPr>
              <w:spacing w:after="0"/>
              <w:jc w:val="left"/>
              <w:rPr>
                <w:noProof/>
                <w:sz w:val="20"/>
              </w:rPr>
            </w:pPr>
            <w:r>
              <w:rPr>
                <w:noProof/>
                <w:sz w:val="20"/>
              </w:rPr>
              <w:t>21</w:t>
            </w:r>
          </w:p>
        </w:tc>
        <w:tc>
          <w:tcPr>
            <w:tcW w:w="1977" w:type="dxa"/>
            <w:shd w:val="clear" w:color="auto" w:fill="auto"/>
          </w:tcPr>
          <w:p>
            <w:pPr>
              <w:spacing w:after="0"/>
              <w:jc w:val="left"/>
              <w:rPr>
                <w:noProof/>
                <w:color w:val="000000"/>
                <w:sz w:val="20"/>
              </w:rPr>
            </w:pPr>
            <w:r>
              <w:rPr>
                <w:noProof/>
                <w:color w:val="000000"/>
                <w:sz w:val="20"/>
              </w:rPr>
              <w:t>COM(2017) 536</w:t>
            </w:r>
          </w:p>
        </w:tc>
        <w:tc>
          <w:tcPr>
            <w:tcW w:w="2811" w:type="dxa"/>
            <w:shd w:val="clear" w:color="auto" w:fill="auto"/>
          </w:tcPr>
          <w:p>
            <w:pPr>
              <w:spacing w:after="0"/>
              <w:jc w:val="left"/>
              <w:rPr>
                <w:b/>
                <w:bCs/>
                <w:noProof/>
                <w:color w:val="000000"/>
                <w:sz w:val="20"/>
              </w:rPr>
            </w:pPr>
            <w:r>
              <w:rPr>
                <w:noProof/>
                <w:color w:val="000000"/>
                <w:sz w:val="20"/>
              </w:rPr>
              <w:t>Proposition de règlement du Parlement européen et du Conseil modifiant le règlement (UE) nº 1093/2010 instituant une Autorité européenne de surveillance (Autorité bancaire européenne), le règlement (UE) nº 1094/2010 instituant une Autorité européenne de surveillance (Autorité européenne des assurances et des pensions professionnelles), le règlement (UE) nº 1095/2010 instituant une Autorité européenne de surveillance (Autorité européenne des marchés financiers), le règlement (UE) nº 345/2013 relatif aux fonds de capital-risque européens, le règlement (UE) nº 346/2013 relatif aux fonds d’entrepreneuriat social européens, le règlement (UE) nº 600/2014 concernant les marchés d’instruments financiers, le règlement (UE) 2015/760 relatif aux fonds européens d’investissement à long terme, le règlement (UE) 2016/1011 concernant les indices utilisés comme indices de référence dans le cadre d’instruments et de contrats financiers ou pour mesurer la performance de fonds d’investissement et le règlement (UE) 2017/1129 concernant le prospectus à publier en cas d’offre au public de valeurs mobilières ou en vue de l’admission de valeurs mobilières à la négociation sur un marché réglementé (</w:t>
            </w:r>
            <w:r>
              <w:rPr>
                <w:b/>
                <w:noProof/>
                <w:color w:val="000000"/>
                <w:sz w:val="20"/>
              </w:rPr>
              <w:t>propositions renforçant la réforme de</w:t>
            </w:r>
          </w:p>
          <w:p>
            <w:pPr>
              <w:spacing w:after="0"/>
              <w:jc w:val="left"/>
              <w:rPr>
                <w:noProof/>
                <w:color w:val="000000"/>
                <w:sz w:val="20"/>
              </w:rPr>
            </w:pPr>
            <w:r>
              <w:rPr>
                <w:b/>
                <w:noProof/>
                <w:color w:val="000000"/>
                <w:sz w:val="20"/>
              </w:rPr>
              <w:t>l’architecture de surveillance de l’Union européenne</w:t>
            </w:r>
            <w:r>
              <w:rPr>
                <w:noProof/>
                <w:color w:val="000000"/>
                <w:sz w:val="20"/>
              </w:rPr>
              <w:t>)</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2</w:t>
            </w:r>
          </w:p>
        </w:tc>
        <w:tc>
          <w:tcPr>
            <w:tcW w:w="3022" w:type="dxa"/>
            <w:tcBorders>
              <w:bottom w:val="single" w:sz="4" w:space="0" w:color="auto"/>
            </w:tcBorders>
            <w:shd w:val="clear" w:color="auto" w:fill="auto"/>
          </w:tcPr>
          <w:p>
            <w:pPr>
              <w:spacing w:after="0"/>
              <w:jc w:val="left"/>
              <w:rPr>
                <w:noProof/>
                <w:sz w:val="20"/>
              </w:rPr>
            </w:pPr>
            <w:r>
              <w:rPr>
                <w:i/>
                <w:noProof/>
                <w:color w:val="000000"/>
                <w:sz w:val="20"/>
              </w:rPr>
              <w:t>Riksdag</w:t>
            </w:r>
            <w:r>
              <w:rPr>
                <w:noProof/>
                <w:sz w:val="20"/>
              </w:rPr>
              <w:t xml:space="preserve"> suédois (2 voix) </w:t>
            </w:r>
          </w:p>
        </w:tc>
      </w:tr>
      <w:tr>
        <w:trPr>
          <w:cantSplit/>
        </w:trPr>
        <w:tc>
          <w:tcPr>
            <w:tcW w:w="414" w:type="dxa"/>
            <w:shd w:val="clear" w:color="auto" w:fill="auto"/>
          </w:tcPr>
          <w:p>
            <w:pPr>
              <w:spacing w:after="0"/>
              <w:jc w:val="left"/>
              <w:rPr>
                <w:noProof/>
                <w:sz w:val="20"/>
              </w:rPr>
            </w:pPr>
            <w:r>
              <w:rPr>
                <w:noProof/>
                <w:sz w:val="20"/>
              </w:rPr>
              <w:t>22</w:t>
            </w:r>
          </w:p>
        </w:tc>
        <w:tc>
          <w:tcPr>
            <w:tcW w:w="1977" w:type="dxa"/>
            <w:shd w:val="clear" w:color="auto" w:fill="auto"/>
          </w:tcPr>
          <w:p>
            <w:pPr>
              <w:spacing w:after="0"/>
              <w:jc w:val="left"/>
              <w:rPr>
                <w:noProof/>
                <w:color w:val="000000"/>
                <w:sz w:val="20"/>
              </w:rPr>
            </w:pPr>
            <w:r>
              <w:rPr>
                <w:noProof/>
                <w:color w:val="000000"/>
                <w:sz w:val="20"/>
              </w:rPr>
              <w:t>COM(2016) 683</w:t>
            </w:r>
          </w:p>
        </w:tc>
        <w:tc>
          <w:tcPr>
            <w:tcW w:w="2811" w:type="dxa"/>
            <w:shd w:val="clear" w:color="auto" w:fill="auto"/>
          </w:tcPr>
          <w:p>
            <w:pPr>
              <w:spacing w:after="0"/>
              <w:jc w:val="left"/>
              <w:rPr>
                <w:noProof/>
                <w:color w:val="000000"/>
                <w:sz w:val="20"/>
              </w:rPr>
            </w:pPr>
            <w:r>
              <w:rPr>
                <w:noProof/>
                <w:color w:val="000000"/>
                <w:sz w:val="20"/>
              </w:rPr>
              <w:t xml:space="preserve">Proposition de directive du Conseil concernant une </w:t>
            </w:r>
            <w:r>
              <w:rPr>
                <w:b/>
                <w:noProof/>
                <w:color w:val="000000"/>
                <w:sz w:val="20"/>
              </w:rPr>
              <w:t>assiette commune consolidée pour l’impôt sur les sociétés</w:t>
            </w:r>
            <w:r>
              <w:rPr>
                <w:noProof/>
                <w:color w:val="000000"/>
                <w:sz w:val="20"/>
              </w:rPr>
              <w:t xml:space="preserve"> </w:t>
            </w:r>
          </w:p>
        </w:tc>
        <w:tc>
          <w:tcPr>
            <w:tcW w:w="1207" w:type="dxa"/>
            <w:shd w:val="clear" w:color="auto" w:fill="auto"/>
          </w:tcPr>
          <w:p>
            <w:pPr>
              <w:spacing w:after="0"/>
              <w:jc w:val="center"/>
              <w:rPr>
                <w:noProof/>
                <w:sz w:val="20"/>
              </w:rPr>
            </w:pPr>
            <w:r>
              <w:rPr>
                <w:noProof/>
                <w:sz w:val="20"/>
              </w:rPr>
              <w:t>1</w:t>
            </w:r>
          </w:p>
        </w:tc>
        <w:tc>
          <w:tcPr>
            <w:tcW w:w="1157" w:type="dxa"/>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lang w:val="en-GB"/>
              </w:rPr>
            </w:pPr>
            <w:r>
              <w:rPr>
                <w:i/>
                <w:noProof/>
                <w:sz w:val="20"/>
                <w:lang w:val="en-GB"/>
              </w:rPr>
              <w:t>House of Commons</w:t>
            </w:r>
            <w:r>
              <w:rPr>
                <w:noProof/>
                <w:sz w:val="20"/>
                <w:lang w:val="en-GB"/>
              </w:rPr>
              <w:t xml:space="preserve"> britannique (1 voix) </w:t>
            </w:r>
          </w:p>
        </w:tc>
      </w:tr>
      <w:tr>
        <w:trPr>
          <w:cantSplit/>
        </w:trPr>
        <w:tc>
          <w:tcPr>
            <w:tcW w:w="414" w:type="dxa"/>
            <w:shd w:val="clear" w:color="auto" w:fill="auto"/>
          </w:tcPr>
          <w:p>
            <w:pPr>
              <w:spacing w:after="0"/>
              <w:jc w:val="left"/>
              <w:rPr>
                <w:noProof/>
                <w:sz w:val="20"/>
              </w:rPr>
            </w:pPr>
            <w:r>
              <w:rPr>
                <w:noProof/>
                <w:sz w:val="20"/>
              </w:rPr>
              <w:t>23</w:t>
            </w:r>
          </w:p>
        </w:tc>
        <w:tc>
          <w:tcPr>
            <w:tcW w:w="1977" w:type="dxa"/>
            <w:shd w:val="clear" w:color="auto" w:fill="auto"/>
          </w:tcPr>
          <w:p>
            <w:pPr>
              <w:spacing w:after="0"/>
              <w:jc w:val="left"/>
              <w:rPr>
                <w:noProof/>
                <w:color w:val="000000"/>
                <w:sz w:val="20"/>
              </w:rPr>
            </w:pPr>
            <w:r>
              <w:rPr>
                <w:noProof/>
                <w:color w:val="000000"/>
                <w:sz w:val="20"/>
              </w:rPr>
              <w:t>COM(2016) 685</w:t>
            </w:r>
          </w:p>
        </w:tc>
        <w:tc>
          <w:tcPr>
            <w:tcW w:w="2811" w:type="dxa"/>
            <w:shd w:val="clear" w:color="auto" w:fill="auto"/>
          </w:tcPr>
          <w:p>
            <w:pPr>
              <w:spacing w:after="0"/>
              <w:jc w:val="left"/>
              <w:rPr>
                <w:noProof/>
                <w:color w:val="000000"/>
                <w:sz w:val="20"/>
              </w:rPr>
            </w:pPr>
            <w:r>
              <w:rPr>
                <w:noProof/>
                <w:color w:val="000000"/>
                <w:sz w:val="20"/>
              </w:rPr>
              <w:t xml:space="preserve">Proposition de directive du Conseil concernant une </w:t>
            </w:r>
            <w:r>
              <w:rPr>
                <w:b/>
                <w:noProof/>
                <w:color w:val="000000"/>
                <w:sz w:val="20"/>
              </w:rPr>
              <w:t>assiette commune pour l’impôt sur les sociétés</w:t>
            </w:r>
          </w:p>
        </w:tc>
        <w:tc>
          <w:tcPr>
            <w:tcW w:w="1207" w:type="dxa"/>
            <w:tcBorders>
              <w:bottom w:val="single" w:sz="4" w:space="0" w:color="auto"/>
            </w:tcBorders>
            <w:shd w:val="clear" w:color="auto" w:fill="auto"/>
          </w:tcPr>
          <w:p>
            <w:pPr>
              <w:spacing w:after="0"/>
              <w:jc w:val="center"/>
              <w:rPr>
                <w:noProof/>
                <w:sz w:val="20"/>
              </w:rPr>
            </w:pPr>
            <w:r>
              <w:rPr>
                <w:noProof/>
                <w:sz w:val="20"/>
              </w:rPr>
              <w:t>1</w:t>
            </w:r>
          </w:p>
        </w:tc>
        <w:tc>
          <w:tcPr>
            <w:tcW w:w="1157" w:type="dxa"/>
            <w:tcBorders>
              <w:bottom w:val="single" w:sz="4" w:space="0" w:color="auto"/>
            </w:tcBorders>
            <w:shd w:val="clear" w:color="auto" w:fill="auto"/>
          </w:tcPr>
          <w:p>
            <w:pPr>
              <w:spacing w:after="0"/>
              <w:jc w:val="center"/>
              <w:rPr>
                <w:noProof/>
                <w:sz w:val="20"/>
              </w:rPr>
            </w:pPr>
            <w:r>
              <w:rPr>
                <w:noProof/>
                <w:sz w:val="20"/>
              </w:rPr>
              <w:t>1</w:t>
            </w:r>
          </w:p>
        </w:tc>
        <w:tc>
          <w:tcPr>
            <w:tcW w:w="3022" w:type="dxa"/>
            <w:tcBorders>
              <w:bottom w:val="single" w:sz="4" w:space="0" w:color="auto"/>
            </w:tcBorders>
            <w:shd w:val="clear" w:color="auto" w:fill="auto"/>
          </w:tcPr>
          <w:p>
            <w:pPr>
              <w:spacing w:after="0"/>
              <w:jc w:val="left"/>
              <w:rPr>
                <w:noProof/>
                <w:sz w:val="20"/>
                <w:lang w:val="en-GB"/>
              </w:rPr>
            </w:pPr>
            <w:r>
              <w:rPr>
                <w:i/>
                <w:noProof/>
                <w:sz w:val="20"/>
                <w:lang w:val="en-GB"/>
              </w:rPr>
              <w:t>House of Commons</w:t>
            </w:r>
            <w:r>
              <w:rPr>
                <w:noProof/>
                <w:sz w:val="20"/>
                <w:lang w:val="en-GB"/>
              </w:rPr>
              <w:t xml:space="preserve"> britannique (1 voix) </w:t>
            </w:r>
          </w:p>
        </w:tc>
      </w:tr>
      <w:tr>
        <w:trPr>
          <w:cantSplit/>
        </w:trPr>
        <w:tc>
          <w:tcPr>
            <w:tcW w:w="5202" w:type="dxa"/>
            <w:gridSpan w:val="3"/>
            <w:shd w:val="clear" w:color="auto" w:fill="auto"/>
          </w:tcPr>
          <w:p>
            <w:pPr>
              <w:spacing w:after="0"/>
              <w:jc w:val="left"/>
              <w:rPr>
                <w:noProof/>
                <w:color w:val="000000"/>
                <w:sz w:val="20"/>
              </w:rPr>
            </w:pPr>
            <w:r>
              <w:rPr>
                <w:b/>
                <w:noProof/>
                <w:sz w:val="20"/>
              </w:rPr>
              <w:t>Nombre TOTAL d’avis motivés reçus</w:t>
            </w:r>
          </w:p>
        </w:tc>
        <w:tc>
          <w:tcPr>
            <w:tcW w:w="1207" w:type="dxa"/>
            <w:tcBorders>
              <w:right w:val="nil"/>
            </w:tcBorders>
            <w:shd w:val="clear" w:color="auto" w:fill="auto"/>
          </w:tcPr>
          <w:p>
            <w:pPr>
              <w:spacing w:after="0"/>
              <w:jc w:val="center"/>
              <w:rPr>
                <w:b/>
                <w:noProof/>
                <w:sz w:val="20"/>
              </w:rPr>
            </w:pPr>
            <w:r>
              <w:rPr>
                <w:b/>
                <w:noProof/>
                <w:sz w:val="20"/>
              </w:rPr>
              <w:t>52</w:t>
            </w:r>
          </w:p>
        </w:tc>
        <w:tc>
          <w:tcPr>
            <w:tcW w:w="1157" w:type="dxa"/>
            <w:tcBorders>
              <w:left w:val="nil"/>
              <w:right w:val="nil"/>
            </w:tcBorders>
            <w:shd w:val="clear" w:color="auto" w:fill="auto"/>
          </w:tcPr>
          <w:p>
            <w:pPr>
              <w:spacing w:after="0"/>
              <w:jc w:val="center"/>
              <w:rPr>
                <w:noProof/>
                <w:sz w:val="20"/>
              </w:rPr>
            </w:pPr>
          </w:p>
        </w:tc>
        <w:tc>
          <w:tcPr>
            <w:tcW w:w="3022" w:type="dxa"/>
            <w:tcBorders>
              <w:left w:val="nil"/>
              <w:bottom w:val="single" w:sz="4" w:space="0" w:color="auto"/>
            </w:tcBorders>
            <w:shd w:val="clear" w:color="auto" w:fill="auto"/>
          </w:tcPr>
          <w:p>
            <w:pPr>
              <w:spacing w:after="0"/>
              <w:jc w:val="left"/>
              <w:rPr>
                <w:noProof/>
                <w:sz w:val="20"/>
              </w:rPr>
            </w:pPr>
          </w:p>
        </w:tc>
      </w:tr>
    </w:tbl>
    <w:p>
      <w:pPr>
        <w:spacing w:after="0"/>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code="9"/>
      <w:pgMar w:top="1021" w:right="1191" w:bottom="1021" w:left="1191" w:header="60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805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tabs>
          <w:tab w:val="left" w:pos="284"/>
        </w:tabs>
        <w:ind w:left="284" w:hanging="284"/>
        <w:rPr>
          <w:rFonts w:asciiTheme="majorBidi" w:hAnsiTheme="majorBidi" w:cstheme="majorBidi"/>
        </w:rPr>
      </w:pPr>
      <w:r>
        <w:rPr>
          <w:rStyle w:val="FootnoteReference"/>
        </w:rPr>
        <w:footnoteRef/>
      </w:r>
      <w:r>
        <w:rPr>
          <w:rFonts w:asciiTheme="majorBidi" w:hAnsiTheme="majorBidi" w:cstheme="majorBidi"/>
        </w:rPr>
        <w:t xml:space="preserve"> </w:t>
      </w:r>
      <w:r>
        <w:tab/>
      </w:r>
      <w:r>
        <w:rPr>
          <w:rFonts w:asciiTheme="majorBidi" w:hAnsiTheme="majorBidi" w:cstheme="majorBidi"/>
        </w:rPr>
        <w:t>Pour être considéré comme un avis motivé tel que défini dans le protocole nº 2, un avis doit exposer les raisons pour lesquelles le parlement national estime qu’une proposition législative n’est pas conforme au principe de subsidiarité et être adressé à la Commission dans un délai de huit semaines à compter de la transmission de la proposition législative aux parlements nationaux.</w:t>
      </w:r>
    </w:p>
  </w:footnote>
  <w:footnote w:id="2">
    <w:p>
      <w:pPr>
        <w:pStyle w:val="FootnoteText"/>
        <w:tabs>
          <w:tab w:val="left" w:pos="284"/>
        </w:tabs>
        <w:ind w:left="284" w:hanging="284"/>
        <w:rPr>
          <w:rFonts w:asciiTheme="majorBidi" w:hAnsiTheme="majorBidi" w:cstheme="majorBidi"/>
          <w:b/>
        </w:rPr>
      </w:pPr>
      <w:r>
        <w:rPr>
          <w:rStyle w:val="FootnoteReference"/>
        </w:rPr>
        <w:footnoteRef/>
      </w:r>
      <w:r>
        <w:rPr>
          <w:rFonts w:asciiTheme="majorBidi" w:hAnsiTheme="majorBidi" w:cstheme="majorBidi"/>
        </w:rPr>
        <w:t xml:space="preserve"> </w:t>
      </w:r>
      <w:r>
        <w:tab/>
      </w:r>
      <w:r>
        <w:rPr>
          <w:rFonts w:asciiTheme="majorBidi" w:hAnsiTheme="majorBidi" w:cstheme="majorBidi"/>
        </w:rPr>
        <w:t>En vertu du protocole nº 2, chaque parlement national dispose de deux voix; dans le cas d’un système bicaméral, chaque chambre dispose d’une voix. Dans le cas où les avis motivés représentent au moins un tiers (un quart pour les propositions en vertu de l’article 76 du traité sur le fonctionnement de l’Union européenne) de l’ensemble des voix attribuées aux parlements nationaux, le seuil du «carton jaune» est atteint, ce qui signifie que le projet d’acte législatif doit être réexaminé. 19 des 56 voix représentent un tiers de toutes les voix attribuées.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
    <w:docVar w:name="LW_ANNEX_NBR_FIRST" w:val="1"/>
    <w:docVar w:name="LW_ANNEX_NBR_LAST" w:val="1"/>
    <w:docVar w:name="LW_ANNEX_UNIQUE" w:val="1"/>
    <w:docVar w:name="LW_CORRIGENDUM" w:val="&lt;UNUSED&gt;"/>
    <w:docVar w:name="LW_COVERPAGE_EXISTS" w:val="True"/>
    <w:docVar w:name="LW_COVERPAGE_GUID" w:val="B6A7C900-38E0-463D-9DCC-F1DA3F09451A"/>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ANNUEL 2017_x000b_SUR L'APPLICATION DES PRINCIPES DE SUBSIDIARITÉ ET DE PROPORTIONNALITÉ"/>
    <w:docVar w:name="LW_PART_NBR" w:val="1"/>
    <w:docVar w:name="LW_PART_NBR_TOTAL" w:val="1"/>
    <w:docVar w:name="LW_REF.INST.NEW" w:val="COM"/>
    <w:docVar w:name="LW_REF.INST.NEW_ADOPTED" w:val="final"/>
    <w:docVar w:name="LW_REF.INST.NEW_TEXT" w:val="(2018) 4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FootnoteTextChar">
    <w:name w:val="Footnote Text Char"/>
    <w:basedOn w:val="DefaultParagraphFont"/>
    <w:link w:val="FootnoteText"/>
    <w:uiPriority w:val="99"/>
    <w:rPr>
      <w:lang w:eastAsia="fr-FR"/>
    </w:rPr>
  </w:style>
  <w:style w:type="character" w:styleId="FootnoteReference">
    <w:name w:val="footnote reference"/>
    <w:uiPriority w:val="99"/>
    <w:semiHidden/>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3.xml><?xml version="1.0" encoding="utf-8"?>
<EurolookProperties>
  <Created>
    <Version>4.6</Version>
    <Date>2018-08-29T14:15:07</Date>
    <Language>EN</Language>
  </Created>
  <Edited>
    <Version>10.0.37441.0</Version>
    <Date>2018-08-29T14:18:08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FD100039-0FCC-476C-9215-23B3C1092BF2}">
  <ds:schemaRefs/>
</ds:datastoreItem>
</file>

<file path=customXml/itemProps2.xml><?xml version="1.0" encoding="utf-8"?>
<ds:datastoreItem xmlns:ds="http://schemas.openxmlformats.org/officeDocument/2006/customXml" ds:itemID="{5B1E9563-3F6D-4E0D-B110-DBD1D793F22A}">
  <ds:schemaRefs/>
</ds:datastoreItem>
</file>

<file path=customXml/itemProps3.xml><?xml version="1.0" encoding="utf-8"?>
<ds:datastoreItem xmlns:ds="http://schemas.openxmlformats.org/officeDocument/2006/customXml" ds:itemID="{AC5F7B91-AF2B-4778-AC25-05BCD0DA553B}">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1344</Words>
  <Characters>7760</Characters>
  <Application>Microsoft Office Word</Application>
  <DocSecurity>0</DocSecurity>
  <PresentationFormat>Microsoft Word 14.0</PresentationFormat>
  <Lines>485</Lines>
  <Paragraphs>206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 Clarence (DGT)</dc:creator>
  <cp:keywords>EL4</cp:keywords>
  <cp:lastModifiedBy>WES PDFC Administrator</cp:lastModifiedBy>
  <cp:revision>14</cp:revision>
  <cp:lastPrinted>2018-09-18T08:26:00Z</cp:lastPrinted>
  <dcterms:created xsi:type="dcterms:W3CDTF">2018-09-18T09:05:00Z</dcterms:created>
  <dcterms:modified xsi:type="dcterms:W3CDTF">2018-10-23T07:02:00Z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1</vt:lpwstr>
  </property>
  <property fmtid="{D5CDD505-2E9C-101B-9397-08002B2CF9AE}" pid="16" name="Unique annex">
    <vt:lpwstr>1</vt:lpwstr>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ies>
</file>