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C1638DC-07CF-403D-9B01-501B8F8405D1"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rPr>
          <w:rFonts w:eastAsia="Calibri"/>
          <w:noProof/>
          <w:u w:val="single"/>
        </w:rPr>
      </w:pPr>
    </w:p>
    <w:p>
      <w:pPr>
        <w:rPr>
          <w:rFonts w:eastAsia="Calibri"/>
          <w:noProof/>
        </w:rPr>
      </w:pPr>
      <w:r>
        <w:rPr>
          <w:noProof/>
        </w:rPr>
        <w:t>Les tableaux de la présente annexe présentent les TAC et quotas en tonnes de poids vif, ainsi que, le cas échéant, les conditions qui leur sont liées sur le plan fonctionnel.</w:t>
      </w:r>
    </w:p>
    <w:p>
      <w:pPr>
        <w:jc w:val="center"/>
        <w:rPr>
          <w:rFonts w:eastAsia="Calibri"/>
          <w:b/>
          <w:noProof/>
          <w:u w:val="single"/>
        </w:rPr>
      </w:pP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rPr>
              <w:t>Espèce:</w:t>
            </w:r>
          </w:p>
        </w:tc>
        <w:tc>
          <w:tcPr>
            <w:tcW w:w="873" w:type="dxa"/>
            <w:gridSpan w:val="2"/>
            <w:tcBorders>
              <w:top w:val="single" w:sz="18" w:space="0" w:color="auto"/>
            </w:tcBorders>
          </w:tcPr>
          <w:p>
            <w:pPr>
              <w:spacing w:before="40" w:after="40"/>
              <w:rPr>
                <w:rFonts w:eastAsia="Calibri"/>
                <w:noProof/>
                <w:sz w:val="20"/>
                <w:szCs w:val="20"/>
              </w:rPr>
            </w:pPr>
            <w:r>
              <w:rPr>
                <w:noProof/>
                <w:sz w:val="20"/>
              </w:rPr>
              <w:t>Sprat</w:t>
            </w:r>
          </w:p>
        </w:tc>
        <w:tc>
          <w:tcPr>
            <w:tcW w:w="1183" w:type="dxa"/>
            <w:gridSpan w:val="2"/>
            <w:tcBorders>
              <w:top w:val="single" w:sz="18" w:space="0" w:color="auto"/>
              <w:right w:val="single" w:sz="6" w:space="0" w:color="auto"/>
            </w:tcBorders>
          </w:tcPr>
          <w:p>
            <w:pPr>
              <w:spacing w:before="40" w:after="40"/>
              <w:rPr>
                <w:rFonts w:eastAsia="Calibri"/>
                <w:noProof/>
                <w:sz w:val="20"/>
                <w:szCs w:val="20"/>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rPr>
              <w:t>Zone:</w:t>
            </w:r>
          </w:p>
        </w:tc>
        <w:tc>
          <w:tcPr>
            <w:tcW w:w="3408" w:type="dxa"/>
            <w:tcBorders>
              <w:top w:val="single" w:sz="18" w:space="0" w:color="auto"/>
            </w:tcBorders>
          </w:tcPr>
          <w:p>
            <w:pPr>
              <w:spacing w:before="40" w:after="40"/>
              <w:rPr>
                <w:rFonts w:eastAsia="Calibri"/>
                <w:i/>
                <w:noProof/>
                <w:sz w:val="20"/>
                <w:szCs w:val="20"/>
              </w:rPr>
            </w:pPr>
            <w:r>
              <w:rPr>
                <w:noProof/>
                <w:sz w:val="20"/>
              </w:rPr>
              <w:t>Eaux de l'Union dans la mer Noire</w:t>
            </w:r>
          </w:p>
        </w:tc>
        <w:tc>
          <w:tcPr>
            <w:tcW w:w="962" w:type="dxa"/>
            <w:tcBorders>
              <w:top w:val="single" w:sz="18" w:space="0" w:color="auto"/>
            </w:tcBorders>
          </w:tcPr>
          <w:p>
            <w:pPr>
              <w:spacing w:before="40" w:after="40"/>
              <w:rPr>
                <w:rFonts w:eastAsia="Calibri"/>
                <w:noProof/>
                <w:sz w:val="20"/>
                <w:szCs w:val="20"/>
              </w:rPr>
            </w:pPr>
          </w:p>
        </w:tc>
      </w:tr>
      <w:tr>
        <w:trPr>
          <w:cantSplit/>
          <w:trHeight w:val="233"/>
        </w:trPr>
        <w:tc>
          <w:tcPr>
            <w:tcW w:w="2157" w:type="dxa"/>
            <w:tcBorders>
              <w:bottom w:val="single" w:sz="6" w:space="0" w:color="auto"/>
            </w:tcBorders>
          </w:tcPr>
          <w:p>
            <w:pPr>
              <w:spacing w:before="40" w:after="40"/>
              <w:rPr>
                <w:rFonts w:eastAsia="Calibri"/>
                <w:noProof/>
                <w:sz w:val="20"/>
                <w:szCs w:val="20"/>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sz w:val="20"/>
              </w:rPr>
              <w:t>Sprattus sprattus</w:t>
            </w:r>
          </w:p>
        </w:tc>
        <w:tc>
          <w:tcPr>
            <w:tcW w:w="852" w:type="dxa"/>
            <w:tcBorders>
              <w:left w:val="single" w:sz="6" w:space="0" w:color="auto"/>
              <w:bottom w:val="single" w:sz="6" w:space="0" w:color="auto"/>
            </w:tcBorders>
          </w:tcPr>
          <w:p>
            <w:pPr>
              <w:spacing w:before="40" w:after="40"/>
              <w:rPr>
                <w:rFonts w:eastAsia="Calibri"/>
                <w:noProof/>
                <w:sz w:val="20"/>
                <w:szCs w:val="20"/>
              </w:rPr>
            </w:pPr>
          </w:p>
        </w:tc>
        <w:tc>
          <w:tcPr>
            <w:tcW w:w="4370" w:type="dxa"/>
            <w:gridSpan w:val="2"/>
            <w:tcBorders>
              <w:bottom w:val="single" w:sz="6" w:space="0" w:color="auto"/>
            </w:tcBorders>
          </w:tcPr>
          <w:p>
            <w:pPr>
              <w:spacing w:before="40" w:after="40"/>
              <w:jc w:val="left"/>
              <w:rPr>
                <w:rFonts w:eastAsia="Calibri"/>
                <w:noProof/>
                <w:sz w:val="20"/>
                <w:szCs w:val="20"/>
              </w:rPr>
            </w:pPr>
            <w:r>
              <w:rPr>
                <w:noProof/>
                <w:sz w:val="20"/>
              </w:rPr>
              <w:t>(SPR/F3742C)</w:t>
            </w: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rPr>
              <w:t>Bulgarie</w:t>
            </w:r>
          </w:p>
        </w:tc>
        <w:tc>
          <w:tcPr>
            <w:tcW w:w="425" w:type="dxa"/>
            <w:tcBorders>
              <w:top w:val="single" w:sz="6" w:space="0" w:color="auto"/>
            </w:tcBorders>
            <w:vAlign w:val="bottom"/>
          </w:tcPr>
          <w:p>
            <w:pPr>
              <w:spacing w:before="40" w:after="40"/>
              <w:jc w:val="center"/>
              <w:rPr>
                <w:rFonts w:eastAsia="Calibri"/>
                <w:noProof/>
                <w:snapToGrid w:val="0"/>
                <w:sz w:val="20"/>
                <w:szCs w:val="20"/>
              </w:rPr>
            </w:pPr>
          </w:p>
        </w:tc>
        <w:tc>
          <w:tcPr>
            <w:tcW w:w="1631" w:type="dxa"/>
            <w:gridSpan w:val="3"/>
            <w:tcBorders>
              <w:top w:val="single" w:sz="6" w:space="0" w:color="auto"/>
            </w:tcBorders>
          </w:tcPr>
          <w:p>
            <w:pPr>
              <w:spacing w:before="40" w:after="40"/>
              <w:rPr>
                <w:rFonts w:eastAsia="Calibri"/>
                <w:noProof/>
                <w:sz w:val="20"/>
                <w:szCs w:val="20"/>
              </w:rPr>
            </w:pPr>
            <w:r>
              <w:rPr>
                <w:noProof/>
                <w:sz w:val="20"/>
              </w:rPr>
              <w:t xml:space="preserve">8 032,50 </w:t>
            </w:r>
          </w:p>
        </w:tc>
        <w:tc>
          <w:tcPr>
            <w:tcW w:w="5222" w:type="dxa"/>
            <w:gridSpan w:val="3"/>
            <w:vMerge w:val="restart"/>
            <w:tcBorders>
              <w:top w:val="single" w:sz="6" w:space="0" w:color="auto"/>
            </w:tcBorders>
          </w:tcPr>
          <w:p>
            <w:pPr>
              <w:spacing w:before="40" w:after="40"/>
              <w:rPr>
                <w:rFonts w:eastAsia="Calibri"/>
                <w:noProof/>
                <w:sz w:val="20"/>
                <w:szCs w:val="20"/>
              </w:rPr>
            </w:pPr>
            <w:r>
              <w:rPr>
                <w:noProof/>
                <w:sz w:val="20"/>
              </w:rPr>
              <w:t>Quota analytique</w:t>
            </w:r>
          </w:p>
          <w:p>
            <w:pPr>
              <w:spacing w:before="40" w:after="40"/>
              <w:rPr>
                <w:rFonts w:eastAsia="Calibri"/>
                <w:noProof/>
                <w:sz w:val="20"/>
                <w:szCs w:val="20"/>
              </w:rPr>
            </w:pPr>
            <w:r>
              <w:rPr>
                <w:noProof/>
                <w:sz w:val="20"/>
              </w:rPr>
              <w:t>L'article 3 du règlement (CE) n° 847/96 ne s’applique pas.</w:t>
            </w:r>
          </w:p>
          <w:p>
            <w:pPr>
              <w:spacing w:before="40" w:after="40"/>
              <w:rPr>
                <w:rFonts w:eastAsia="Calibri"/>
                <w:noProof/>
                <w:sz w:val="20"/>
                <w:szCs w:val="20"/>
              </w:rPr>
            </w:pPr>
            <w:r>
              <w:rPr>
                <w:noProof/>
                <w:sz w:val="20"/>
              </w:rPr>
              <w:t>L'article 4 du règlement (CE) n° 847/96 ne s’applique pas.</w:t>
            </w:r>
          </w:p>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r>
              <w:rPr>
                <w:noProof/>
                <w:sz w:val="20"/>
              </w:rPr>
              <w:t>Roumanie</w:t>
            </w: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r>
              <w:rPr>
                <w:noProof/>
                <w:sz w:val="20"/>
              </w:rPr>
              <w:t>3 442,50</w:t>
            </w: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r>
              <w:rPr>
                <w:noProof/>
                <w:sz w:val="20"/>
              </w:rPr>
              <w:t>Union</w:t>
            </w: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r>
              <w:rPr>
                <w:noProof/>
                <w:sz w:val="20"/>
              </w:rPr>
              <w:t>11 475</w:t>
            </w: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r>
              <w:rPr>
                <w:noProof/>
                <w:sz w:val="20"/>
              </w:rPr>
              <w:t>TAC</w:t>
            </w:r>
          </w:p>
        </w:tc>
        <w:tc>
          <w:tcPr>
            <w:tcW w:w="1134" w:type="dxa"/>
            <w:gridSpan w:val="3"/>
            <w:vAlign w:val="bottom"/>
          </w:tcPr>
          <w:p>
            <w:pPr>
              <w:spacing w:before="40" w:after="40"/>
              <w:rPr>
                <w:rFonts w:eastAsia="Calibri"/>
                <w:noProof/>
                <w:sz w:val="20"/>
                <w:szCs w:val="20"/>
              </w:rPr>
            </w:pPr>
            <w:r>
              <w:rPr>
                <w:noProof/>
                <w:snapToGrid w:val="0"/>
                <w:sz w:val="20"/>
              </w:rPr>
              <w:t xml:space="preserve">Sans objet/Non approuvé  </w:t>
            </w:r>
          </w:p>
        </w:tc>
        <w:tc>
          <w:tcPr>
            <w:tcW w:w="922" w:type="dxa"/>
          </w:tcPr>
          <w:p>
            <w:pPr>
              <w:spacing w:before="40" w:after="40"/>
              <w:rPr>
                <w:rFonts w:eastAsia="Calibri"/>
                <w:noProof/>
                <w:sz w:val="20"/>
                <w:szCs w:val="20"/>
              </w:rPr>
            </w:pPr>
          </w:p>
        </w:tc>
        <w:tc>
          <w:tcPr>
            <w:tcW w:w="5222" w:type="dxa"/>
            <w:gridSpan w:val="3"/>
            <w:vMerge/>
          </w:tcPr>
          <w:p>
            <w:pPr>
              <w:spacing w:before="40" w:after="40"/>
              <w:rPr>
                <w:rFonts w:eastAsia="Calibri"/>
                <w:noProof/>
                <w:sz w:val="20"/>
                <w:szCs w:val="20"/>
              </w:rPr>
            </w:pPr>
          </w:p>
        </w:tc>
      </w:tr>
    </w:tbl>
    <w:p>
      <w:pPr>
        <w:spacing w:after="0"/>
        <w:rPr>
          <w:rFonts w:eastAsia="Calibri"/>
          <w:noProof/>
          <w:szCs w:val="20"/>
        </w:rPr>
      </w:pPr>
    </w:p>
    <w:p>
      <w:pPr>
        <w:spacing w:after="0"/>
        <w:rPr>
          <w:rFonts w:eastAsia="Calibri"/>
          <w:noProof/>
          <w:szCs w:val="20"/>
        </w:rPr>
      </w:pPr>
    </w:p>
    <w:tbl>
      <w:tblPr>
        <w:tblW w:w="9510" w:type="dxa"/>
        <w:tblLayout w:type="fixed"/>
        <w:tblCellMar>
          <w:left w:w="30" w:type="dxa"/>
          <w:right w:w="30" w:type="dxa"/>
        </w:tblCellMar>
        <w:tblLook w:val="0000" w:firstRow="0" w:lastRow="0" w:firstColumn="0" w:lastColumn="0" w:noHBand="0" w:noVBand="0"/>
      </w:tblPr>
      <w:tblGrid>
        <w:gridCol w:w="2081"/>
        <w:gridCol w:w="972"/>
        <w:gridCol w:w="1120"/>
        <w:gridCol w:w="931"/>
        <w:gridCol w:w="1718"/>
        <w:gridCol w:w="859"/>
        <w:gridCol w:w="859"/>
        <w:gridCol w:w="970"/>
      </w:tblGrid>
      <w:tr>
        <w:trPr>
          <w:trHeight w:val="233"/>
        </w:trPr>
        <w:tc>
          <w:tcPr>
            <w:tcW w:w="2066" w:type="dxa"/>
            <w:tcBorders>
              <w:top w:val="single" w:sz="18" w:space="0" w:color="auto"/>
            </w:tcBorders>
          </w:tcPr>
          <w:p>
            <w:pPr>
              <w:spacing w:before="40" w:after="40"/>
              <w:rPr>
                <w:rFonts w:eastAsia="Calibri"/>
                <w:noProof/>
                <w:sz w:val="20"/>
                <w:szCs w:val="20"/>
              </w:rPr>
            </w:pPr>
            <w:r>
              <w:rPr>
                <w:noProof/>
              </w:rPr>
              <w:br w:type="page"/>
            </w:r>
            <w:r>
              <w:rPr>
                <w:noProof/>
                <w:sz w:val="20"/>
              </w:rPr>
              <w:t>Espèce:</w:t>
            </w:r>
          </w:p>
        </w:tc>
        <w:tc>
          <w:tcPr>
            <w:tcW w:w="2075" w:type="dxa"/>
            <w:gridSpan w:val="2"/>
            <w:tcBorders>
              <w:top w:val="single" w:sz="18" w:space="0" w:color="auto"/>
              <w:right w:val="single" w:sz="6" w:space="0" w:color="auto"/>
            </w:tcBorders>
          </w:tcPr>
          <w:p>
            <w:pPr>
              <w:spacing w:before="40" w:after="40"/>
              <w:rPr>
                <w:rFonts w:eastAsia="Calibri"/>
                <w:noProof/>
                <w:sz w:val="20"/>
                <w:szCs w:val="20"/>
              </w:rPr>
            </w:pPr>
            <w:r>
              <w:rPr>
                <w:noProof/>
                <w:sz w:val="20"/>
              </w:rPr>
              <w:t>Turbot</w:t>
            </w:r>
          </w:p>
        </w:tc>
        <w:tc>
          <w:tcPr>
            <w:tcW w:w="924" w:type="dxa"/>
            <w:tcBorders>
              <w:top w:val="single" w:sz="18" w:space="0" w:color="auto"/>
              <w:left w:val="single" w:sz="6" w:space="0" w:color="auto"/>
            </w:tcBorders>
          </w:tcPr>
          <w:p>
            <w:pPr>
              <w:spacing w:before="40" w:after="40"/>
              <w:rPr>
                <w:rFonts w:eastAsia="Calibri"/>
                <w:noProof/>
                <w:sz w:val="20"/>
                <w:szCs w:val="20"/>
              </w:rPr>
            </w:pPr>
            <w:r>
              <w:rPr>
                <w:noProof/>
                <w:sz w:val="20"/>
              </w:rPr>
              <w:t>Zone:</w:t>
            </w:r>
          </w:p>
        </w:tc>
        <w:tc>
          <w:tcPr>
            <w:tcW w:w="4370" w:type="dxa"/>
            <w:gridSpan w:val="4"/>
            <w:tcBorders>
              <w:top w:val="single" w:sz="18" w:space="0" w:color="auto"/>
            </w:tcBorders>
          </w:tcPr>
          <w:p>
            <w:pPr>
              <w:spacing w:before="40" w:after="40"/>
              <w:rPr>
                <w:rFonts w:eastAsia="Calibri"/>
                <w:noProof/>
                <w:sz w:val="20"/>
                <w:szCs w:val="20"/>
              </w:rPr>
            </w:pPr>
            <w:r>
              <w:rPr>
                <w:noProof/>
                <w:sz w:val="20"/>
              </w:rPr>
              <w:t>Eaux de l'Union dans la mer Noire</w:t>
            </w:r>
          </w:p>
        </w:tc>
      </w:tr>
      <w:tr>
        <w:trPr>
          <w:cantSplit/>
          <w:trHeight w:val="233"/>
        </w:trPr>
        <w:tc>
          <w:tcPr>
            <w:tcW w:w="2066" w:type="dxa"/>
            <w:tcBorders>
              <w:bottom w:val="single" w:sz="6" w:space="0" w:color="auto"/>
            </w:tcBorders>
          </w:tcPr>
          <w:p>
            <w:pPr>
              <w:spacing w:before="40" w:after="40"/>
              <w:rPr>
                <w:rFonts w:eastAsia="Calibri"/>
                <w:noProof/>
                <w:sz w:val="20"/>
                <w:szCs w:val="20"/>
              </w:rPr>
            </w:pPr>
          </w:p>
        </w:tc>
        <w:tc>
          <w:tcPr>
            <w:tcW w:w="2075" w:type="dxa"/>
            <w:gridSpan w:val="2"/>
            <w:tcBorders>
              <w:bottom w:val="single" w:sz="6" w:space="0" w:color="auto"/>
            </w:tcBorders>
          </w:tcPr>
          <w:p>
            <w:pPr>
              <w:spacing w:before="40" w:after="40"/>
              <w:rPr>
                <w:rFonts w:eastAsia="Calibri"/>
                <w:i/>
                <w:noProof/>
                <w:sz w:val="20"/>
                <w:szCs w:val="20"/>
              </w:rPr>
            </w:pPr>
            <w:r>
              <w:rPr>
                <w:i/>
                <w:noProof/>
                <w:sz w:val="20"/>
              </w:rPr>
              <w:t>Psetta maxima</w:t>
            </w:r>
          </w:p>
        </w:tc>
        <w:tc>
          <w:tcPr>
            <w:tcW w:w="924" w:type="dxa"/>
            <w:tcBorders>
              <w:left w:val="single" w:sz="6" w:space="0" w:color="auto"/>
              <w:bottom w:val="single" w:sz="6" w:space="0" w:color="auto"/>
            </w:tcBorders>
          </w:tcPr>
          <w:p>
            <w:pPr>
              <w:spacing w:before="40" w:after="40"/>
              <w:rPr>
                <w:rFonts w:eastAsia="Calibri"/>
                <w:noProof/>
                <w:sz w:val="20"/>
                <w:szCs w:val="20"/>
              </w:rPr>
            </w:pPr>
          </w:p>
        </w:tc>
        <w:tc>
          <w:tcPr>
            <w:tcW w:w="1704" w:type="dxa"/>
            <w:tcBorders>
              <w:bottom w:val="single" w:sz="6" w:space="0" w:color="auto"/>
            </w:tcBorders>
          </w:tcPr>
          <w:p>
            <w:pPr>
              <w:spacing w:before="40" w:after="40"/>
              <w:rPr>
                <w:rFonts w:eastAsia="Calibri"/>
                <w:noProof/>
                <w:sz w:val="20"/>
                <w:szCs w:val="20"/>
              </w:rPr>
            </w:pPr>
            <w:r>
              <w:rPr>
                <w:noProof/>
                <w:sz w:val="20"/>
              </w:rPr>
              <w:t>(TUR/F3742C)</w:t>
            </w:r>
          </w:p>
        </w:tc>
        <w:tc>
          <w:tcPr>
            <w:tcW w:w="852" w:type="dxa"/>
            <w:tcBorders>
              <w:bottom w:val="single" w:sz="6" w:space="0" w:color="auto"/>
            </w:tcBorders>
          </w:tcPr>
          <w:p>
            <w:pPr>
              <w:spacing w:before="40" w:after="40"/>
              <w:rPr>
                <w:rFonts w:eastAsia="Calibri"/>
                <w:noProof/>
                <w:sz w:val="20"/>
                <w:szCs w:val="20"/>
              </w:rPr>
            </w:pPr>
          </w:p>
        </w:tc>
        <w:tc>
          <w:tcPr>
            <w:tcW w:w="852" w:type="dxa"/>
            <w:tcBorders>
              <w:bottom w:val="single" w:sz="6" w:space="0" w:color="auto"/>
            </w:tcBorders>
          </w:tcPr>
          <w:p>
            <w:pPr>
              <w:spacing w:before="40" w:after="40"/>
              <w:rPr>
                <w:rFonts w:eastAsia="Calibri"/>
                <w:noProof/>
                <w:sz w:val="20"/>
                <w:szCs w:val="20"/>
              </w:rPr>
            </w:pPr>
          </w:p>
        </w:tc>
        <w:tc>
          <w:tcPr>
            <w:tcW w:w="962" w:type="dxa"/>
            <w:tcBorders>
              <w:bottom w:val="single" w:sz="6" w:space="0" w:color="auto"/>
            </w:tcBorders>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rPr>
              <w:t>Bulgarie</w:t>
            </w:r>
          </w:p>
        </w:tc>
        <w:tc>
          <w:tcPr>
            <w:tcW w:w="964" w:type="dxa"/>
            <w:vAlign w:val="bottom"/>
          </w:tcPr>
          <w:p>
            <w:pPr>
              <w:spacing w:before="40" w:after="40"/>
              <w:jc w:val="right"/>
              <w:rPr>
                <w:rFonts w:eastAsia="Calibri"/>
                <w:noProof/>
                <w:sz w:val="20"/>
                <w:szCs w:val="20"/>
              </w:rPr>
            </w:pPr>
            <w:r>
              <w:rPr>
                <w:noProof/>
                <w:sz w:val="20"/>
              </w:rPr>
              <w:t>57</w:t>
            </w:r>
          </w:p>
        </w:tc>
        <w:tc>
          <w:tcPr>
            <w:tcW w:w="1111" w:type="dxa"/>
          </w:tcPr>
          <w:p>
            <w:pPr>
              <w:spacing w:before="40" w:after="40"/>
              <w:rPr>
                <w:rFonts w:eastAsia="Calibri"/>
                <w:noProof/>
                <w:sz w:val="20"/>
                <w:szCs w:val="20"/>
              </w:rPr>
            </w:pPr>
          </w:p>
        </w:tc>
        <w:tc>
          <w:tcPr>
            <w:tcW w:w="5294" w:type="dxa"/>
            <w:gridSpan w:val="5"/>
            <w:vMerge w:val="restart"/>
          </w:tcPr>
          <w:p>
            <w:pPr>
              <w:spacing w:before="40" w:after="40"/>
              <w:rPr>
                <w:rFonts w:eastAsia="Calibri"/>
                <w:noProof/>
                <w:sz w:val="20"/>
                <w:szCs w:val="20"/>
              </w:rPr>
            </w:pPr>
            <w:r>
              <w:rPr>
                <w:noProof/>
                <w:sz w:val="20"/>
              </w:rPr>
              <w:t xml:space="preserve">TAC analytique </w:t>
            </w:r>
          </w:p>
          <w:p>
            <w:pPr>
              <w:spacing w:before="40" w:after="40"/>
              <w:rPr>
                <w:rFonts w:eastAsia="Calibri"/>
                <w:noProof/>
                <w:sz w:val="20"/>
                <w:szCs w:val="20"/>
              </w:rPr>
            </w:pPr>
            <w:r>
              <w:rPr>
                <w:noProof/>
                <w:sz w:val="20"/>
              </w:rPr>
              <w:t>L'article 3 du règlement (CE) n° 847/96 ne s’applique pas.</w:t>
            </w:r>
          </w:p>
          <w:p>
            <w:pPr>
              <w:spacing w:before="40" w:after="40"/>
              <w:rPr>
                <w:rFonts w:eastAsia="Calibri"/>
                <w:noProof/>
                <w:sz w:val="20"/>
                <w:szCs w:val="20"/>
              </w:rPr>
            </w:pPr>
            <w:r>
              <w:rPr>
                <w:noProof/>
                <w:sz w:val="20"/>
              </w:rPr>
              <w:t>L'article 4 du règlement (CE) n° 847/96 ne s’applique pas.</w:t>
            </w:r>
          </w:p>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rPr>
              <w:t>Roumanie</w:t>
            </w:r>
          </w:p>
        </w:tc>
        <w:tc>
          <w:tcPr>
            <w:tcW w:w="964" w:type="dxa"/>
            <w:vAlign w:val="bottom"/>
          </w:tcPr>
          <w:p>
            <w:pPr>
              <w:spacing w:before="40" w:after="40"/>
              <w:jc w:val="right"/>
              <w:rPr>
                <w:rFonts w:eastAsia="Calibri"/>
                <w:noProof/>
                <w:sz w:val="20"/>
                <w:szCs w:val="20"/>
              </w:rPr>
            </w:pPr>
            <w:r>
              <w:rPr>
                <w:noProof/>
                <w:sz w:val="20"/>
              </w:rPr>
              <w:t xml:space="preserve">57 </w:t>
            </w: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p>
        </w:tc>
        <w:tc>
          <w:tcPr>
            <w:tcW w:w="964" w:type="dxa"/>
          </w:tcPr>
          <w:p>
            <w:pPr>
              <w:spacing w:before="40" w:after="40"/>
              <w:jc w:val="right"/>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rPr>
              <w:t>Union</w:t>
            </w:r>
          </w:p>
        </w:tc>
        <w:tc>
          <w:tcPr>
            <w:tcW w:w="964" w:type="dxa"/>
          </w:tcPr>
          <w:p>
            <w:pPr>
              <w:spacing w:before="40" w:after="40"/>
              <w:jc w:val="right"/>
              <w:rPr>
                <w:rFonts w:eastAsia="Calibri"/>
                <w:noProof/>
                <w:sz w:val="20"/>
                <w:szCs w:val="20"/>
              </w:rPr>
            </w:pPr>
            <w:r>
              <w:rPr>
                <w:noProof/>
                <w:sz w:val="20"/>
              </w:rPr>
              <w:t>114</w:t>
            </w:r>
          </w:p>
        </w:tc>
        <w:tc>
          <w:tcPr>
            <w:tcW w:w="1111" w:type="dxa"/>
          </w:tcPr>
          <w:p>
            <w:pPr>
              <w:spacing w:before="40" w:after="40"/>
              <w:rPr>
                <w:rFonts w:eastAsia="Calibri"/>
                <w:noProof/>
                <w:sz w:val="20"/>
                <w:szCs w:val="20"/>
              </w:rPr>
            </w:pPr>
            <w:r>
              <w:rPr>
                <w:noProof/>
                <w:sz w:val="20"/>
              </w:rPr>
              <w:t>(*)</w:t>
            </w: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p>
        </w:tc>
        <w:tc>
          <w:tcPr>
            <w:tcW w:w="964" w:type="dxa"/>
          </w:tcPr>
          <w:p>
            <w:pPr>
              <w:spacing w:before="40" w:after="40"/>
              <w:jc w:val="right"/>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cantSplit/>
          <w:trHeight w:val="233"/>
        </w:trPr>
        <w:tc>
          <w:tcPr>
            <w:tcW w:w="2066" w:type="dxa"/>
          </w:tcPr>
          <w:p>
            <w:pPr>
              <w:spacing w:before="40" w:after="40"/>
              <w:rPr>
                <w:rFonts w:eastAsia="Calibri"/>
                <w:noProof/>
                <w:sz w:val="20"/>
                <w:szCs w:val="20"/>
              </w:rPr>
            </w:pPr>
            <w:r>
              <w:rPr>
                <w:noProof/>
                <w:sz w:val="20"/>
              </w:rPr>
              <w:t>TAC</w:t>
            </w:r>
          </w:p>
        </w:tc>
        <w:tc>
          <w:tcPr>
            <w:tcW w:w="2075" w:type="dxa"/>
            <w:gridSpan w:val="2"/>
          </w:tcPr>
          <w:p>
            <w:pPr>
              <w:spacing w:before="40" w:after="40"/>
              <w:jc w:val="left"/>
              <w:rPr>
                <w:rFonts w:eastAsia="Calibri"/>
                <w:noProof/>
                <w:sz w:val="20"/>
                <w:szCs w:val="20"/>
              </w:rPr>
            </w:pPr>
            <w:r>
              <w:rPr>
                <w:noProof/>
                <w:sz w:val="20"/>
              </w:rPr>
              <w:t xml:space="preserve">             644 </w:t>
            </w: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rPr>
              <w:t>_________</w:t>
            </w:r>
          </w:p>
        </w:tc>
        <w:tc>
          <w:tcPr>
            <w:tcW w:w="964" w:type="dxa"/>
          </w:tcPr>
          <w:p>
            <w:pPr>
              <w:spacing w:before="40" w:after="40"/>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cantSplit/>
          <w:trHeight w:val="1533"/>
        </w:trPr>
        <w:tc>
          <w:tcPr>
            <w:tcW w:w="9435" w:type="dxa"/>
            <w:gridSpan w:val="8"/>
            <w:tcBorders>
              <w:bottom w:val="single" w:sz="18" w:space="0" w:color="auto"/>
            </w:tcBorders>
          </w:tcPr>
          <w:p>
            <w:pPr>
              <w:spacing w:before="40" w:after="40"/>
              <w:rPr>
                <w:rFonts w:eastAsia="Calibri"/>
                <w:noProof/>
                <w:sz w:val="20"/>
                <w:szCs w:val="20"/>
              </w:rPr>
            </w:pPr>
            <w:r>
              <w:rPr>
                <w:noProof/>
                <w:sz w:val="20"/>
              </w:rPr>
              <w:t xml:space="preserve"> (*)</w:t>
            </w:r>
            <w:r>
              <w:rPr>
                <w:noProof/>
              </w:rPr>
              <w:tab/>
            </w:r>
            <w:r>
              <w:rPr>
                <w:noProof/>
                <w:sz w:val="20"/>
              </w:rPr>
              <w:t>Aucune activité de pêche, y compris de transbordement, d'embarquement, de débarquement et de première vente, n'est autorisée du 15 avril au 15 juin 2019.</w:t>
            </w:r>
            <w:r>
              <w:rPr>
                <w:b/>
                <w:noProof/>
              </w:rPr>
              <w:t xml:space="preserve"> </w:t>
            </w:r>
          </w:p>
        </w:tc>
      </w:tr>
    </w:tbl>
    <w:p>
      <w:pPr>
        <w:rPr>
          <w:noProof/>
        </w:rPr>
      </w:pPr>
    </w:p>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AC61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908E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5CF3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CE50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B886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485A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501C70"/>
    <w:lvl w:ilvl="0">
      <w:start w:val="1"/>
      <w:numFmt w:val="decimal"/>
      <w:pStyle w:val="ListNumber"/>
      <w:lvlText w:val="%1."/>
      <w:lvlJc w:val="left"/>
      <w:pPr>
        <w:tabs>
          <w:tab w:val="num" w:pos="360"/>
        </w:tabs>
        <w:ind w:left="360" w:hanging="360"/>
      </w:pPr>
    </w:lvl>
  </w:abstractNum>
  <w:abstractNum w:abstractNumId="7">
    <w:nsid w:val="FFFFFF89"/>
    <w:multiLevelType w:val="singleLevel"/>
    <w:tmpl w:val="F49CBD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4 09:45: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C1638DC-07CF-403D-9B01-501B8F8405D1"/>
    <w:docVar w:name="LW_COVERPAGE_TYPE" w:val="1"/>
    <w:docVar w:name="LW_CROSSREFERENCE" w:val="&lt;UNUSED&gt;"/>
    <w:docVar w:name="LW_DocType" w:val="ANNEX"/>
    <w:docVar w:name="LW_EMISSION" w:val="24.10.2018"/>
    <w:docVar w:name="LW_EMISSION_ISODATE" w:val="2018-10-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 2019, les possibilités de pêche applicables en mer Noire pour certains stocks halieutiques et groupes de stocks halieutiques&lt;LWCR:NBS&gt;"/>
    <w:docVar w:name="LW_OBJETACTEPRINCIPAL.CP" w:val="établissant, pour 2019, les possibilités de pêche applicables en mer Noire pour certains stocks halieutiques et groupes de stocks halieutiques "/>
    <w:docVar w:name="LW_PART_NBR" w:val="1"/>
    <w:docVar w:name="LW_PART_NBR_TOTAL" w:val="1"/>
    <w:docVar w:name="LW_REF.INST.NEW" w:val="COM"/>
    <w:docVar w:name="LW_REF.INST.NEW_ADOPTED" w:val="final"/>
    <w:docVar w:name="LW_REF.INST.NEW_TEXT" w:val="(2018)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165</Words>
  <Characters>834</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CARDOSO PINTO Filipa (MARE)</dc:creator>
  <cp:lastModifiedBy>DIGIT/C6</cp:lastModifiedBy>
  <cp:revision>8</cp:revision>
  <cp:lastPrinted>2018-09-21T10:40:00Z</cp:lastPrinted>
  <dcterms:created xsi:type="dcterms:W3CDTF">2018-10-08T14:19:00Z</dcterms:created>
  <dcterms:modified xsi:type="dcterms:W3CDTF">2018-10-24T07:45:00Z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