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B0A64AF-D501-4ECF-8DC4-255FDE642F68" style="width:450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200" w:after="240"/>
        <w:jc w:val="both"/>
        <w:rPr>
          <w:rFonts w:ascii="Times New Roman" w:hAnsi="Times New Roman" w:cs="Times New Roman"/>
          <w:noProof/>
          <w:color w:val="auto"/>
        </w:rPr>
      </w:pPr>
      <w:bookmarkStart w:id="1" w:name="_GoBack"/>
      <w:bookmarkEnd w:id="1"/>
      <w:r>
        <w:rPr>
          <w:rFonts w:ascii="Times New Roman" w:hAnsi="Times New Roman"/>
          <w:noProof/>
          <w:color w:val="auto"/>
        </w:rPr>
        <w:lastRenderedPageBreak/>
        <w:t xml:space="preserve">1. Въведение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През февруари 2016 г. Европейската комисия прие съобщение, озаглавено „План за действие на ЕС срещу трафика на екземпляри от дивата флора и фауна“</w:t>
      </w:r>
      <w:r>
        <w:rPr>
          <w:rStyle w:val="FootnoteReference"/>
          <w:rFonts w:ascii="Times New Roman" w:hAnsi="Times New Roman"/>
          <w:noProof/>
          <w:color w:val="000000"/>
          <w:sz w:val="24"/>
        </w:rPr>
        <w:footnoteReference w:id="2"/>
      </w:r>
      <w:r>
        <w:rPr>
          <w:rFonts w:ascii="Times New Roman" w:hAnsi="Times New Roman"/>
          <w:noProof/>
          <w:color w:val="000000"/>
          <w:sz w:val="24"/>
        </w:rPr>
        <w:t xml:space="preserve">, което съдържа всеобхватна стратегия за борба с престъпленията срещу дивата флора и фауна в рамките на Европейския съюз (ЕС) и за засилване на ролята на ЕС в световната борба срещу тези незаконни дейности. Планът за действие включва 32 действия, които са структурирани около три приоритета: i) </w:t>
      </w:r>
      <w:r>
        <w:rPr>
          <w:rFonts w:ascii="Times New Roman" w:hAnsi="Times New Roman"/>
          <w:b/>
          <w:noProof/>
          <w:color w:val="000000"/>
          <w:sz w:val="24"/>
        </w:rPr>
        <w:t>предотвратяване</w:t>
      </w:r>
      <w:r>
        <w:rPr>
          <w:rFonts w:ascii="Times New Roman" w:hAnsi="Times New Roman"/>
          <w:noProof/>
          <w:color w:val="000000"/>
          <w:sz w:val="24"/>
        </w:rPr>
        <w:t xml:space="preserve"> на трафика на екземпляри от дивата флора и фауна и премахване на основните причини за него; ii) по-ефикасно прилагане и </w:t>
      </w:r>
      <w:r>
        <w:rPr>
          <w:rFonts w:ascii="Times New Roman" w:hAnsi="Times New Roman"/>
          <w:b/>
          <w:noProof/>
          <w:color w:val="000000"/>
          <w:sz w:val="24"/>
        </w:rPr>
        <w:t>принудително изпълнение</w:t>
      </w:r>
      <w:r>
        <w:rPr>
          <w:rFonts w:ascii="Times New Roman" w:hAnsi="Times New Roman"/>
          <w:noProof/>
          <w:color w:val="000000"/>
          <w:sz w:val="24"/>
        </w:rPr>
        <w:t xml:space="preserve"> на съществуващите правила и по-ефикасна борба с организираните престъпления срещу дивата флора и фауна; iii) засилване на </w:t>
      </w:r>
      <w:r>
        <w:rPr>
          <w:rFonts w:ascii="Times New Roman" w:hAnsi="Times New Roman"/>
          <w:b/>
          <w:noProof/>
          <w:color w:val="000000"/>
          <w:sz w:val="24"/>
        </w:rPr>
        <w:t>глобалното партньорство</w:t>
      </w:r>
      <w:r>
        <w:rPr>
          <w:rFonts w:ascii="Times New Roman" w:hAnsi="Times New Roman"/>
          <w:noProof/>
          <w:color w:val="000000"/>
          <w:sz w:val="24"/>
        </w:rPr>
        <w:t xml:space="preserve"> на държавите на произход, потребление и транзитно преминаване срещу трафика на екземпляри от дивата флора и фауна.</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На 20 юни 2016 г. Съветът на ЕС прие заключения</w:t>
      </w:r>
      <w:r>
        <w:rPr>
          <w:rStyle w:val="FootnoteReference"/>
          <w:rFonts w:ascii="Times New Roman" w:hAnsi="Times New Roman"/>
          <w:noProof/>
          <w:color w:val="000000"/>
          <w:sz w:val="24"/>
        </w:rPr>
        <w:footnoteReference w:id="3"/>
      </w:r>
      <w:r>
        <w:rPr>
          <w:rFonts w:ascii="Times New Roman" w:hAnsi="Times New Roman"/>
          <w:noProof/>
          <w:color w:val="000000"/>
          <w:sz w:val="24"/>
        </w:rPr>
        <w:t xml:space="preserve"> относно плана за действие, като одобри трите приоритета, заложени в него, и призова за навременното му изпълнение. Този план беше приветстван и от Европейския парламент в резолюция от ноември 2016 г.</w:t>
      </w:r>
      <w:r>
        <w:rPr>
          <w:rStyle w:val="FootnoteReference"/>
          <w:rFonts w:ascii="Times New Roman" w:hAnsi="Times New Roman"/>
          <w:noProof/>
          <w:color w:val="000000"/>
          <w:sz w:val="24"/>
        </w:rPr>
        <w:footnoteReference w:id="4"/>
      </w:r>
      <w:r>
        <w:rPr>
          <w:rFonts w:ascii="Times New Roman" w:hAnsi="Times New Roman"/>
          <w:noProof/>
          <w:color w:val="000000"/>
          <w:sz w:val="24"/>
        </w:rPr>
        <w:t>.</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Планът за действие обхваща петгодишния период от 2016 г. до 2020 г. Както в него, така и в заключенията на Съвета се посочва, че в срок до юли 2018 г. Комисията следва да докладва за напредъка при изпълнението на плана и дали заложените в него приоритети и цели продължават да бъдат целесъобразни и актуални.</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Настоящият доклад представлява общ преглед на напредъка, постигнат от всички заинтересовани страни при изпълнението на плана за действие, който се основава най-вече на информацията, предоставена от 25 държави — членки на ЕС, Европейската служба за външна дейност, Европол, Евроюст и европейските мрежи, специализирани в прилагането на законодателството на ЕС в областта на околната среда.</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Повече информация относно предприетите мерки за изпълнение на плана за действие се съдържа в работния документ, който придружава настоящия доклад. Данните, предоставени от държавите членки, са публикувани на уебсайта на Комисията</w:t>
      </w:r>
      <w:r>
        <w:rPr>
          <w:rStyle w:val="FootnoteReference"/>
          <w:rFonts w:ascii="Times New Roman" w:hAnsi="Times New Roman"/>
          <w:noProof/>
          <w:color w:val="000000"/>
          <w:sz w:val="24"/>
        </w:rPr>
        <w:footnoteReference w:id="5"/>
      </w:r>
      <w:r>
        <w:rPr>
          <w:rFonts w:ascii="Times New Roman" w:hAnsi="Times New Roman"/>
          <w:noProof/>
          <w:color w:val="000000"/>
          <w:sz w:val="24"/>
        </w:rPr>
        <w:t>.</w:t>
      </w:r>
    </w:p>
    <w:p>
      <w:pPr>
        <w:pStyle w:val="Heading1"/>
        <w:spacing w:before="200" w:after="240"/>
        <w:rPr>
          <w:rFonts w:ascii="Times New Roman" w:hAnsi="Times New Roman" w:cs="Times New Roman"/>
          <w:noProof/>
          <w:color w:val="auto"/>
        </w:rPr>
      </w:pPr>
      <w:r>
        <w:rPr>
          <w:rFonts w:ascii="Times New Roman" w:hAnsi="Times New Roman"/>
          <w:noProof/>
          <w:color w:val="auto"/>
        </w:rPr>
        <w:t>2. Ключови стъпки, предприети след приемането на плана за действие през 2016 г.</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В настоящия раздел са обобщени най-важните стъпки, предприети след 2016 г. за изпълнение на трите приоритета от плана за действие, както и — където е уместно — допълнителните мерки, планирани за постигане на неговите цели.</w:t>
      </w:r>
    </w:p>
    <w:p>
      <w:pPr>
        <w:rPr>
          <w:rFonts w:ascii="Times New Roman" w:hAnsi="Times New Roman" w:cs="Times New Roman"/>
          <w:noProof/>
          <w:color w:val="000000"/>
          <w:sz w:val="24"/>
          <w:szCs w:val="24"/>
        </w:rPr>
      </w:pPr>
      <w:r>
        <w:rPr>
          <w:noProof/>
        </w:rPr>
        <w:br w:type="page"/>
      </w:r>
    </w:p>
    <w:p>
      <w:pPr>
        <w:pStyle w:val="Heading2"/>
        <w:spacing w:after="240"/>
        <w:rPr>
          <w:rFonts w:ascii="Times New Roman" w:hAnsi="Times New Roman" w:cs="Times New Roman"/>
          <w:noProof/>
          <w:color w:val="auto"/>
        </w:rPr>
      </w:pPr>
      <w:r>
        <w:rPr>
          <w:rFonts w:ascii="Times New Roman" w:hAnsi="Times New Roman"/>
          <w:noProof/>
          <w:color w:val="auto"/>
        </w:rPr>
        <w:t xml:space="preserve">Приоритет 1 — Предотвратяване на трафика на екземпляри от дивата флора и фауна и премахване на основните причини за него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Първият приоритет от плана за действие е ЕС и неговите държави членки да се справят с многобройните първопричини за трафика на екземпляри от дивата флора и фауна. Борбата срещу този трафик може да бъде успешна само ако бъдат премахнати структурните причини за него.</w:t>
      </w:r>
    </w:p>
    <w:p>
      <w:pPr>
        <w:spacing w:after="240" w:line="240" w:lineRule="auto"/>
        <w:jc w:val="both"/>
        <w:rPr>
          <w:rFonts w:ascii="Times New Roman" w:hAnsi="Times New Roman" w:cs="Times New Roman"/>
          <w:noProof/>
          <w:color w:val="000000"/>
          <w:sz w:val="24"/>
          <w:szCs w:val="24"/>
        </w:rPr>
      </w:pPr>
      <w:r>
        <w:rPr>
          <w:rFonts w:ascii="Times New Roman" w:hAnsi="Times New Roman"/>
          <w:b/>
          <w:noProof/>
          <w:color w:val="000000"/>
          <w:sz w:val="24"/>
        </w:rPr>
        <w:t>Намаляването на търсенето</w:t>
      </w:r>
      <w:r>
        <w:rPr>
          <w:rFonts w:ascii="Times New Roman" w:hAnsi="Times New Roman"/>
          <w:noProof/>
          <w:color w:val="000000"/>
          <w:sz w:val="24"/>
        </w:rPr>
        <w:t xml:space="preserve"> на незаконни продукти от видове от дивата флора и фауна е основен елемент от стратегията на ЕС срещу трафика на екземпляри от дивата флора и фауна, като тази цел е в основата на редица предприети инициативи. ЕС и някои държави членки подпомагат съответните публични органи и организации на гражданското общество в Азия в усилията им да ограничат търсенето на незаконни продукти от видове от дивата флора и фауна — по-специално от носорози, слонове и люспеници. Като се отчита, че ЕС също е важен пазар за такива продукти, бяха положени безпрецедентни усилия за повишаване на осведомеността на предприятията, потребителите и широката общественост относно характеристиките и мащаба на трафика на екземпляри от дивата флора и фауна в ЕС. Редица държави членки проведоха информационни кампании, посветени на този трафик, като в някои случаи беше поставен специален акцент върху секторите от особено значение (например екзотични домашни любимци, музикални инструменти, въздушен транспорт или онлайн търговия). Подобни усилия бяха положени и на европейско равнище посредством работни семинари за ролята на стопанския сектор на ЕС в борбата срещу трафика на екземпляри от дивата флора и фауна и посредством пряк контакт с представители на бизнеса.</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Въпреки постигнатия значителен напредък в редица важни сектори остава необходимостта от допълнителни усилия от страна на Комисията и държавите членки. Предвид значителния обем на търговията с продукти от видове от дивата флора и фауна (законни и незаконни), която се осъществява онлайн и с помощта на дружества за куриерски или пощенски услуги, следва да се обърне специално внимание на онлайн търговията и на куриерските дружества. Комисията ще продължи да развива текущото сътрудничество с някои субекти, като например сдруженията за търговия с декоративни риби и екзотични домашни любимци, с оглед да потвърди ангажиментите си, да постигне конкретни резултати в борбата срещу незаконната търговия с екземпляри от дивата флора и фауна и да насърчи устойчивото снабдяване с продукти от тях.</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ЕС и неговите държави членки полагат много активни усилия, за да гарантират, че </w:t>
      </w:r>
      <w:r>
        <w:rPr>
          <w:rFonts w:ascii="Times New Roman" w:hAnsi="Times New Roman"/>
          <w:b/>
          <w:noProof/>
          <w:color w:val="000000"/>
          <w:sz w:val="24"/>
        </w:rPr>
        <w:t>търговията със слонова кост в рамките на ЕС и износът на изделия от този материал</w:t>
      </w:r>
      <w:r>
        <w:rPr>
          <w:rFonts w:ascii="Times New Roman" w:hAnsi="Times New Roman"/>
          <w:noProof/>
          <w:color w:val="000000"/>
          <w:sz w:val="24"/>
        </w:rPr>
        <w:t xml:space="preserve"> не са фактор за бракониерството на слонове и незаконната търговия със слонова кост. В съответствие с действие 2 от плана за действие през май 2017 г. Комисията прие документ с насоки</w:t>
      </w:r>
      <w:r>
        <w:rPr>
          <w:rFonts w:ascii="Times New Roman" w:hAnsi="Times New Roman"/>
          <w:noProof/>
          <w:color w:val="000000"/>
          <w:sz w:val="24"/>
          <w:vertAlign w:val="superscript"/>
        </w:rPr>
        <w:footnoteReference w:id="6"/>
      </w:r>
      <w:r>
        <w:rPr>
          <w:rFonts w:ascii="Times New Roman" w:hAnsi="Times New Roman"/>
          <w:noProof/>
          <w:color w:val="000000"/>
          <w:sz w:val="24"/>
        </w:rPr>
        <w:t>, в който се препоръчва от 1 юли 2017 г. държавите — членки на ЕС, да прекратят издаването на документи за износ на необработена слонова кост. На практика това означава, че посочените държави са преустановили износа на слонова кост, с изключение на някои много специфични ситуации —например във връзка с принудително изпълнение, както и с научна или образователна цел.</w:t>
      </w:r>
    </w:p>
    <w:p>
      <w:pPr>
        <w:spacing w:line="240" w:lineRule="auto"/>
        <w:jc w:val="both"/>
        <w:rPr>
          <w:noProof/>
          <w:sz w:val="24"/>
          <w:szCs w:val="24"/>
        </w:rPr>
      </w:pPr>
      <w:r>
        <w:rPr>
          <w:rFonts w:ascii="Times New Roman" w:hAnsi="Times New Roman"/>
          <w:noProof/>
          <w:sz w:val="24"/>
        </w:rPr>
        <w:t>Наред с посочените действия, от 15 септември до 8 декември 2017 г. Комисията организира обществена консултация, за да събере информация и мнения относно степента, структурата и основните характеристики на законната и незаконната търговия със слонова кост в ЕС и на нейния износ от Съюза, както и относно приоритетите на ЕС в действията му срещу трафика с този материал</w:t>
      </w:r>
      <w:r>
        <w:rPr>
          <w:rFonts w:ascii="Times New Roman" w:hAnsi="Times New Roman"/>
          <w:noProof/>
          <w:sz w:val="24"/>
          <w:vertAlign w:val="superscript"/>
        </w:rPr>
        <w:footnoteReference w:id="7"/>
      </w:r>
      <w:r>
        <w:rPr>
          <w:rFonts w:ascii="Times New Roman" w:hAnsi="Times New Roman"/>
          <w:noProof/>
          <w:sz w:val="24"/>
        </w:rPr>
        <w:t>. Резултатите от консултацията показват, че почти 90 000 респонденти подкрепят по-стриктното прилагане на действащите правила на ЕС относно търговията със слонова кост. Много голяма част от анкетираните са на мнение, че това е необходима стъпка, за да се избегне смесването на изделия от слонова кост със законен и с незаконен произход, да се предотврати купуването на такива изделия в ЕС и последващото им транспортиране към трети държави, където те биха увеличили търсенето на незаконни изделия от слонова кост, както и да се подпомогне работата на правоприлагащите органи срещу трафика на този материал. Част от респондентите обаче се обявяват против въвеждането на допълнителни ограничения върху търговията със слонова кост към и от ЕС, по-специално по отношение на антикварните предмети.</w:t>
      </w:r>
    </w:p>
    <w:p>
      <w:pPr>
        <w:spacing w:after="240" w:line="240" w:lineRule="auto"/>
        <w:jc w:val="both"/>
        <w:rPr>
          <w:rFonts w:ascii="Times New Roman" w:hAnsi="Times New Roman" w:cs="Times New Roman"/>
          <w:noProof/>
          <w:color w:val="000000"/>
          <w:sz w:val="24"/>
          <w:szCs w:val="24"/>
        </w:rPr>
      </w:pPr>
      <w:r>
        <w:rPr>
          <w:rFonts w:ascii="Times New Roman" w:hAnsi="Times New Roman"/>
          <w:b/>
          <w:noProof/>
          <w:color w:val="000000"/>
          <w:sz w:val="24"/>
        </w:rPr>
        <w:t>Пазарът на ЕС не следва да увеличава търсенето на видове, които са били придобити по незаконен или неустойчив начин.</w:t>
      </w:r>
      <w:r>
        <w:rPr>
          <w:rFonts w:ascii="Times New Roman" w:hAnsi="Times New Roman"/>
          <w:noProof/>
          <w:color w:val="000000"/>
          <w:sz w:val="24"/>
        </w:rPr>
        <w:t xml:space="preserve"> Ето защо ЕС, в тясно сътрудничество с държавите на разпространение на съответните видове, полага активни усилия за разширяване на обхвата на Конвенцията по международната търговия със застрашени видове от дивата фауна и флора (CITES) към нови видове, застрашени от международна търговия, като по този начин им се предоставя международна закрила. Това важи особено за екзотичните домашни любимци, които са важен обект на търговия в ЕС, както и за тропическия дървен материал и за застрашените морски видове. ЕС постави този въпрос за обсъждане на 17-ата Конференция на страните (CoP17) по CITES през 2016 г. и активно работи по подготовката на CoP18, насрочена за 2019 г.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Насърчаването на ролята на </w:t>
      </w:r>
      <w:r>
        <w:rPr>
          <w:rFonts w:ascii="Times New Roman" w:hAnsi="Times New Roman"/>
          <w:b/>
          <w:noProof/>
          <w:color w:val="000000"/>
          <w:sz w:val="24"/>
        </w:rPr>
        <w:t>местните общности</w:t>
      </w:r>
      <w:r>
        <w:rPr>
          <w:rFonts w:ascii="Times New Roman" w:hAnsi="Times New Roman"/>
          <w:noProof/>
          <w:color w:val="000000"/>
          <w:sz w:val="24"/>
        </w:rPr>
        <w:t xml:space="preserve"> в защитата на дивата флора и фауна също e приоритет за ЕС и неговите държави членки. То е основен компонент на финансираните от ЕС програми за опазване на биологичното разнообразие и за борба с трафика на екземпляри от дивата флора и фауна (вж. приоритет 3).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Благодарение на ЕС и неговите държави членки </w:t>
      </w:r>
      <w:r>
        <w:rPr>
          <w:rFonts w:ascii="Times New Roman" w:hAnsi="Times New Roman"/>
          <w:b/>
          <w:noProof/>
          <w:color w:val="000000"/>
          <w:sz w:val="24"/>
        </w:rPr>
        <w:t>корупцията</w:t>
      </w:r>
      <w:r>
        <w:rPr>
          <w:rFonts w:ascii="Times New Roman" w:hAnsi="Times New Roman"/>
          <w:noProof/>
          <w:color w:val="000000"/>
          <w:sz w:val="24"/>
        </w:rPr>
        <w:t xml:space="preserve"> беше призната на международно равнище като основен фактор за трафика на екземпляри от дивата флора и фауна. Във връзка с това в рамките на CoP17 беше приета резолюция на CITES, основана на предложение от страна на ЕС. През юли 2017 г., по инициатива на Германия, принципите на високо равнище за борба с корупцията, свързана с трафика на екземпляри от дивата флора и фауна, бяха одобрени и от Г-20. Оттогава насам ЕС настоява — по-специално посредством своите делегации в трети държави — за по-целенасочени действия срещу този вид корупция. </w:t>
      </w:r>
    </w:p>
    <w:p>
      <w:pPr>
        <w:pStyle w:val="Heading2"/>
        <w:spacing w:after="240"/>
        <w:rPr>
          <w:rFonts w:ascii="Times New Roman" w:hAnsi="Times New Roman" w:cs="Times New Roman"/>
          <w:noProof/>
          <w:color w:val="auto"/>
        </w:rPr>
      </w:pPr>
      <w:r>
        <w:rPr>
          <w:rFonts w:ascii="Times New Roman" w:hAnsi="Times New Roman"/>
          <w:noProof/>
          <w:color w:val="auto"/>
        </w:rPr>
        <w:t xml:space="preserve">Приоритет 2 — По-ефикасно прилагане и принудително изпълнение на съществуващите правила и по-ефикасна борба с организираните престъпления срещу дивата флора и фауна </w:t>
      </w:r>
    </w:p>
    <w:p>
      <w:pPr>
        <w:spacing w:after="240" w:line="240" w:lineRule="auto"/>
        <w:jc w:val="both"/>
        <w:rPr>
          <w:rFonts w:ascii="Times New Roman" w:hAnsi="Times New Roman"/>
          <w:noProof/>
          <w:sz w:val="24"/>
          <w:szCs w:val="24"/>
        </w:rPr>
      </w:pPr>
      <w:r>
        <w:rPr>
          <w:rFonts w:ascii="Times New Roman" w:hAnsi="Times New Roman"/>
          <w:noProof/>
          <w:sz w:val="24"/>
        </w:rPr>
        <w:t xml:space="preserve">Вторият приоритет от плана за действие е насочен към повишаване на ефикасността на принудителното изпълнение на правилата на ЕС срещу търговията с екземпляри от дивата флора и фауна на равнището на ЕС и на държавите членки. </w:t>
      </w:r>
    </w:p>
    <w:p>
      <w:pPr>
        <w:spacing w:after="240" w:line="240" w:lineRule="auto"/>
        <w:jc w:val="both"/>
        <w:rPr>
          <w:rFonts w:ascii="Times New Roman" w:hAnsi="Times New Roman"/>
          <w:noProof/>
          <w:sz w:val="24"/>
          <w:szCs w:val="24"/>
        </w:rPr>
      </w:pPr>
      <w:r>
        <w:rPr>
          <w:rFonts w:ascii="Times New Roman" w:hAnsi="Times New Roman"/>
          <w:noProof/>
          <w:sz w:val="24"/>
        </w:rPr>
        <w:t xml:space="preserve">От важно значение е, че през май 2017 г. Съветът включи </w:t>
      </w:r>
      <w:r>
        <w:rPr>
          <w:rFonts w:ascii="Times New Roman" w:hAnsi="Times New Roman"/>
          <w:b/>
          <w:noProof/>
          <w:sz w:val="24"/>
        </w:rPr>
        <w:t>престъпленията срещу околната среда като приоритет в цикъла на политиката на ЕС за борба с организираната престъпност</w:t>
      </w:r>
      <w:r>
        <w:rPr>
          <w:rFonts w:ascii="Times New Roman" w:hAnsi="Times New Roman"/>
          <w:noProof/>
          <w:sz w:val="24"/>
        </w:rPr>
        <w:t xml:space="preserve"> за периода 2018—2021 г. Съветът определи като приоритет разбиването на организираните престъпни групи, които извършват престъпления срещу околната среда — по-специално трафик на екземпляри от дивата флора и фауна и незаконен трафик на отпадъци. В контекста на цикъла на политиката на ЕС за периода 2018—2021 г., през септември 2017 г. беше приет Многогодишният стратегически план относно престъпленията срещу околната среда, който беше договорен между Комисията и държавите членки. В него се описва обхватът на проблема, изброяват се съществуващите дейности и политики в областта на престъпленията срещу околната среда и се набелязват установените и потенциалните уязвимости. В плана също така се определят седем стратегически цели, в рамките на които се посочват участниците, видовете мерки и ползите от тези мерки. Целите са свързани със следното:</w:t>
      </w:r>
    </w:p>
    <w:p>
      <w:pPr>
        <w:pStyle w:val="ListParagraph"/>
        <w:numPr>
          <w:ilvl w:val="0"/>
          <w:numId w:val="11"/>
        </w:numPr>
        <w:spacing w:after="240" w:line="240" w:lineRule="auto"/>
        <w:jc w:val="both"/>
        <w:rPr>
          <w:rFonts w:ascii="Times New Roman" w:hAnsi="Times New Roman"/>
          <w:noProof/>
          <w:sz w:val="24"/>
          <w:szCs w:val="24"/>
        </w:rPr>
      </w:pPr>
      <w:r>
        <w:rPr>
          <w:rFonts w:ascii="Times New Roman" w:hAnsi="Times New Roman"/>
          <w:noProof/>
          <w:sz w:val="24"/>
        </w:rPr>
        <w:t>осигуряване на разузнавателна информация,</w:t>
      </w:r>
    </w:p>
    <w:p>
      <w:pPr>
        <w:pStyle w:val="ListParagraph"/>
        <w:numPr>
          <w:ilvl w:val="0"/>
          <w:numId w:val="11"/>
        </w:numPr>
        <w:spacing w:after="240" w:line="240" w:lineRule="auto"/>
        <w:jc w:val="both"/>
        <w:rPr>
          <w:rFonts w:ascii="Times New Roman" w:hAnsi="Times New Roman"/>
          <w:noProof/>
          <w:sz w:val="24"/>
          <w:szCs w:val="24"/>
        </w:rPr>
      </w:pPr>
      <w:r>
        <w:rPr>
          <w:rFonts w:ascii="Times New Roman" w:hAnsi="Times New Roman"/>
          <w:noProof/>
          <w:sz w:val="24"/>
        </w:rPr>
        <w:t>оперативни дейности,</w:t>
      </w:r>
    </w:p>
    <w:p>
      <w:pPr>
        <w:pStyle w:val="ListParagraph"/>
        <w:numPr>
          <w:ilvl w:val="0"/>
          <w:numId w:val="11"/>
        </w:numPr>
        <w:spacing w:after="240" w:line="240" w:lineRule="auto"/>
        <w:jc w:val="both"/>
        <w:rPr>
          <w:rFonts w:ascii="Times New Roman" w:hAnsi="Times New Roman"/>
          <w:noProof/>
          <w:sz w:val="24"/>
          <w:szCs w:val="24"/>
        </w:rPr>
      </w:pPr>
      <w:r>
        <w:rPr>
          <w:rFonts w:ascii="Times New Roman" w:hAnsi="Times New Roman"/>
          <w:noProof/>
          <w:sz w:val="24"/>
        </w:rPr>
        <w:t>превенция и изграждане на капацитет,</w:t>
      </w:r>
    </w:p>
    <w:p>
      <w:pPr>
        <w:pStyle w:val="ListParagraph"/>
        <w:numPr>
          <w:ilvl w:val="0"/>
          <w:numId w:val="11"/>
        </w:numPr>
        <w:spacing w:after="240" w:line="240" w:lineRule="auto"/>
        <w:jc w:val="both"/>
        <w:rPr>
          <w:rFonts w:ascii="Times New Roman" w:hAnsi="Times New Roman"/>
          <w:noProof/>
          <w:sz w:val="24"/>
          <w:szCs w:val="24"/>
        </w:rPr>
      </w:pPr>
      <w:r>
        <w:rPr>
          <w:rFonts w:ascii="Times New Roman" w:hAnsi="Times New Roman"/>
          <w:noProof/>
          <w:sz w:val="24"/>
        </w:rPr>
        <w:t>сътрудничество с партньори извън ЕС,</w:t>
      </w:r>
    </w:p>
    <w:p>
      <w:pPr>
        <w:pStyle w:val="ListParagraph"/>
        <w:numPr>
          <w:ilvl w:val="0"/>
          <w:numId w:val="11"/>
        </w:numPr>
        <w:spacing w:after="240" w:line="240" w:lineRule="auto"/>
        <w:jc w:val="both"/>
        <w:rPr>
          <w:rFonts w:ascii="Times New Roman" w:hAnsi="Times New Roman"/>
          <w:noProof/>
          <w:sz w:val="24"/>
          <w:szCs w:val="24"/>
        </w:rPr>
      </w:pPr>
      <w:r>
        <w:rPr>
          <w:rFonts w:ascii="Times New Roman" w:hAnsi="Times New Roman"/>
          <w:noProof/>
          <w:sz w:val="24"/>
        </w:rPr>
        <w:t>борба с документните измами,</w:t>
      </w:r>
    </w:p>
    <w:p>
      <w:pPr>
        <w:pStyle w:val="ListParagraph"/>
        <w:numPr>
          <w:ilvl w:val="0"/>
          <w:numId w:val="11"/>
        </w:numPr>
        <w:spacing w:after="240" w:line="240" w:lineRule="auto"/>
        <w:jc w:val="both"/>
        <w:rPr>
          <w:rFonts w:ascii="Times New Roman" w:hAnsi="Times New Roman"/>
          <w:noProof/>
          <w:sz w:val="24"/>
          <w:szCs w:val="24"/>
        </w:rPr>
      </w:pPr>
      <w:r>
        <w:rPr>
          <w:rFonts w:ascii="Times New Roman" w:hAnsi="Times New Roman"/>
          <w:noProof/>
          <w:sz w:val="24"/>
        </w:rPr>
        <w:t>финансови разследвания,</w:t>
      </w:r>
    </w:p>
    <w:p>
      <w:pPr>
        <w:pStyle w:val="ListParagraph"/>
        <w:numPr>
          <w:ilvl w:val="0"/>
          <w:numId w:val="11"/>
        </w:numPr>
        <w:spacing w:after="240" w:line="240" w:lineRule="auto"/>
        <w:jc w:val="both"/>
        <w:rPr>
          <w:rFonts w:ascii="Times New Roman" w:hAnsi="Times New Roman"/>
          <w:noProof/>
          <w:sz w:val="24"/>
          <w:szCs w:val="24"/>
        </w:rPr>
      </w:pPr>
      <w:r>
        <w:rPr>
          <w:rFonts w:ascii="Times New Roman" w:hAnsi="Times New Roman"/>
          <w:noProof/>
          <w:sz w:val="24"/>
        </w:rPr>
        <w:t>онлайн търговия със законни и незаконни стоки и услуги.</w:t>
      </w:r>
    </w:p>
    <w:p>
      <w:pPr>
        <w:spacing w:after="240" w:line="240" w:lineRule="auto"/>
        <w:jc w:val="both"/>
        <w:rPr>
          <w:rFonts w:ascii="Times New Roman" w:hAnsi="Times New Roman"/>
          <w:noProof/>
          <w:sz w:val="24"/>
          <w:szCs w:val="24"/>
        </w:rPr>
      </w:pPr>
      <w:r>
        <w:rPr>
          <w:rFonts w:ascii="Times New Roman" w:hAnsi="Times New Roman"/>
          <w:noProof/>
          <w:sz w:val="24"/>
        </w:rPr>
        <w:t>Многогодишният стратегически план се изпълнява посредством годишни оперативни планове за действие. Това признаване следва да увеличи мобилизацията и оперативния капацитет на Европол и на правоприлагащите органи на държавите — членки на ЕС, в борбата с престъпленията срещу околната среда, и по-специално трафика на екземпляри от дивата флора и фауна. Наред с това през януари 2018 г. Комисията прие съобщение, озаглавено „Действия на ЕС за подобряване на спазването на законодателството и управлението в областта на околната среда“</w:t>
      </w:r>
      <w:r>
        <w:rPr>
          <w:rStyle w:val="FootnoteReference"/>
          <w:rFonts w:ascii="Times New Roman" w:hAnsi="Times New Roman"/>
          <w:noProof/>
          <w:sz w:val="24"/>
        </w:rPr>
        <w:footnoteReference w:id="8"/>
      </w:r>
      <w:r>
        <w:rPr>
          <w:rFonts w:ascii="Times New Roman" w:hAnsi="Times New Roman"/>
          <w:noProof/>
          <w:sz w:val="24"/>
        </w:rPr>
        <w:t>. Едно от тези действия е насочено към изготвянето на документ с насоки за добри практики относно борбата с престъпленията срещу околната среда, като се поставя специален акцент върху престъпленията в сферата на отпадъците и дивата природа. От значение са също така мерките, свързани с обучението и по-доброто разгръщане на експертните знания и опит в гарантирането на спазването на законодателството в областта на околната среда</w:t>
      </w:r>
      <w:r>
        <w:rPr>
          <w:rStyle w:val="FootnoteReference"/>
          <w:rFonts w:ascii="Times New Roman" w:hAnsi="Times New Roman"/>
          <w:noProof/>
          <w:sz w:val="24"/>
        </w:rPr>
        <w:footnoteReference w:id="9"/>
      </w:r>
      <w:r>
        <w:rPr>
          <w:rFonts w:ascii="Times New Roman" w:hAnsi="Times New Roman"/>
          <w:noProof/>
          <w:sz w:val="24"/>
        </w:rPr>
        <w:t xml:space="preserve">. </w:t>
      </w:r>
    </w:p>
    <w:p>
      <w:pPr>
        <w:spacing w:after="240" w:line="240" w:lineRule="auto"/>
        <w:jc w:val="both"/>
        <w:rPr>
          <w:rFonts w:ascii="Times New Roman" w:hAnsi="Times New Roman"/>
          <w:noProof/>
          <w:sz w:val="24"/>
          <w:szCs w:val="24"/>
        </w:rPr>
      </w:pPr>
      <w:r>
        <w:rPr>
          <w:rFonts w:ascii="Times New Roman" w:hAnsi="Times New Roman"/>
          <w:noProof/>
          <w:sz w:val="24"/>
        </w:rPr>
        <w:t xml:space="preserve">На равнището на ЕС бяха определени и изпълнени </w:t>
      </w:r>
      <w:r>
        <w:rPr>
          <w:rFonts w:ascii="Times New Roman" w:hAnsi="Times New Roman"/>
          <w:b/>
          <w:noProof/>
          <w:sz w:val="24"/>
        </w:rPr>
        <w:t>стратегически приоритети при правоприлагането</w:t>
      </w:r>
      <w:r>
        <w:rPr>
          <w:rFonts w:ascii="Times New Roman" w:hAnsi="Times New Roman"/>
          <w:noProof/>
          <w:sz w:val="24"/>
        </w:rPr>
        <w:t xml:space="preserve"> както от страна на държавите членки, така и чрез трансгранични съвместни действия — по-специално срещу трафика на слонова кост, змиорки, влечуги и птици. Бяха проведени мащабни трансгранични разследвания и изземвания в целия ЕС с активното участие на Европол, Евроюст и редица правоприлагащи органи от различни държави членки (вж. каре 1). В някои държави членки беше отчетено значително </w:t>
      </w:r>
      <w:r>
        <w:rPr>
          <w:rFonts w:ascii="Times New Roman" w:hAnsi="Times New Roman"/>
          <w:b/>
          <w:noProof/>
          <w:sz w:val="24"/>
        </w:rPr>
        <w:t>мобилизиране на правоприлагащите органи</w:t>
      </w:r>
      <w:r>
        <w:rPr>
          <w:rFonts w:ascii="Times New Roman" w:hAnsi="Times New Roman"/>
          <w:noProof/>
          <w:sz w:val="24"/>
        </w:rPr>
        <w:t xml:space="preserve"> срещу трафика на екземпляри от дивата флора и фауна. Понастоящем приоритет следва да бъде осигуряването на еднакви условия на конкуренция в целия ЕС и на силен отговор в сферата на правоприлагането от страна на всички държави членки срещу трафика на екземпляри от дивата флора и фауна. Докладваните случаи на успешни наказателни преследвания и санкции, свързани с този трафик, се отнасят до документни измами, изпиране на пари и организирана престъпност, както и до отнемане на незаконно придобито имущество. Важно е обаче да се подобри осведомеността на съдебните органи относно трафика на екземпляри от дивата флора и фауна, тъй като информацията за наказателните преследвания и санкциите в тази област остава ограничена. Беше докладван недостатъчен напредък по отношение на разследванията на изпирането на пари, свързано с трафика на екземпляри от дивата флора и фауна, като редица държави членки и заинтересовани страни отбелязаха необходимостта от повече разследвания, насочени конкретно към онлайн търговията като фактор при извършването на такъв трафик.</w:t>
      </w:r>
    </w:p>
    <w:tbl>
      <w:tblPr>
        <w:tblStyle w:val="TableGrid"/>
        <w:tblW w:w="0" w:type="auto"/>
        <w:tblInd w:w="108" w:type="dxa"/>
        <w:tblLook w:val="04A0" w:firstRow="1" w:lastRow="0" w:firstColumn="1" w:lastColumn="0" w:noHBand="0" w:noVBand="1"/>
      </w:tblPr>
      <w:tblGrid>
        <w:gridCol w:w="9072"/>
      </w:tblGrid>
      <w:tr>
        <w:tc>
          <w:tcPr>
            <w:tcW w:w="9072" w:type="dxa"/>
          </w:tcPr>
          <w:p>
            <w:pPr>
              <w:spacing w:before="240" w:afterLines="60" w:after="144"/>
              <w:rPr>
                <w:rFonts w:ascii="Times New Roman" w:hAnsi="Times New Roman"/>
                <w:b/>
                <w:noProof/>
                <w:sz w:val="24"/>
                <w:szCs w:val="24"/>
              </w:rPr>
            </w:pPr>
            <w:r>
              <w:rPr>
                <w:rFonts w:ascii="Times New Roman" w:hAnsi="Times New Roman"/>
                <w:b/>
                <w:noProof/>
                <w:sz w:val="24"/>
              </w:rPr>
              <w:t>Каре 1 — Изземвания в ЕС на продукти от видове от дивата флора и фауна през 2016 г.</w:t>
            </w:r>
          </w:p>
          <w:p>
            <w:pPr>
              <w:spacing w:afterLines="60" w:after="144"/>
              <w:jc w:val="both"/>
              <w:rPr>
                <w:rFonts w:ascii="Times New Roman" w:hAnsi="Times New Roman"/>
                <w:noProof/>
                <w:sz w:val="24"/>
                <w:szCs w:val="24"/>
              </w:rPr>
            </w:pPr>
            <w:r>
              <w:rPr>
                <w:rFonts w:ascii="Times New Roman" w:hAnsi="Times New Roman"/>
                <w:noProof/>
                <w:sz w:val="24"/>
              </w:rPr>
              <w:t xml:space="preserve">През 2016 г. компетентните органи на 24 държави — членки на ЕС, докладваха на Европейската комисия за общо 2268 значителни изземвания на стоки, получени от видове от дивата флора и фауна, като 63 % от тях бяха на </w:t>
            </w:r>
            <w:r>
              <w:rPr>
                <w:rFonts w:ascii="Times New Roman" w:hAnsi="Times New Roman"/>
                <w:b/>
                <w:noProof/>
                <w:sz w:val="24"/>
              </w:rPr>
              <w:t>външните граници на ЕС</w:t>
            </w:r>
            <w:r>
              <w:rPr>
                <w:rFonts w:ascii="Times New Roman" w:hAnsi="Times New Roman"/>
                <w:noProof/>
                <w:sz w:val="24"/>
              </w:rPr>
              <w:t>. Основните стокови групи, иззети на границите на ЕС, бяха следните: лекарствени продукти (42 %), слонова кост (14 %), корали (10 %), части от влечуги и производни продукти (7 %), живи влечуги (5 %), хайвер (4 %) и растения. Стоките, иззети при внос, бяха най-вече с произход от Китай, САЩ, Швейцария и Тайланд, докато повечето стоки, иззети при износ, бяха предназначени за Китай (включително за специалния административен район Хонконг), САЩ и Виетнам. По-голямата част от изземванията бяха извършени на летища, като в сравнение с предишни години беше регистриран по-голям брой иззети стоки, транспортирани като пощенски или бързи пратки.</w:t>
            </w:r>
          </w:p>
          <w:p>
            <w:pPr>
              <w:autoSpaceDE w:val="0"/>
              <w:autoSpaceDN w:val="0"/>
              <w:adjustRightInd w:val="0"/>
              <w:spacing w:afterLines="60" w:after="144"/>
              <w:jc w:val="both"/>
              <w:rPr>
                <w:rFonts w:ascii="Times New Roman" w:hAnsi="Times New Roman" w:cs="Times New Roman"/>
                <w:noProof/>
                <w:sz w:val="24"/>
                <w:szCs w:val="24"/>
              </w:rPr>
            </w:pPr>
            <w:r>
              <w:rPr>
                <w:rFonts w:ascii="Times New Roman" w:hAnsi="Times New Roman"/>
                <w:noProof/>
                <w:sz w:val="24"/>
              </w:rPr>
              <w:t xml:space="preserve">През 2016 г. бяха иззети повече от два тона </w:t>
            </w:r>
            <w:r>
              <w:rPr>
                <w:rFonts w:ascii="Times New Roman" w:hAnsi="Times New Roman"/>
                <w:b/>
                <w:noProof/>
                <w:sz w:val="24"/>
              </w:rPr>
              <w:t>слонова кост</w:t>
            </w:r>
            <w:r>
              <w:rPr>
                <w:rFonts w:ascii="Times New Roman" w:hAnsi="Times New Roman"/>
                <w:noProof/>
                <w:sz w:val="24"/>
              </w:rPr>
              <w:t xml:space="preserve">. По-голямата част от нея не беше предназначена за пазара на ЕС и се състоеше от продукти, които са преминавали транзитно през европейски летища или пощенски центрове от Африка към Азия, или които са щели да бъдат реекспортирани за Азия без необходимата документация (предимно старинни изделия от слонова кост). </w:t>
            </w:r>
          </w:p>
          <w:p>
            <w:pPr>
              <w:autoSpaceDE w:val="0"/>
              <w:autoSpaceDN w:val="0"/>
              <w:adjustRightInd w:val="0"/>
              <w:spacing w:before="240" w:afterLines="60" w:after="144"/>
              <w:jc w:val="both"/>
              <w:rPr>
                <w:rFonts w:ascii="Times New Roman" w:hAnsi="Times New Roman"/>
                <w:noProof/>
                <w:sz w:val="24"/>
                <w:szCs w:val="24"/>
              </w:rPr>
            </w:pPr>
            <w:r>
              <w:rPr>
                <w:rFonts w:ascii="Times New Roman" w:hAnsi="Times New Roman" w:cs="Times New Roman"/>
                <w:noProof/>
                <w:sz w:val="24"/>
                <w:szCs w:val="24"/>
              </w:rPr>
              <w:t xml:space="preserve">В момента едно от най-големите предизвикателства пред ЕС и неговите държави членки в борбата им срещу трафика на екземпляри от дивата флора и фауна е свързано с трафика на </w:t>
            </w:r>
            <w:r>
              <w:rPr>
                <w:rFonts w:ascii="Times New Roman" w:hAnsi="Times New Roman" w:cs="Times New Roman"/>
                <w:b/>
                <w:noProof/>
                <w:sz w:val="24"/>
                <w:szCs w:val="24"/>
              </w:rPr>
              <w:t>змиорки</w:t>
            </w:r>
            <w:r>
              <w:rPr>
                <w:rFonts w:ascii="Times New Roman" w:hAnsi="Times New Roman" w:cs="Times New Roman"/>
                <w:noProof/>
                <w:sz w:val="24"/>
                <w:szCs w:val="24"/>
              </w:rPr>
              <w:t>. През риболовния сезон 2016—2017 г. бяха арестувани 48 лица и бяха иззети 4000 ‏kg живи млади (</w:t>
            </w:r>
            <w:r>
              <w:rPr>
                <w:rFonts w:ascii="Times New Roman" w:hAnsi="Times New Roman" w:cs="Times New Roman"/>
                <w:noProof/>
                <w:sz w:val="24"/>
                <w:szCs w:val="24"/>
                <w:lang w:val="en-GB"/>
              </w:rPr>
              <w:t>„</w:t>
            </w:r>
            <w:r>
              <w:rPr>
                <w:rFonts w:ascii="Times New Roman" w:hAnsi="Times New Roman" w:cs="Times New Roman"/>
                <w:noProof/>
                <w:sz w:val="24"/>
                <w:szCs w:val="24"/>
              </w:rPr>
              <w:t>стъклени</w:t>
            </w:r>
            <w:r>
              <w:rPr>
                <w:rFonts w:ascii="Times New Roman" w:hAnsi="Times New Roman" w:cs="Times New Roman"/>
                <w:noProof/>
                <w:sz w:val="24"/>
                <w:szCs w:val="24"/>
                <w:lang w:val="en-GB"/>
              </w:rPr>
              <w:t>“</w:t>
            </w:r>
            <w:r>
              <w:rPr>
                <w:rFonts w:ascii="Times New Roman" w:hAnsi="Times New Roman" w:cs="Times New Roman"/>
                <w:noProof/>
                <w:sz w:val="24"/>
                <w:szCs w:val="24"/>
              </w:rPr>
              <w:t>) змиорки; те бяха открити при експортирането им към Азия, като общата им стойност възлизаше приблизително на 4 милиона евро</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От разследванията, проведени от Европол и някои държави — членки на ЕС, става ясно, че </w:t>
            </w:r>
            <w:r>
              <w:rPr>
                <w:rFonts w:ascii="Times New Roman" w:hAnsi="Times New Roman"/>
                <w:noProof/>
                <w:sz w:val="24"/>
                <w:szCs w:val="24"/>
              </w:rPr>
              <w:t>контрабандата на змиорки от Европа</w:t>
            </w:r>
            <w:r>
              <w:rPr>
                <w:rFonts w:ascii="Times New Roman" w:hAnsi="Times New Roman" w:cs="Times New Roman"/>
                <w:noProof/>
                <w:sz w:val="24"/>
                <w:szCs w:val="24"/>
              </w:rPr>
              <w:t xml:space="preserve"> се извършва с участието</w:t>
            </w:r>
            <w:r>
              <w:rPr>
                <w:rFonts w:ascii="Times New Roman" w:hAnsi="Times New Roman"/>
                <w:noProof/>
                <w:sz w:val="24"/>
                <w:szCs w:val="24"/>
              </w:rPr>
              <w:t xml:space="preserve"> на транснационални мрежи на организираната престъпност</w:t>
            </w:r>
            <w:r>
              <w:rPr>
                <w:rFonts w:ascii="Times New Roman" w:hAnsi="Times New Roman"/>
                <w:noProof/>
                <w:sz w:val="24"/>
              </w:rPr>
              <w:t>.</w:t>
            </w:r>
          </w:p>
        </w:tc>
      </w:tr>
    </w:tbl>
    <w:p>
      <w:pPr>
        <w:spacing w:before="240" w:after="240" w:line="240" w:lineRule="auto"/>
        <w:jc w:val="both"/>
        <w:rPr>
          <w:rFonts w:ascii="Times New Roman" w:hAnsi="Times New Roman"/>
          <w:noProof/>
          <w:sz w:val="24"/>
          <w:szCs w:val="24"/>
        </w:rPr>
      </w:pPr>
      <w:r>
        <w:rPr>
          <w:rFonts w:ascii="Times New Roman" w:hAnsi="Times New Roman"/>
          <w:noProof/>
          <w:sz w:val="24"/>
        </w:rPr>
        <w:t xml:space="preserve">Повечето държави членки докладваха за проведени от техните компетентни органи </w:t>
      </w:r>
      <w:r>
        <w:rPr>
          <w:rFonts w:ascii="Times New Roman" w:hAnsi="Times New Roman"/>
          <w:b/>
          <w:noProof/>
          <w:sz w:val="24"/>
        </w:rPr>
        <w:t>курсове за обучение</w:t>
      </w:r>
      <w:r>
        <w:rPr>
          <w:rFonts w:ascii="Times New Roman" w:hAnsi="Times New Roman"/>
          <w:noProof/>
          <w:sz w:val="24"/>
        </w:rPr>
        <w:t xml:space="preserve"> на национално равнище, като е нараснал броят на курсовете, организирани съвместно с различни агенции (митници, полиция, инспекторати, управляващи органи по CITES и др.). Редица дейности за обучение бяха организирани и на равнището на ЕС — те бяха проведени под надзора на CEPOL</w:t>
      </w:r>
      <w:r>
        <w:rPr>
          <w:rStyle w:val="FootnoteReference"/>
          <w:rFonts w:ascii="Times New Roman" w:hAnsi="Times New Roman"/>
          <w:noProof/>
          <w:sz w:val="24"/>
        </w:rPr>
        <w:footnoteReference w:id="11"/>
      </w:r>
      <w:r>
        <w:rPr>
          <w:rFonts w:ascii="Times New Roman" w:hAnsi="Times New Roman"/>
          <w:noProof/>
          <w:sz w:val="24"/>
        </w:rPr>
        <w:t xml:space="preserve"> или на мрежите на специалистите, които работят в областта на престъпленията срещу околната среда. За насърчаване на обучението на служители на правоприлагащите органи с цел борба с престъпленията срещу дивата флора и фауна бяха използвани също така програмите за сътрудничество в областта на околната среда и за полицейско сътрудничество, финансирани от ЕС (вж. каре 2). </w:t>
      </w:r>
    </w:p>
    <w:tbl>
      <w:tblPr>
        <w:tblStyle w:val="TableGrid"/>
        <w:tblW w:w="0" w:type="auto"/>
        <w:tblInd w:w="108" w:type="dxa"/>
        <w:tblLook w:val="04A0" w:firstRow="1" w:lastRow="0" w:firstColumn="1" w:lastColumn="0" w:noHBand="0" w:noVBand="1"/>
      </w:tblPr>
      <w:tblGrid>
        <w:gridCol w:w="9072"/>
      </w:tblGrid>
      <w:tr>
        <w:tc>
          <w:tcPr>
            <w:tcW w:w="9072" w:type="dxa"/>
          </w:tcPr>
          <w:p>
            <w:pPr>
              <w:spacing w:before="240" w:after="60"/>
              <w:rPr>
                <w:rFonts w:ascii="Times New Roman" w:hAnsi="Times New Roman"/>
                <w:b/>
                <w:noProof/>
                <w:sz w:val="24"/>
                <w:szCs w:val="24"/>
              </w:rPr>
            </w:pPr>
            <w:r>
              <w:rPr>
                <w:rFonts w:ascii="Times New Roman" w:hAnsi="Times New Roman"/>
                <w:b/>
                <w:noProof/>
                <w:sz w:val="24"/>
              </w:rPr>
              <w:t>Каре 2 — Финансово подпомагане за борбата с престъпленията срещу дивата флора и фауна в ЕС</w:t>
            </w:r>
          </w:p>
          <w:p>
            <w:pPr>
              <w:spacing w:before="240" w:after="60"/>
              <w:jc w:val="both"/>
              <w:rPr>
                <w:rFonts w:ascii="Times New Roman" w:hAnsi="Times New Roman"/>
                <w:noProof/>
                <w:sz w:val="24"/>
                <w:szCs w:val="24"/>
              </w:rPr>
            </w:pPr>
            <w:r>
              <w:rPr>
                <w:rFonts w:ascii="Times New Roman" w:hAnsi="Times New Roman"/>
                <w:noProof/>
                <w:sz w:val="24"/>
              </w:rPr>
              <w:t xml:space="preserve">ЕС предоставя финансиране — най-вече по програмата </w:t>
            </w:r>
            <w:r>
              <w:rPr>
                <w:rFonts w:ascii="Times New Roman" w:hAnsi="Times New Roman"/>
                <w:b/>
                <w:noProof/>
                <w:sz w:val="24"/>
              </w:rPr>
              <w:t>LIFE</w:t>
            </w:r>
            <w:r>
              <w:rPr>
                <w:rStyle w:val="FootnoteReference"/>
                <w:rFonts w:ascii="Times New Roman" w:hAnsi="Times New Roman"/>
                <w:noProof/>
                <w:sz w:val="24"/>
              </w:rPr>
              <w:footnoteReference w:id="12"/>
            </w:r>
            <w:r>
              <w:rPr>
                <w:rFonts w:ascii="Times New Roman" w:hAnsi="Times New Roman"/>
                <w:noProof/>
                <w:sz w:val="24"/>
              </w:rPr>
              <w:t xml:space="preserve"> — за редица конкретни проекти и инициативи за борба с престъпленията срещу дивата флора и фауна. Програмата LIFE осигурява 1,1 милиона евро за проекта „ЖИВОТ за дунавските есетри</w:t>
            </w:r>
            <w:r>
              <w:rPr>
                <w:rStyle w:val="FootnoteReference"/>
                <w:rFonts w:ascii="Times New Roman" w:hAnsi="Times New Roman"/>
                <w:noProof/>
                <w:sz w:val="24"/>
              </w:rPr>
              <w:footnoteReference w:id="13"/>
            </w:r>
            <w:r>
              <w:rPr>
                <w:rFonts w:ascii="Times New Roman" w:hAnsi="Times New Roman"/>
                <w:noProof/>
                <w:sz w:val="24"/>
              </w:rPr>
              <w:t xml:space="preserve">“ (2016—2020 г.), чиято цел е да се подобри прилагането на законовите и подзаконовите актове срещу бракониерството на есетри и незаконната търговия с хайвер в България, Румъния, Сърбия и Украйна. Тя също така подпомага дейности, ръководени от Европейската мрежа на прокурорите за околната среда (ENPE), включително разработването на нови инструменти, позволяващи на прокурорите и съдиите да разширят познанията си за престъпленията срещу околната среда, както и създаването на база данни с добри практики (645 000 EUR за периода 2015—2020 г.). По линия на програмата </w:t>
            </w:r>
            <w:r>
              <w:rPr>
                <w:rFonts w:ascii="Times New Roman" w:hAnsi="Times New Roman"/>
                <w:noProof/>
                <w:sz w:val="24"/>
                <w:lang w:val="en-GB"/>
              </w:rPr>
              <w:t xml:space="preserve">LIFE </w:t>
            </w:r>
            <w:r>
              <w:rPr>
                <w:rFonts w:ascii="Times New Roman" w:hAnsi="Times New Roman"/>
                <w:noProof/>
                <w:sz w:val="24"/>
              </w:rPr>
              <w:t>се осигурява и подпомагане за проекти, насочени срещу незаконния лов на птици в рамките на целия ЕС — най-вече за да се насърчи изпълнението на пътната карта на ЕС за елиминиране на незаконния лов, залагането на капани и търговията с птици</w:t>
            </w:r>
            <w:r>
              <w:rPr>
                <w:rStyle w:val="FootnoteReference"/>
                <w:rFonts w:ascii="Times New Roman" w:hAnsi="Times New Roman"/>
                <w:noProof/>
                <w:sz w:val="24"/>
              </w:rPr>
              <w:footnoteReference w:id="14"/>
            </w:r>
            <w:r>
              <w:rPr>
                <w:rFonts w:ascii="Times New Roman" w:hAnsi="Times New Roman"/>
                <w:noProof/>
                <w:sz w:val="24"/>
              </w:rPr>
              <w:t>. Всеобхватна информация относно подпомаганите от програмата инициативи за борба с престъпленията срещу дивата флора и фауна се съдържа в публикуваната неотдавна брошура „Програма LIFE и престъпленията срещу дивата природа“</w:t>
            </w:r>
            <w:r>
              <w:rPr>
                <w:rStyle w:val="FootnoteReference"/>
                <w:rFonts w:ascii="Times New Roman" w:hAnsi="Times New Roman"/>
                <w:noProof/>
                <w:sz w:val="24"/>
              </w:rPr>
              <w:footnoteReference w:id="15"/>
            </w:r>
            <w:r>
              <w:rPr>
                <w:rFonts w:ascii="Times New Roman" w:hAnsi="Times New Roman"/>
                <w:noProof/>
                <w:sz w:val="24"/>
              </w:rPr>
              <w:t>.</w:t>
            </w:r>
          </w:p>
          <w:p>
            <w:pPr>
              <w:spacing w:afterLines="60" w:after="144"/>
              <w:jc w:val="both"/>
              <w:rPr>
                <w:rFonts w:ascii="Times New Roman" w:hAnsi="Times New Roman"/>
                <w:noProof/>
                <w:sz w:val="24"/>
                <w:szCs w:val="24"/>
              </w:rPr>
            </w:pPr>
            <w:r>
              <w:rPr>
                <w:rFonts w:ascii="Times New Roman" w:hAnsi="Times New Roman"/>
                <w:noProof/>
                <w:sz w:val="24"/>
              </w:rPr>
              <w:t>През ноември 2017 г. в рамките на програмата на ЕС по</w:t>
            </w:r>
            <w:r>
              <w:rPr>
                <w:rFonts w:ascii="Times New Roman" w:hAnsi="Times New Roman"/>
                <w:b/>
                <w:noProof/>
                <w:sz w:val="24"/>
              </w:rPr>
              <w:t xml:space="preserve"> фонд „Вътрешна сигурност — Полиция</w:t>
            </w:r>
            <w:r>
              <w:rPr>
                <w:rFonts w:ascii="Times New Roman" w:hAnsi="Times New Roman"/>
                <w:noProof/>
                <w:sz w:val="24"/>
              </w:rPr>
              <w:t>“</w:t>
            </w:r>
            <w:r>
              <w:rPr>
                <w:rStyle w:val="FootnoteReference"/>
                <w:rFonts w:ascii="Times New Roman" w:hAnsi="Times New Roman"/>
                <w:noProof/>
                <w:sz w:val="24"/>
              </w:rPr>
              <w:footnoteReference w:id="16"/>
            </w:r>
            <w:r>
              <w:rPr>
                <w:rFonts w:ascii="Times New Roman" w:hAnsi="Times New Roman"/>
                <w:noProof/>
                <w:sz w:val="24"/>
              </w:rPr>
              <w:t xml:space="preserve"> беше публикувана първата целева покана за представяне на предложения</w:t>
            </w:r>
            <w:r>
              <w:rPr>
                <w:rStyle w:val="FootnoteReference"/>
                <w:rFonts w:ascii="Times New Roman" w:hAnsi="Times New Roman"/>
                <w:noProof/>
                <w:sz w:val="24"/>
              </w:rPr>
              <w:footnoteReference w:id="17"/>
            </w:r>
            <w:r>
              <w:rPr>
                <w:rFonts w:ascii="Times New Roman" w:hAnsi="Times New Roman"/>
                <w:noProof/>
                <w:sz w:val="24"/>
              </w:rPr>
              <w:t xml:space="preserve"> за проекти, насочени към засилване на оперативните дейности на държавите членки в областта на престъпленията срещу околната среда, включително чрез дейности за обучение и изграждане на капацитет за компетентните органи, като общият бюджет по нея беше 2,5 милиона евро. Сред приоритетите, включени в тази покана, изрично е посочена борбата срещу трафика на екземпляри от дивата флора и фауна.</w:t>
            </w:r>
          </w:p>
        </w:tc>
      </w:tr>
    </w:tbl>
    <w:p>
      <w:pPr>
        <w:spacing w:before="240" w:after="240" w:line="240" w:lineRule="auto"/>
        <w:jc w:val="both"/>
        <w:rPr>
          <w:rFonts w:ascii="Times New Roman" w:hAnsi="Times New Roman"/>
          <w:noProof/>
          <w:sz w:val="24"/>
          <w:szCs w:val="24"/>
        </w:rPr>
      </w:pPr>
      <w:r>
        <w:rPr>
          <w:rFonts w:ascii="Times New Roman" w:hAnsi="Times New Roman"/>
          <w:noProof/>
          <w:sz w:val="24"/>
        </w:rPr>
        <w:t xml:space="preserve">Редица държави членки създадоха платформи за </w:t>
      </w:r>
      <w:r>
        <w:rPr>
          <w:rFonts w:ascii="Times New Roman" w:hAnsi="Times New Roman"/>
          <w:b/>
          <w:noProof/>
          <w:sz w:val="24"/>
        </w:rPr>
        <w:t>междуведомствено сътрудничество</w:t>
      </w:r>
      <w:r>
        <w:rPr>
          <w:rFonts w:ascii="Times New Roman" w:hAnsi="Times New Roman"/>
          <w:noProof/>
          <w:sz w:val="24"/>
        </w:rPr>
        <w:t xml:space="preserve"> или работни групи относно трафика на екземпляри от дивата флора и фауна. В </w:t>
      </w:r>
      <w:r>
        <w:rPr>
          <w:rFonts w:ascii="Times New Roman" w:hAnsi="Times New Roman"/>
          <w:noProof/>
          <w:color w:val="000000"/>
          <w:sz w:val="24"/>
        </w:rPr>
        <w:t xml:space="preserve">Испания беше приет национален план за действие срещу този трафик, изготвен по модела на плана за действие на ЕС и съдържащ цялостна стратегия за разрешаване на проблема. Очаква се до края на 2018 г. подобен национален план да бъде приет и в Чешката република. </w:t>
      </w:r>
      <w:r>
        <w:rPr>
          <w:rFonts w:ascii="Times New Roman" w:hAnsi="Times New Roman"/>
          <w:noProof/>
          <w:sz w:val="24"/>
        </w:rPr>
        <w:t>Въпреки известния напредък обаче сътрудничеството и обменът на информация между правоприлагащите органи продължават да представляват предизвикателство в някои държави членки. Също така не всички държави членки обменят информация помежду си или посредством Европол. Редица държави членки посочват, че инструментът на ЕС за обмен на информация относно търговията с екземпляри от дивата флора и фауна — EU-TWIX (вж. каре 3), е практично и ефикасно средство за споделяне на данни за трафика на такива екземпляри (с изключение на лични данни) в целия ЕС. За разлика от това използването на платформата SIENA</w:t>
      </w:r>
      <w:r>
        <w:rPr>
          <w:rStyle w:val="FootnoteReference"/>
          <w:rFonts w:ascii="Times New Roman" w:hAnsi="Times New Roman"/>
          <w:noProof/>
          <w:sz w:val="24"/>
        </w:rPr>
        <w:footnoteReference w:id="18"/>
      </w:r>
      <w:r>
        <w:rPr>
          <w:rFonts w:ascii="Times New Roman" w:hAnsi="Times New Roman"/>
          <w:noProof/>
          <w:sz w:val="24"/>
        </w:rPr>
        <w:t xml:space="preserve"> от страна на държавите членки с цел обмен на известия относно трафика на екземпляри от дивата флора и фауна се различава значително в зависимост от съответните органи. Това възпрепятства ефективното сътрудничество и лишава Европол от ценна информация, необходима за изграждането на всеобхватна разузнавателна информация относно трафика на екземпляри от дивата флора и фауна в ЕС. </w:t>
      </w:r>
    </w:p>
    <w:tbl>
      <w:tblPr>
        <w:tblStyle w:val="TableGrid"/>
        <w:tblW w:w="0" w:type="auto"/>
        <w:tblInd w:w="108" w:type="dxa"/>
        <w:tblLook w:val="04A0" w:firstRow="1" w:lastRow="0" w:firstColumn="1" w:lastColumn="0" w:noHBand="0" w:noVBand="1"/>
      </w:tblPr>
      <w:tblGrid>
        <w:gridCol w:w="9072"/>
      </w:tblGrid>
      <w:tr>
        <w:tc>
          <w:tcPr>
            <w:tcW w:w="9072" w:type="dxa"/>
          </w:tcPr>
          <w:p>
            <w:pPr>
              <w:spacing w:before="240" w:afterLines="60" w:after="144"/>
              <w:rPr>
                <w:rFonts w:ascii="Times New Roman" w:hAnsi="Times New Roman"/>
                <w:b/>
                <w:noProof/>
                <w:sz w:val="24"/>
                <w:szCs w:val="24"/>
              </w:rPr>
            </w:pPr>
            <w:r>
              <w:rPr>
                <w:rFonts w:ascii="Times New Roman" w:hAnsi="Times New Roman"/>
                <w:b/>
                <w:noProof/>
                <w:sz w:val="24"/>
              </w:rPr>
              <w:t>Каре 3 — EU-TWIX: успешен инструмент за сътрудничество в областта на правоприлагането в ЕС</w:t>
            </w:r>
          </w:p>
          <w:p>
            <w:pPr>
              <w:spacing w:afterLines="60" w:after="144"/>
              <w:jc w:val="both"/>
              <w:rPr>
                <w:rFonts w:ascii="Times New Roman" w:hAnsi="Times New Roman"/>
                <w:noProof/>
                <w:sz w:val="24"/>
                <w:szCs w:val="24"/>
              </w:rPr>
            </w:pPr>
            <w:r>
              <w:rPr>
                <w:rFonts w:ascii="Times New Roman" w:hAnsi="Times New Roman"/>
                <w:noProof/>
                <w:sz w:val="24"/>
              </w:rPr>
              <w:t>EU-TWIX е европейска система за подпомагане на правоприлагането, предназначена да улесни обмена на информация и международното сътрудничество между служителите, отговарящи за прилагането на законодателството за дивата флора и фауна, и ръководните кадри. Тя беше създадена през 2005 г. по инициатива на белгийските органи и организацията TRAFFIC</w:t>
            </w:r>
            <w:r>
              <w:rPr>
                <w:rStyle w:val="FootnoteReference"/>
                <w:rFonts w:ascii="Times New Roman" w:hAnsi="Times New Roman"/>
                <w:noProof/>
                <w:sz w:val="24"/>
              </w:rPr>
              <w:footnoteReference w:id="19"/>
            </w:r>
            <w:r>
              <w:rPr>
                <w:rFonts w:ascii="Times New Roman" w:hAnsi="Times New Roman"/>
                <w:noProof/>
                <w:sz w:val="24"/>
              </w:rPr>
              <w:t xml:space="preserve"> и понастоящем свързва повече от 1000 служители (например от управляващи органи по CITES, митнически служби, служби за екологична инспекция, полиция и съдебни органи) от 37 европейски държави и 10 международни или регионални организации, като получава финансова подкрепа от Европейската комисия и от редица държави членки.</w:t>
            </w:r>
          </w:p>
          <w:p>
            <w:pPr>
              <w:spacing w:afterLines="60" w:after="144"/>
              <w:jc w:val="both"/>
              <w:rPr>
                <w:rFonts w:ascii="Times New Roman" w:hAnsi="Times New Roman"/>
                <w:noProof/>
                <w:sz w:val="24"/>
                <w:szCs w:val="24"/>
              </w:rPr>
            </w:pPr>
            <w:r>
              <w:rPr>
                <w:rFonts w:ascii="Times New Roman" w:hAnsi="Times New Roman"/>
                <w:noProof/>
                <w:sz w:val="24"/>
              </w:rPr>
              <w:t xml:space="preserve">Комуникацията посредством списъка с адресати на EU-TWIX доведе до няколко трансгранични разследвания, включително едно широкомащабно разследване на случай на незаконна търговия с птици в Нидерландия, обхващащ няколко европейски държави и държави извън Европа. Бяха иззети около 500 птици, както и парични средства и имущество. Три лица бяха осъдени на лишаване от свобода. </w:t>
            </w:r>
          </w:p>
          <w:p>
            <w:pPr>
              <w:spacing w:afterLines="60" w:after="144"/>
              <w:jc w:val="both"/>
              <w:rPr>
                <w:rFonts w:ascii="Times New Roman" w:hAnsi="Times New Roman"/>
                <w:noProof/>
                <w:sz w:val="24"/>
                <w:szCs w:val="24"/>
              </w:rPr>
            </w:pPr>
            <w:r>
              <w:rPr>
                <w:rFonts w:ascii="Times New Roman" w:hAnsi="Times New Roman"/>
                <w:noProof/>
                <w:sz w:val="24"/>
              </w:rPr>
              <w:t xml:space="preserve">Базата данни на EU-TWIX понастоящем съдържа над 55 000 записа за свързани с дивата флора и фауна изземвания от 28-те държави — членки на ЕС, извършени от 2000 г. насам. Тя предлага единствена по рода си възможност за мониторинг на незаконните тенденции в търговията с екземпляри от дивата флора и фауна както на национално, така и на европейско равнище. </w:t>
            </w:r>
          </w:p>
          <w:p>
            <w:pPr>
              <w:spacing w:afterLines="60" w:after="144"/>
              <w:jc w:val="both"/>
              <w:rPr>
                <w:rFonts w:cstheme="minorHAnsi"/>
                <w:b/>
                <w:noProof/>
              </w:rPr>
            </w:pPr>
            <w:r>
              <w:rPr>
                <w:rFonts w:ascii="Times New Roman" w:hAnsi="Times New Roman"/>
                <w:noProof/>
                <w:sz w:val="24"/>
              </w:rPr>
              <w:t>EU-TWIX послужи за модел за няколко подобни системи по света, като съответната информация се съдържа в приложението към настоящия доклад.</w:t>
            </w:r>
          </w:p>
        </w:tc>
      </w:tr>
    </w:tbl>
    <w:p>
      <w:pPr>
        <w:pStyle w:val="Heading2"/>
        <w:spacing w:after="240"/>
        <w:jc w:val="both"/>
        <w:rPr>
          <w:rFonts w:ascii="Times New Roman" w:hAnsi="Times New Roman" w:cs="Times New Roman"/>
          <w:noProof/>
        </w:rPr>
      </w:pPr>
      <w:r>
        <w:rPr>
          <w:rFonts w:ascii="Times New Roman" w:hAnsi="Times New Roman"/>
          <w:noProof/>
          <w:color w:val="auto"/>
        </w:rPr>
        <w:t xml:space="preserve">Приоритет 3 — Засилване на глобалното партньорство на държавите на произход, потребление и транзитно преминаване срещу трафика на екземпляри от дивата флора и фауна </w:t>
      </w:r>
    </w:p>
    <w:p>
      <w:pPr>
        <w:spacing w:line="240" w:lineRule="auto"/>
        <w:jc w:val="both"/>
        <w:rPr>
          <w:noProof/>
        </w:rPr>
      </w:pPr>
      <w:r>
        <w:rPr>
          <w:rFonts w:ascii="Times New Roman" w:hAnsi="Times New Roman"/>
          <w:noProof/>
          <w:sz w:val="24"/>
        </w:rPr>
        <w:t>След приемането на плана за действие ЕС и неговите държави членки потвърдиха статута си на най-голям дарител на помощи за борба срещу трафика на екземпляри от дивата флора и фауна.</w:t>
      </w:r>
      <w:r>
        <w:rPr>
          <w:noProof/>
        </w:rPr>
        <w:t xml:space="preserve"> </w:t>
      </w:r>
      <w:r>
        <w:rPr>
          <w:rFonts w:ascii="Times New Roman" w:hAnsi="Times New Roman"/>
          <w:noProof/>
          <w:sz w:val="24"/>
        </w:rPr>
        <w:t>Редица проекти са насочени към изпълнение на плана за действие посредством разглеждане на ключовите движещи сили и определящите фактори по отношение на този трафик, по-специално в области като престъпления срещу околната среда, корупция и върховенство на закона, несигурност поради въоръжени конфликти, екосистемни услуги и поминък в защитените територии, управление на природни ресурси и устойчивост на местните общности.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Предвид съществуващата трайна връзка между незаконната експлоатация на природните ресурси и дестабилизиращите дейности на въоръжените групи (по-специално в Централна Африка), ЕС и редица държави членки създадоха дългосрочни партньорства с трети държави, насочени към опазване на биологичното разнообразие и борба с трафика на екземпляри от дивата флора и фауна. Планът за действие осигури значителен тласък в тази област. В допълнение към вече отпуснатото финансово подпомагане и текущите дейности, </w:t>
      </w:r>
      <w:r>
        <w:rPr>
          <w:rFonts w:ascii="Times New Roman" w:hAnsi="Times New Roman"/>
          <w:b/>
          <w:noProof/>
          <w:sz w:val="24"/>
        </w:rPr>
        <w:t>през 2016 г. и 2017 г. бяха мобилизирани значителни допълнителни средства от ЕС</w:t>
      </w:r>
      <w:r>
        <w:rPr>
          <w:rFonts w:ascii="Times New Roman" w:hAnsi="Times New Roman"/>
          <w:noProof/>
          <w:sz w:val="24"/>
        </w:rPr>
        <w:t xml:space="preserve"> (около </w:t>
      </w:r>
      <w:r>
        <w:rPr>
          <w:rFonts w:ascii="Times New Roman" w:hAnsi="Times New Roman"/>
          <w:b/>
          <w:noProof/>
          <w:sz w:val="24"/>
        </w:rPr>
        <w:t>340 милиона евро</w:t>
      </w:r>
      <w:r>
        <w:rPr>
          <w:rFonts w:ascii="Times New Roman" w:hAnsi="Times New Roman"/>
          <w:noProof/>
          <w:sz w:val="24"/>
        </w:rPr>
        <w:t xml:space="preserve"> в Африка, Азия, Тихоокеанския басейн, Южна Америка и Карибите) </w:t>
      </w:r>
      <w:r>
        <w:rPr>
          <w:rFonts w:ascii="Times New Roman" w:hAnsi="Times New Roman"/>
          <w:b/>
          <w:noProof/>
          <w:sz w:val="24"/>
        </w:rPr>
        <w:t>по линия на европейската политика за развитие и сътрудничество</w:t>
      </w:r>
      <w:r>
        <w:rPr>
          <w:rStyle w:val="CommentReference"/>
          <w:noProof/>
        </w:rPr>
        <w:t>.</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Средствата бяха предназначени за прилагане на регионални програми за борба с престъпленията срещу дивата флора и фауна в Централна и Източна Африка, както и за опазване на природата в държавите от Африка, Карибите и Тихоокеанския басейн (държавите от АКТБ) и други държави (например Гвинея). В рамките на Програмата за партньорство за управление на биологичното разнообразие и защитените територии (BIOPAMA) регионалните приоритети в държавите от АКТБ също така обхващаха изграждането на капацитет за борба с престъпленията срещу дивата флора и фауна.</w:t>
      </w:r>
    </w:p>
    <w:tbl>
      <w:tblPr>
        <w:tblStyle w:val="TableGrid"/>
        <w:tblW w:w="0" w:type="auto"/>
        <w:tblInd w:w="108" w:type="dxa"/>
        <w:tblLook w:val="04A0" w:firstRow="1" w:lastRow="0" w:firstColumn="1" w:lastColumn="0" w:noHBand="0" w:noVBand="1"/>
      </w:tblPr>
      <w:tblGrid>
        <w:gridCol w:w="9072"/>
      </w:tblGrid>
      <w:tr>
        <w:tc>
          <w:tcPr>
            <w:tcW w:w="9072" w:type="dxa"/>
          </w:tcPr>
          <w:p>
            <w:pPr>
              <w:spacing w:before="240" w:after="60"/>
              <w:rPr>
                <w:rFonts w:ascii="Times New Roman" w:hAnsi="Times New Roman" w:cs="Times New Roman"/>
                <w:b/>
                <w:noProof/>
                <w:sz w:val="24"/>
                <w:szCs w:val="24"/>
              </w:rPr>
            </w:pPr>
            <w:r>
              <w:rPr>
                <w:rFonts w:ascii="Times New Roman" w:hAnsi="Times New Roman"/>
                <w:b/>
                <w:noProof/>
                <w:sz w:val="24"/>
              </w:rPr>
              <w:t>Каре 4 — Нова световна програма на ЕС за борба с престъпленията срещу дивата флора и фауна и горите</w:t>
            </w:r>
          </w:p>
          <w:p>
            <w:pPr>
              <w:jc w:val="both"/>
              <w:rPr>
                <w:rFonts w:ascii="Times New Roman" w:hAnsi="Times New Roman" w:cs="Times New Roman"/>
                <w:noProof/>
                <w:sz w:val="24"/>
                <w:szCs w:val="24"/>
              </w:rPr>
            </w:pPr>
            <w:r>
              <w:rPr>
                <w:rFonts w:ascii="Times New Roman" w:hAnsi="Times New Roman"/>
                <w:noProof/>
                <w:sz w:val="24"/>
              </w:rPr>
              <w:t>Приетото през 2017 г. действие на ЕС за правоприлагане и борба с престъпленията срещу дивата флора и фауна и горите ще мобилизира 43,5 милиона евро за:</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увеличаване на оперативния капацитет на Международния консорциум за борба с престъпленията срещу дивата природа (ICCWC) с цел подобряване на прилагането на законодателството в областта на дивата флора и фауна и горите в целевите държави и насърчаване на международната координация (13,5 милиона евро), </w:t>
            </w:r>
          </w:p>
          <w:p>
            <w:pPr>
              <w:ind w:left="360" w:hanging="36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подпомагане за организациите на гражданското общество и местните общности при предотвратяването и борбата с трафика на екземпляри от дивата флора и фауна в Азия, Африка и Латинска Америка.</w:t>
            </w:r>
          </w:p>
          <w:p>
            <w:pPr>
              <w:jc w:val="both"/>
              <w:rPr>
                <w:rFonts w:ascii="Times New Roman" w:hAnsi="Times New Roman" w:cs="Times New Roman"/>
                <w:noProof/>
                <w:sz w:val="24"/>
                <w:szCs w:val="24"/>
                <w:highlight w:val="yellow"/>
              </w:rPr>
            </w:pPr>
            <w:r>
              <w:rPr>
                <w:rFonts w:ascii="Times New Roman" w:hAnsi="Times New Roman"/>
                <w:noProof/>
                <w:sz w:val="24"/>
              </w:rPr>
              <w:t>По този начин се допълват съществуващите регионални програми, включващи членове на ICCWC, по-специално в Централна Африка (Служба на ООН по наркотиците — СНПООН), Източна/Южна Африка (СНПООН, CITES), Азия (СНПООН) и чрез световната програма MIKE</w:t>
            </w:r>
            <w:r>
              <w:rPr>
                <w:rStyle w:val="FootnoteReference"/>
                <w:rFonts w:ascii="Times New Roman" w:hAnsi="Times New Roman"/>
                <w:noProof/>
                <w:sz w:val="24"/>
              </w:rPr>
              <w:footnoteReference w:id="20"/>
            </w:r>
            <w:r>
              <w:rPr>
                <w:rFonts w:ascii="Times New Roman" w:hAnsi="Times New Roman"/>
                <w:noProof/>
                <w:sz w:val="24"/>
              </w:rPr>
              <w:t xml:space="preserve"> (CITES), като общата сума възлиза на над 40 милиона евро.</w:t>
            </w:r>
          </w:p>
        </w:tc>
      </w:tr>
    </w:tbl>
    <w:p>
      <w:pPr>
        <w:spacing w:before="240" w:line="240" w:lineRule="auto"/>
        <w:jc w:val="both"/>
        <w:rPr>
          <w:rFonts w:ascii="Times New Roman" w:hAnsi="Times New Roman" w:cs="Times New Roman"/>
          <w:noProof/>
          <w:sz w:val="24"/>
          <w:szCs w:val="24"/>
        </w:rPr>
      </w:pPr>
      <w:r>
        <w:rPr>
          <w:rFonts w:ascii="Times New Roman" w:hAnsi="Times New Roman"/>
          <w:noProof/>
          <w:sz w:val="24"/>
        </w:rPr>
        <w:t>Значително финансово подпомагане за национални и регионални програми за борба с трафика на екземпляри от дивата флора и фауна се предоставя и от някои държави членки (по-специално Франция, Германия и Обединеното кралство) чрез техните политики на сътрудничество за развитие. Белгия, Франция, Германия, Нидерландия и ЕС участват във финансирането на Фонда за защита на африканския слон (African Elephant Fund)</w:t>
      </w:r>
      <w:r>
        <w:rPr>
          <w:rStyle w:val="FootnoteReference"/>
          <w:rFonts w:ascii="Times New Roman" w:hAnsi="Times New Roman"/>
          <w:noProof/>
          <w:sz w:val="24"/>
        </w:rPr>
        <w:footnoteReference w:id="21"/>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допълнение към предоставянето на финансово подпомагане ЕС участва активно в </w:t>
      </w:r>
      <w:r>
        <w:rPr>
          <w:rFonts w:ascii="Times New Roman" w:hAnsi="Times New Roman"/>
          <w:b/>
          <w:noProof/>
          <w:sz w:val="24"/>
        </w:rPr>
        <w:t>двустранни дискусии относно трафика на екземпляри от дивата флора и фауна</w:t>
      </w:r>
      <w:r>
        <w:rPr>
          <w:rFonts w:ascii="Times New Roman" w:hAnsi="Times New Roman"/>
          <w:noProof/>
          <w:sz w:val="24"/>
        </w:rPr>
        <w:t xml:space="preserve"> с редица държави на произход, транзитно преминаване и пазар. Делегациите на ЕС активно насърчават прилагането на CITES и на разпоредбите на ЕС за търговия с екземпляри от дивата флора и фауна в трети държави и предоставят техническа помощ. ЕС също така използва своите инструменти на търговската политика, за да настоява за действия срещу трафика на такива екземпляри — например чрез включване на специални разпоредби в бъдещи споразумения за свободна търговия (по-специално с Виетнам) или чрез схемата „ОСП+“</w:t>
      </w:r>
      <w:r>
        <w:rPr>
          <w:rStyle w:val="FootnoteReference"/>
          <w:rFonts w:ascii="Times New Roman" w:hAnsi="Times New Roman"/>
          <w:noProof/>
          <w:sz w:val="24"/>
        </w:rPr>
        <w:footnoteReference w:id="22"/>
      </w:r>
      <w:r>
        <w:rPr>
          <w:rFonts w:ascii="Times New Roman" w:hAnsi="Times New Roman"/>
          <w:noProof/>
          <w:sz w:val="24"/>
        </w:rPr>
        <w:t>. На последно място, ЕС насърчава диалога с регионални организации като АСЕАН</w:t>
      </w:r>
      <w:r>
        <w:rPr>
          <w:rStyle w:val="FootnoteReference"/>
          <w:rFonts w:ascii="Times New Roman" w:hAnsi="Times New Roman"/>
          <w:noProof/>
          <w:sz w:val="24"/>
        </w:rPr>
        <w:footnoteReference w:id="23"/>
      </w:r>
      <w:r>
        <w:rPr>
          <w:rFonts w:ascii="Times New Roman" w:hAnsi="Times New Roman"/>
          <w:noProof/>
          <w:sz w:val="24"/>
        </w:rPr>
        <w:t xml:space="preserve"> и Африканския съюз с цел по-успешно справяне с незаконната търговия с екземпляри от дивата флора и фауна.</w:t>
      </w:r>
    </w:p>
    <w:p>
      <w:pPr>
        <w:spacing w:line="240" w:lineRule="auto"/>
        <w:jc w:val="both"/>
        <w:rPr>
          <w:rFonts w:ascii="Times New Roman" w:hAnsi="Times New Roman" w:cs="Times New Roman"/>
          <w:noProof/>
          <w:sz w:val="24"/>
          <w:szCs w:val="24"/>
        </w:rPr>
      </w:pPr>
      <w:r>
        <w:rPr>
          <w:rFonts w:ascii="Times New Roman" w:hAnsi="Times New Roman"/>
          <w:noProof/>
          <w:sz w:val="24"/>
        </w:rPr>
        <w:t>Редица държави членки мобилизират своите дипломатически мрежи срещу трафика на екземпляри от дивата флора и фауна. През октомври 2018 г. Обединеното кралство ще организира конференция на високо равнище, посветена на този въпрос</w:t>
      </w:r>
      <w:r>
        <w:rPr>
          <w:rStyle w:val="FootnoteReference"/>
          <w:rFonts w:ascii="Times New Roman" w:hAnsi="Times New Roman"/>
          <w:noProof/>
          <w:sz w:val="24"/>
        </w:rPr>
        <w:footnoteReference w:id="24"/>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b/>
          <w:noProof/>
          <w:sz w:val="24"/>
        </w:rPr>
        <w:t>ЕС също полага активни усилия на многостранно равнище</w:t>
      </w:r>
      <w:r>
        <w:rPr>
          <w:rFonts w:ascii="Times New Roman" w:hAnsi="Times New Roman"/>
          <w:b/>
          <w:noProof/>
          <w:sz w:val="24"/>
          <w:lang w:val="en-GB"/>
        </w:rPr>
        <w:t xml:space="preserve"> </w:t>
      </w:r>
      <w:r>
        <w:rPr>
          <w:rFonts w:ascii="Times New Roman" w:hAnsi="Times New Roman"/>
          <w:noProof/>
          <w:sz w:val="24"/>
          <w:lang w:val="en-GB"/>
        </w:rPr>
        <w:t>—</w:t>
      </w:r>
      <w:r>
        <w:rPr>
          <w:rFonts w:ascii="Times New Roman" w:hAnsi="Times New Roman"/>
          <w:noProof/>
          <w:sz w:val="24"/>
        </w:rPr>
        <w:t xml:space="preserve"> по-специално в контекста на CITES, която е основният многостранен инструмент срещу трафика на екземпляри от дивата флора и фауна и за прилагането на която ЕС осигурява финансово подпомагане. На заседанието на CoP17 и на заседанието на Постоянния комитет през 2017 г. ЕС активно настояваше за приемането на целеви препоръки и санкции с цел подпомагане на борбата срещу трафика на слонова кост, рогове от носорози, розово дърво и тигри. </w:t>
      </w:r>
    </w:p>
    <w:p>
      <w:pPr>
        <w:spacing w:line="240" w:lineRule="auto"/>
        <w:jc w:val="both"/>
        <w:rPr>
          <w:rFonts w:ascii="Times New Roman" w:hAnsi="Times New Roman"/>
          <w:noProof/>
          <w:sz w:val="24"/>
        </w:rPr>
      </w:pPr>
      <w:r>
        <w:rPr>
          <w:rFonts w:ascii="Times New Roman" w:hAnsi="Times New Roman"/>
          <w:noProof/>
          <w:sz w:val="24"/>
        </w:rPr>
        <w:t>ЕС и редица държави членки са активни участници в дискусиите относно незаконния лов, залагането на капани и търговията с птици — например в рамките на специалната група от експерти, създадена съгласно Конвенцията за опазване на дивата европейска флора и фауна и природните местообитания (Бернската конвенция). Те насърчиха включването на трафика на екземпляри от дивата флора и фауна в дневния ред на ООН, Г-20, Г-7 и други международни форуми. Необходими са допълнителни усилия, за да може този трафик да бъде включен в дневния ред на други компетентни международни организации и форуми, като например Конвенцията на ООН срещу корупцията, Конвенцията на ООН срещу транснационалната организирана престъпност и Специалната група за финансови действия.</w:t>
      </w:r>
    </w:p>
    <w:p>
      <w:pPr>
        <w:pStyle w:val="Heading1"/>
        <w:spacing w:before="200" w:after="240"/>
        <w:rPr>
          <w:rFonts w:ascii="Times New Roman" w:hAnsi="Times New Roman" w:cs="Times New Roman"/>
          <w:noProof/>
          <w:color w:val="auto"/>
        </w:rPr>
      </w:pPr>
      <w:r>
        <w:rPr>
          <w:rFonts w:ascii="Times New Roman" w:hAnsi="Times New Roman"/>
          <w:noProof/>
          <w:color w:val="auto"/>
        </w:rPr>
        <w:t>3. Заключение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Планът за действие привлече значително политическо внимание и подкрепа на равнището на ЕС. Една от първите положителни последици в този аспект беше засиленото поставяне на трафика на екземпляри от дивата флора и фауна на вниманието на широк кръг от създатели на политики, правоприлагащи органи и заинтересовани страни в ЕС като приоритетен въпрос. Това доведе до приемането на редица инициативи на европейско и национално равнище с цел постигане на целите на плана за действие. Налице бяха и други положителни резултати: повече мерки за правоприлагане в ЕС, ангажимент от страна на участници от частния сектор с цел подпомагане на борбата срещу незаконния трафик на екземпляри от дивата флора и фауна, забрана за износ на необработена слонова кост, решителни предложения срещу трафика на екземпляри от дивата флора и фауна от страна на ЕС на многостранни форуми (по-специално в рамките на CITES), увеличаване на финансирането от ЕС за изграждане на капацитет и международни действия срещу трафика на екземпляри от дивата флора и фауна, както и мобилизиране на дипломатическите мрежи на ЕС и държавите членки в редица трети държави срещу този проблем.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Като цяло беше постигнат добър напредък по отношение на повечето от 32-те действия, заложени в плана за действие. Най-добрите показатели за оценката на неговото въздействие са нивата на бракониерство и трафик. Въпреки някои окуражаващи признаци (по-специално намаляването на нивата на бракониерство на слонове и носорози през последните години) трафикът на екземпляри от дивата флора и фауна все още е интензивен и представлява сериозна заплаха за биологичното разнообразие, върховенството на закона и устойчивото развитие. Следователно няма съмнение, че приоритетите и целите, изложени в плана за действие, продължават да бъдат целесъобразни и актуални.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ЕС и неговите държави членки следва да увеличат усилията си за постигане на целите на плана за действие до 2020 г., когато ще бъде анализирана необходимостта от последващи действия. Това е от значение и за постигане на цел 15.7 от цел 15 от целите за устойчиво развитие, в която се призовава за предприемането на спешни мерки, за да се сложи край на бракониерството и трафика на защитени видове на флората и фауната, както и на търсенето и предлагането на продукти от видове от дивата флора и фауна</w:t>
      </w:r>
      <w:r>
        <w:rPr>
          <w:rStyle w:val="FootnoteReference"/>
          <w:rFonts w:ascii="Times New Roman" w:hAnsi="Times New Roman"/>
          <w:noProof/>
          <w:sz w:val="24"/>
        </w:rPr>
        <w:footnoteReference w:id="25"/>
      </w:r>
      <w:r>
        <w:rPr>
          <w:rFonts w:ascii="Times New Roman" w:hAnsi="Times New Roman"/>
          <w:noProof/>
          <w:sz w:val="24"/>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6" w:bottom="1134" w:left="1440"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E2DB10" w15:done="0"/>
  <w15:commentEx w15:paraId="49888ADC" w15:done="0"/>
  <w15:commentEx w15:paraId="2F12F31E" w15:done="0"/>
  <w15:commentEx w15:paraId="6C8CA6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68C54" w16cid:durableId="1ED3D1B0"/>
  <w16cid:commentId w16cid:paraId="37BB785D" w16cid:durableId="1ED3D1B4"/>
  <w16cid:commentId w16cid:paraId="25BAC929" w16cid:durableId="1ED3D1B5"/>
  <w16cid:commentId w16cid:paraId="49888ADC" w16cid:durableId="1ED3D1B7"/>
  <w16cid:commentId w16cid:paraId="2F12F31E" w16cid:durableId="1ED3D1BF"/>
  <w16cid:commentId w16cid:paraId="6C8CA6A6" w16cid:durableId="1ED3D1C0"/>
  <w16cid:commentId w16cid:paraId="05855E58" w16cid:durableId="1ED3EC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5436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240"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http://eur-lex.europa.eu/legal-content/BG/TXT/?uri=COM:2016:87:FIN</w:t>
        </w:r>
      </w:hyperlink>
      <w:r>
        <w:rPr>
          <w:rFonts w:ascii="Times New Roman" w:hAnsi="Times New Roman"/>
        </w:rPr>
        <w:t xml:space="preserve"> </w:t>
      </w:r>
    </w:p>
  </w:footnote>
  <w:footnote w:id="3">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http://data.consilium.europa.eu/doc/document/ST-10512-2016-INIT/bg/pdf</w:t>
        </w:r>
      </w:hyperlink>
      <w:r>
        <w:rPr>
          <w:rFonts w:ascii="Times New Roman" w:hAnsi="Times New Roman"/>
        </w:rPr>
        <w:t xml:space="preserve"> </w:t>
      </w:r>
    </w:p>
  </w:footnote>
  <w:footnote w:id="4">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http://www.europarl.europa.eu/sides/getDoc.do?pubRef=-//EP//TEXT+TA+P8-TA-2016-0454+0+DOC+XML+V0//BG</w:t>
        </w:r>
      </w:hyperlink>
      <w:r>
        <w:rPr>
          <w:rFonts w:ascii="Times New Roman" w:hAnsi="Times New Roman"/>
        </w:rPr>
        <w:t xml:space="preserve"> </w:t>
      </w:r>
    </w:p>
  </w:footnote>
  <w:footnote w:id="5">
    <w:p>
      <w:pPr>
        <w:pStyle w:val="FootnoteText"/>
        <w:tabs>
          <w:tab w:val="left" w:pos="284"/>
        </w:tabs>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http://ec.europa.eu/environment/cites/trafficking_en.htm</w:t>
        </w:r>
      </w:hyperlink>
      <w:r>
        <w:rPr>
          <w:rFonts w:ascii="Times New Roman" w:hAnsi="Times New Roman"/>
        </w:rPr>
        <w:t xml:space="preserve"> </w:t>
      </w:r>
    </w:p>
  </w:footnote>
  <w:footnote w:id="6">
    <w:p>
      <w:pPr>
        <w:pStyle w:val="FootnoteText"/>
        <w:tabs>
          <w:tab w:val="left" w:pos="284"/>
        </w:tabs>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http://ec.europa.eu/environment/cites/pdf/guidance_ivory.pdf</w:t>
        </w:r>
      </w:hyperlink>
    </w:p>
  </w:footnote>
  <w:footnote w:id="7">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Информация за консултацията и анализът на получените отговори са публикувани на </w:t>
      </w:r>
      <w:hyperlink r:id="rId6">
        <w:r>
          <w:rPr>
            <w:rStyle w:val="Hyperlink"/>
            <w:rFonts w:ascii="Times New Roman" w:hAnsi="Times New Roman"/>
          </w:rPr>
          <w:t>https://ec.europa.eu/info/consultations/public-consultation-ivory-trade-eu_en</w:t>
        </w:r>
      </w:hyperlink>
      <w:r>
        <w:rPr>
          <w:rFonts w:ascii="Times New Roman" w:hAnsi="Times New Roman"/>
        </w:rPr>
        <w:t xml:space="preserve"> </w:t>
      </w:r>
    </w:p>
  </w:footnote>
  <w:footnote w:id="8">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tab/>
      </w:r>
      <w:hyperlink r:id="rId7">
        <w:r>
          <w:rPr>
            <w:rStyle w:val="Hyperlink"/>
            <w:rFonts w:ascii="Times New Roman" w:hAnsi="Times New Roman"/>
          </w:rPr>
          <w:t>https://eur-lex.europa.eu/legal-content/BG/TXT/PDF/?uri=CELEX:52018DC0010&amp;rid=2</w:t>
        </w:r>
      </w:hyperlink>
      <w:r>
        <w:rPr>
          <w:rFonts w:ascii="Times New Roman" w:hAnsi="Times New Roman"/>
        </w:rPr>
        <w:t xml:space="preserve"> </w:t>
      </w:r>
    </w:p>
  </w:footnote>
  <w:footnote w:id="9">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Подробности относно отделните действия съгласно Плана за действие за спазването на законодателството и управлението в областта на околната среда се съдържат в приложение 1 към работния документ на службите на Комисията SWD(2018) 10 final. </w:t>
      </w:r>
    </w:p>
  </w:footnote>
  <w:footnote w:id="10">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8">
        <w:r>
          <w:rPr>
            <w:rStyle w:val="Hyperlink"/>
            <w:rFonts w:ascii="Times New Roman" w:hAnsi="Times New Roman"/>
          </w:rPr>
          <w:t>https://www.europol.europa.eu/newsroom/news/eu-law-enforcement-step-efforts-to-protect-environment-%E2%80%93-48-arrested-for-trafficking-endangered-species</w:t>
        </w:r>
      </w:hyperlink>
      <w:r>
        <w:rPr>
          <w:rFonts w:ascii="Times New Roman" w:hAnsi="Times New Roman"/>
        </w:rPr>
        <w:t xml:space="preserve"> </w:t>
      </w:r>
    </w:p>
  </w:footnote>
  <w:footnote w:id="11">
    <w:p>
      <w:pPr>
        <w:pStyle w:val="FootnoteText"/>
        <w:tabs>
          <w:tab w:val="left" w:pos="284"/>
        </w:tabs>
        <w:ind w:left="284" w:hanging="284"/>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Агенция на Европейския съюз за обучение в областта на правоприлагането  — </w:t>
      </w:r>
      <w:hyperlink r:id="rId9">
        <w:r>
          <w:rPr>
            <w:rStyle w:val="Hyperlink"/>
            <w:rFonts w:ascii="Times New Roman" w:hAnsi="Times New Roman"/>
          </w:rPr>
          <w:t>https://www.cepol.europa.eu/bg</w:t>
        </w:r>
      </w:hyperlink>
      <w:r>
        <w:rPr>
          <w:rFonts w:ascii="Times New Roman" w:hAnsi="Times New Roman"/>
        </w:rPr>
        <w:t xml:space="preserve"> </w:t>
      </w:r>
    </w:p>
  </w:footnote>
  <w:footnote w:id="12">
    <w:p>
      <w:pPr>
        <w:pStyle w:val="FootnoteText"/>
        <w:tabs>
          <w:tab w:val="left" w:pos="284"/>
        </w:tabs>
        <w:ind w:left="284" w:hanging="284"/>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hyperlink r:id="rId10">
        <w:r>
          <w:rPr>
            <w:rStyle w:val="Hyperlink"/>
            <w:rFonts w:ascii="Times New Roman" w:hAnsi="Times New Roman"/>
          </w:rPr>
          <w:t>http://ec.europa.eu/environment/life/</w:t>
        </w:r>
      </w:hyperlink>
      <w:r>
        <w:rPr>
          <w:rFonts w:ascii="Times New Roman" w:hAnsi="Times New Roman"/>
        </w:rPr>
        <w:t xml:space="preserve"> </w:t>
      </w:r>
    </w:p>
  </w:footnote>
  <w:footnote w:id="13">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1">
        <w:r>
          <w:rPr>
            <w:rStyle w:val="Hyperlink"/>
            <w:rFonts w:ascii="Times New Roman" w:hAnsi="Times New Roman"/>
          </w:rPr>
          <w:t>https://esetri.wwf.bg/the-project/</w:t>
        </w:r>
      </w:hyperlink>
      <w:r>
        <w:rPr>
          <w:rFonts w:ascii="Times New Roman" w:hAnsi="Times New Roman"/>
        </w:rPr>
        <w:t xml:space="preserve"> </w:t>
      </w:r>
    </w:p>
  </w:footnote>
  <w:footnote w:id="14">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2">
        <w:r>
          <w:rPr>
            <w:rStyle w:val="Hyperlink"/>
            <w:rFonts w:ascii="Times New Roman" w:hAnsi="Times New Roman"/>
          </w:rPr>
          <w:t>http://ec.europa.eu/environment/nature/conservation/wildbirds/docs/Roadmap%20illegal%20killing.pdf</w:t>
        </w:r>
      </w:hyperlink>
    </w:p>
  </w:footnote>
  <w:footnote w:id="15">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3" w:anchor="True">
        <w:r>
          <w:rPr>
            <w:rStyle w:val="Hyperlink"/>
            <w:rFonts w:ascii="Times New Roman" w:hAnsi="Times New Roman"/>
          </w:rPr>
          <w:t>http://ec.europa.eu/environment/life/publications/lifepublications/lifefocus/documents/Wildlife_Crime_web-BG.pdf</w:t>
        </w:r>
      </w:hyperlink>
      <w:r>
        <w:rPr>
          <w:rFonts w:ascii="Times New Roman" w:hAnsi="Times New Roman"/>
        </w:rPr>
        <w:t xml:space="preserve"> </w:t>
      </w:r>
    </w:p>
  </w:footnote>
  <w:footnote w:id="16">
    <w:p>
      <w:pPr>
        <w:pStyle w:val="FootnoteText"/>
        <w:tabs>
          <w:tab w:val="left" w:pos="284"/>
        </w:tabs>
        <w:ind w:left="284" w:hanging="284"/>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hyperlink r:id="rId14">
        <w:r>
          <w:rPr>
            <w:rStyle w:val="Hyperlink"/>
            <w:rFonts w:ascii="Times New Roman" w:hAnsi="Times New Roman"/>
          </w:rPr>
          <w:t>https://ec.europa.eu/home-affairs/financing/fundings/security-and-safeguarding-liberties/internal-security-fund-police_en</w:t>
        </w:r>
      </w:hyperlink>
      <w:r>
        <w:rPr>
          <w:rFonts w:ascii="Times New Roman" w:hAnsi="Times New Roman"/>
        </w:rPr>
        <w:t xml:space="preserve"> </w:t>
      </w:r>
    </w:p>
  </w:footnote>
  <w:footnote w:id="17">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5">
        <w:r>
          <w:rPr>
            <w:rStyle w:val="Hyperlink"/>
            <w:rFonts w:ascii="Times New Roman" w:hAnsi="Times New Roman"/>
          </w:rPr>
          <w:t>http://ec.europa.eu/research/participants/portal/desktop/en/opportunities/isfp/topics/isfp-2017-ag-env.html</w:t>
        </w:r>
      </w:hyperlink>
      <w:r>
        <w:rPr>
          <w:rFonts w:ascii="Times New Roman" w:hAnsi="Times New Roman"/>
        </w:rPr>
        <w:t xml:space="preserve"> </w:t>
      </w:r>
    </w:p>
  </w:footnote>
  <w:footnote w:id="18">
    <w:p>
      <w:pPr>
        <w:pStyle w:val="FootnoteText"/>
        <w:ind w:left="284" w:hanging="284"/>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Приложението за мрежа за сигурен обмен на информация (SIENA) е комуникационна платформа за правоприлагащите органи, която се управлява от Европол. </w:t>
      </w:r>
      <w:hyperlink r:id="rId16">
        <w:r>
          <w:rPr>
            <w:rStyle w:val="Hyperlink"/>
            <w:rFonts w:ascii="Times New Roman" w:hAnsi="Times New Roman"/>
          </w:rPr>
          <w:t>https://www.europol.europa.eu/activities-services/services-support/information-exchange/secure-information-exchange-network-application-siena</w:t>
        </w:r>
      </w:hyperlink>
      <w:r>
        <w:rPr>
          <w:rFonts w:ascii="Times New Roman" w:hAnsi="Times New Roman"/>
        </w:rPr>
        <w:t xml:space="preserve"> </w:t>
      </w:r>
    </w:p>
  </w:footnote>
  <w:footnote w:id="1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TRAFFIC е организация на гражданското общество, която работи по въпроси, свързани с търговията с екземпляри от дивата флора и фауна.</w:t>
      </w:r>
    </w:p>
  </w:footnote>
  <w:footnote w:id="20">
    <w:p>
      <w:pPr>
        <w:pStyle w:val="FootnoteText"/>
        <w:tabs>
          <w:tab w:val="left" w:pos="284"/>
        </w:tabs>
        <w:ind w:left="284" w:hanging="284"/>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Мониторинг на незаконното избиване на слонове. Вж.: </w:t>
      </w:r>
      <w:hyperlink r:id="rId17">
        <w:r>
          <w:rPr>
            <w:rStyle w:val="Hyperlink"/>
            <w:rFonts w:ascii="Times New Roman" w:hAnsi="Times New Roman"/>
          </w:rPr>
          <w:t>https://cites.org/eng/prog/mike/index.php</w:t>
        </w:r>
      </w:hyperlink>
      <w:r>
        <w:rPr>
          <w:rFonts w:ascii="Times New Roman" w:hAnsi="Times New Roman"/>
        </w:rPr>
        <w:t xml:space="preserve"> </w:t>
      </w:r>
    </w:p>
  </w:footnote>
  <w:footnote w:id="21">
    <w:p>
      <w:pPr>
        <w:pStyle w:val="FootnoteText"/>
        <w:tabs>
          <w:tab w:val="left" w:pos="284"/>
        </w:tabs>
        <w:ind w:left="284" w:right="-164" w:hanging="284"/>
        <w:rPr>
          <w:rFonts w:ascii="Times New Roman" w:hAnsi="Times New Roman" w:cs="Times New Roman"/>
        </w:rPr>
      </w:pPr>
      <w:r>
        <w:rPr>
          <w:rStyle w:val="FootnoteReference"/>
          <w:rFonts w:ascii="Times New Roman" w:hAnsi="Times New Roman"/>
        </w:rPr>
        <w:footnoteRef/>
      </w:r>
      <w:r>
        <w:tab/>
      </w:r>
      <w:hyperlink r:id="rId18">
        <w:r>
          <w:rPr>
            <w:rStyle w:val="Hyperlink"/>
            <w:rFonts w:ascii="Times New Roman" w:hAnsi="Times New Roman"/>
          </w:rPr>
          <w:t>http://www.africanelephantfund.org/</w:t>
        </w:r>
      </w:hyperlink>
    </w:p>
  </w:footnote>
  <w:footnote w:id="22">
    <w:p>
      <w:pPr>
        <w:pStyle w:val="FootnoteText"/>
        <w:tabs>
          <w:tab w:val="left" w:pos="284"/>
        </w:tabs>
        <w:ind w:left="284" w:hanging="284"/>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Обща схема от преференции — </w:t>
      </w:r>
      <w:hyperlink r:id="rId19">
        <w:r>
          <w:rPr>
            <w:rStyle w:val="Hyperlink"/>
            <w:rFonts w:ascii="Times New Roman" w:hAnsi="Times New Roman"/>
          </w:rPr>
          <w:t>http://ec.europa.eu/trade/policy/countries-and-regions/development/generalised-scheme-of-preferences/index_en.htm</w:t>
        </w:r>
      </w:hyperlink>
    </w:p>
  </w:footnote>
  <w:footnote w:id="23">
    <w:p>
      <w:pPr>
        <w:pStyle w:val="FootnoteText"/>
        <w:tabs>
          <w:tab w:val="left" w:pos="284"/>
        </w:tabs>
        <w:ind w:left="284" w:hanging="284"/>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Асоциация на народите от Югоизточна Азия.</w:t>
      </w:r>
    </w:p>
  </w:footnote>
  <w:footnote w:id="24">
    <w:p>
      <w:pPr>
        <w:pStyle w:val="FootnoteText"/>
        <w:tabs>
          <w:tab w:val="left" w:pos="142"/>
          <w:tab w:val="left" w:pos="284"/>
        </w:tabs>
        <w:ind w:left="284" w:right="-448"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0">
        <w:r>
          <w:rPr>
            <w:rStyle w:val="Hyperlink"/>
            <w:rFonts w:ascii="Times New Roman" w:hAnsi="Times New Roman"/>
          </w:rPr>
          <w:t>http://www.illegalwildlifetrade.net/2017/11/24/london-2018-illegal-wildlife-trade-conference-oct-10-11-2018/</w:t>
        </w:r>
      </w:hyperlink>
      <w:r>
        <w:rPr>
          <w:rFonts w:ascii="Times New Roman" w:hAnsi="Times New Roman"/>
        </w:rPr>
        <w:t xml:space="preserve"> </w:t>
      </w:r>
    </w:p>
  </w:footnote>
  <w:footnote w:id="25">
    <w:p>
      <w:pPr>
        <w:pStyle w:val="FootnoteText"/>
        <w:ind w:left="284" w:hanging="284"/>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 xml:space="preserve"> </w:t>
      </w:r>
      <w:hyperlink r:id="rId21">
        <w:r>
          <w:rPr>
            <w:rStyle w:val="Hyperlink"/>
            <w:rFonts w:ascii="Times New Roman" w:hAnsi="Times New Roman"/>
          </w:rPr>
          <w:t>https://sustainabledevelopment.un.org/sdg15</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07F"/>
    <w:multiLevelType w:val="hybridMultilevel"/>
    <w:tmpl w:val="F608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C6068A"/>
    <w:multiLevelType w:val="hybridMultilevel"/>
    <w:tmpl w:val="1B6EB12A"/>
    <w:lvl w:ilvl="0" w:tplc="31C84D2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C664E28"/>
    <w:multiLevelType w:val="hybridMultilevel"/>
    <w:tmpl w:val="1490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277E0B"/>
    <w:multiLevelType w:val="hybridMultilevel"/>
    <w:tmpl w:val="922063D0"/>
    <w:lvl w:ilvl="0" w:tplc="FBA6AF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456F6D"/>
    <w:multiLevelType w:val="hybridMultilevel"/>
    <w:tmpl w:val="935A4FA8"/>
    <w:lvl w:ilvl="0" w:tplc="13F29A44">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4EA731E8"/>
    <w:multiLevelType w:val="hybridMultilevel"/>
    <w:tmpl w:val="BF82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2B5D3F"/>
    <w:multiLevelType w:val="hybridMultilevel"/>
    <w:tmpl w:val="5382F25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nsid w:val="624B34C2"/>
    <w:multiLevelType w:val="hybridMultilevel"/>
    <w:tmpl w:val="3934F26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nsid w:val="6E05164B"/>
    <w:multiLevelType w:val="hybridMultilevel"/>
    <w:tmpl w:val="5C349A6E"/>
    <w:lvl w:ilvl="0" w:tplc="721643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5C23A0"/>
    <w:multiLevelType w:val="hybridMultilevel"/>
    <w:tmpl w:val="CF825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DA90B60"/>
    <w:multiLevelType w:val="hybridMultilevel"/>
    <w:tmpl w:val="0C64A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2"/>
  </w:num>
  <w:num w:numId="4">
    <w:abstractNumId w:val="8"/>
  </w:num>
  <w:num w:numId="5">
    <w:abstractNumId w:val="10"/>
  </w:num>
  <w:num w:numId="6">
    <w:abstractNumId w:val="9"/>
  </w:num>
  <w:num w:numId="7">
    <w:abstractNumId w:val="1"/>
  </w:num>
  <w:num w:numId="8">
    <w:abstractNumId w:val="6"/>
  </w:num>
  <w:num w:numId="9">
    <w:abstractNumId w:val="7"/>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o">
    <w15:presenceInfo w15:providerId="None" w15:userId="Leo"/>
  </w15:person>
  <w15:person w15:author="FEEHAN Elena">
    <w15:presenceInfo w15:providerId="None" w15:userId="FEEHAN El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Formatting/>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B0A64AF-D501-4ECF-8DC4-255FDE642F68"/>
    <w:docVar w:name="LW_COVERPAGE_TYPE" w:val="1"/>
    <w:docVar w:name="LW_CROSSREFERENCE" w:val="{SWD(2018) 452 final}"/>
    <w:docVar w:name="LW_DocType" w:val="NORMAL"/>
    <w:docVar w:name="LW_EMISSION" w:val="24.10.2018"/>
    <w:docVar w:name="LW_EMISSION_ISODATE" w:val="2018-10-24"/>
    <w:docVar w:name="LW_EMISSION_LOCATION" w:val="BRX"/>
    <w:docVar w:name="LW_EMISSION_PREFIX" w:val="Брюксел, "/>
    <w:docVar w:name="LW_EMISSION_SUFFIX" w:val=" \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4?\u1086?\u1082?\u1083?\u1072?\u1076? \u1079?\u1072? \u1085?\u1072?\u1087?\u1088?\u1077?\u1076?\u1098?\u1082?\u1072? \u1087?\u1088?\u1080? \u1080?\u1079?\u1087?\u1098?\u1083?\u1085?\u1077?\u1085?\u1080?\u1077?\u1090?\u1086? \u1085?\u1072? \u1055?\u1083?\u1072?\u1085?\u1072? \u1079?\u1072? \u1076?\u1077?\u1081?\u1089?\u1090?\u1074?\u1080?\u1077? \u1085?\u1072? \u1045?\u1057? \u1089?\u1088?\u1077?\u1097?\u1091? \u1090?\u1088?\u1072?\u1092?\u1080?\u1082?\u1072? \u1085?\u1072? \u1077?\u1082?\u1079?\u1077?\u1084?\u1087?\u1083?\u1103?\u1088?\u1080? \u1086?\u1090? \u1076?\u1080?\u1074?\u1072?\u1090?\u1072? \u1092?\u1083?\u1086?\u1088?\u1072? \u1080? \u1092?\u1072?\u1091?\u1085?\u1072?"/>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eastAsiaTheme="minorHAnsi"/>
      <w:szCs w:val="22"/>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eastAsiaTheme="minorHAnsi"/>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eastAsiaTheme="minorHAnsi"/>
      <w:b/>
      <w:szCs w:val="22"/>
    </w:rPr>
  </w:style>
  <w:style w:type="paragraph" w:styleId="ListParagraph">
    <w:name w:val="List Paragraph"/>
    <w:basedOn w:val="Normal"/>
    <w:uiPriority w:val="34"/>
    <w:qFormat/>
    <w:pPr>
      <w:ind w:left="720"/>
    </w:pPr>
    <w:rPr>
      <w:rFonts w:ascii="Calibri" w:hAnsi="Calibri" w:cs="Times New Roman"/>
    </w:r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eastAsiaTheme="minorHAnsi"/>
      <w:b w:val="0"/>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HAnsi"/>
      <w:b w:val="0"/>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b/>
      <w:bCs/>
      <w:i w:val="0"/>
      <w:iCs w:val="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eastAsia="Times New Roman"/>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character" w:customStyle="1" w:styleId="Mentionnonrsolue1">
    <w:name w:val="Mention non résolue1"/>
    <w:basedOn w:val="DefaultParagraphFont"/>
    <w:uiPriority w:val="99"/>
    <w:semiHidden/>
    <w:unhideWhenUsed/>
    <w:rPr>
      <w:color w:val="808080"/>
      <w:shd w:val="clear" w:color="auto" w:fill="E6E6E6"/>
    </w:rPr>
  </w:style>
  <w:style w:type="character" w:customStyle="1" w:styleId="y0nh2b">
    <w:name w:val="y0nh2b"/>
  </w:style>
  <w:style w:type="character" w:customStyle="1" w:styleId="NichtaufgelsteErwhnung1">
    <w:name w:val="Nicht aufgelöste Erwähnung1"/>
    <w:basedOn w:val="DefaultParagraphFont"/>
    <w:uiPriority w:val="99"/>
    <w:semiHidden/>
    <w:unhideWhenUse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eastAsiaTheme="minorHAnsi"/>
      <w:szCs w:val="22"/>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eastAsiaTheme="minorHAnsi"/>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eastAsiaTheme="minorHAnsi"/>
      <w:b/>
      <w:szCs w:val="22"/>
    </w:rPr>
  </w:style>
  <w:style w:type="paragraph" w:styleId="ListParagraph">
    <w:name w:val="List Paragraph"/>
    <w:basedOn w:val="Normal"/>
    <w:uiPriority w:val="34"/>
    <w:qFormat/>
    <w:pPr>
      <w:ind w:left="720"/>
    </w:pPr>
    <w:rPr>
      <w:rFonts w:ascii="Calibri" w:hAnsi="Calibri" w:cs="Times New Roman"/>
    </w:r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eastAsiaTheme="minorHAnsi"/>
      <w:b w:val="0"/>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HAnsi"/>
      <w:b w:val="0"/>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b/>
      <w:bCs/>
      <w:i w:val="0"/>
      <w:iCs w:val="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eastAsia="Times New Roman"/>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character" w:customStyle="1" w:styleId="Mentionnonrsolue1">
    <w:name w:val="Mention non résolue1"/>
    <w:basedOn w:val="DefaultParagraphFont"/>
    <w:uiPriority w:val="99"/>
    <w:semiHidden/>
    <w:unhideWhenUsed/>
    <w:rPr>
      <w:color w:val="808080"/>
      <w:shd w:val="clear" w:color="auto" w:fill="E6E6E6"/>
    </w:rPr>
  </w:style>
  <w:style w:type="character" w:customStyle="1" w:styleId="y0nh2b">
    <w:name w:val="y0nh2b"/>
  </w:style>
  <w:style w:type="character" w:customStyle="1" w:styleId="NichtaufgelsteErwhnung1">
    <w:name w:val="Nicht aufgelöste Erwähnung1"/>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541">
      <w:bodyDiv w:val="1"/>
      <w:marLeft w:val="0"/>
      <w:marRight w:val="0"/>
      <w:marTop w:val="0"/>
      <w:marBottom w:val="0"/>
      <w:divBdr>
        <w:top w:val="none" w:sz="0" w:space="0" w:color="auto"/>
        <w:left w:val="none" w:sz="0" w:space="0" w:color="auto"/>
        <w:bottom w:val="none" w:sz="0" w:space="0" w:color="auto"/>
        <w:right w:val="none" w:sz="0" w:space="0" w:color="auto"/>
      </w:divBdr>
    </w:div>
    <w:div w:id="39014085">
      <w:bodyDiv w:val="1"/>
      <w:marLeft w:val="0"/>
      <w:marRight w:val="0"/>
      <w:marTop w:val="0"/>
      <w:marBottom w:val="0"/>
      <w:divBdr>
        <w:top w:val="none" w:sz="0" w:space="0" w:color="auto"/>
        <w:left w:val="none" w:sz="0" w:space="0" w:color="auto"/>
        <w:bottom w:val="none" w:sz="0" w:space="0" w:color="auto"/>
        <w:right w:val="none" w:sz="0" w:space="0" w:color="auto"/>
      </w:divBdr>
    </w:div>
    <w:div w:id="115294992">
      <w:bodyDiv w:val="1"/>
      <w:marLeft w:val="0"/>
      <w:marRight w:val="0"/>
      <w:marTop w:val="0"/>
      <w:marBottom w:val="0"/>
      <w:divBdr>
        <w:top w:val="none" w:sz="0" w:space="0" w:color="auto"/>
        <w:left w:val="none" w:sz="0" w:space="0" w:color="auto"/>
        <w:bottom w:val="none" w:sz="0" w:space="0" w:color="auto"/>
        <w:right w:val="none" w:sz="0" w:space="0" w:color="auto"/>
      </w:divBdr>
    </w:div>
    <w:div w:id="119424649">
      <w:bodyDiv w:val="1"/>
      <w:marLeft w:val="0"/>
      <w:marRight w:val="0"/>
      <w:marTop w:val="0"/>
      <w:marBottom w:val="0"/>
      <w:divBdr>
        <w:top w:val="none" w:sz="0" w:space="0" w:color="auto"/>
        <w:left w:val="none" w:sz="0" w:space="0" w:color="auto"/>
        <w:bottom w:val="none" w:sz="0" w:space="0" w:color="auto"/>
        <w:right w:val="none" w:sz="0" w:space="0" w:color="auto"/>
      </w:divBdr>
    </w:div>
    <w:div w:id="188761767">
      <w:bodyDiv w:val="1"/>
      <w:marLeft w:val="0"/>
      <w:marRight w:val="0"/>
      <w:marTop w:val="0"/>
      <w:marBottom w:val="0"/>
      <w:divBdr>
        <w:top w:val="none" w:sz="0" w:space="0" w:color="auto"/>
        <w:left w:val="none" w:sz="0" w:space="0" w:color="auto"/>
        <w:bottom w:val="none" w:sz="0" w:space="0" w:color="auto"/>
        <w:right w:val="none" w:sz="0" w:space="0" w:color="auto"/>
      </w:divBdr>
    </w:div>
    <w:div w:id="263657795">
      <w:bodyDiv w:val="1"/>
      <w:marLeft w:val="0"/>
      <w:marRight w:val="0"/>
      <w:marTop w:val="0"/>
      <w:marBottom w:val="0"/>
      <w:divBdr>
        <w:top w:val="none" w:sz="0" w:space="0" w:color="auto"/>
        <w:left w:val="none" w:sz="0" w:space="0" w:color="auto"/>
        <w:bottom w:val="none" w:sz="0" w:space="0" w:color="auto"/>
        <w:right w:val="none" w:sz="0" w:space="0" w:color="auto"/>
      </w:divBdr>
      <w:divsChild>
        <w:div w:id="1636254605">
          <w:marLeft w:val="0"/>
          <w:marRight w:val="0"/>
          <w:marTop w:val="0"/>
          <w:marBottom w:val="0"/>
          <w:divBdr>
            <w:top w:val="none" w:sz="0" w:space="0" w:color="auto"/>
            <w:left w:val="none" w:sz="0" w:space="0" w:color="auto"/>
            <w:bottom w:val="none" w:sz="0" w:space="0" w:color="auto"/>
            <w:right w:val="none" w:sz="0" w:space="0" w:color="auto"/>
          </w:divBdr>
          <w:divsChild>
            <w:div w:id="129326242">
              <w:marLeft w:val="0"/>
              <w:marRight w:val="0"/>
              <w:marTop w:val="0"/>
              <w:marBottom w:val="0"/>
              <w:divBdr>
                <w:top w:val="none" w:sz="0" w:space="0" w:color="auto"/>
                <w:left w:val="none" w:sz="0" w:space="0" w:color="auto"/>
                <w:bottom w:val="none" w:sz="0" w:space="0" w:color="auto"/>
                <w:right w:val="none" w:sz="0" w:space="0" w:color="auto"/>
              </w:divBdr>
              <w:divsChild>
                <w:div w:id="582641081">
                  <w:marLeft w:val="0"/>
                  <w:marRight w:val="0"/>
                  <w:marTop w:val="0"/>
                  <w:marBottom w:val="0"/>
                  <w:divBdr>
                    <w:top w:val="none" w:sz="0" w:space="0" w:color="auto"/>
                    <w:left w:val="none" w:sz="0" w:space="0" w:color="auto"/>
                    <w:bottom w:val="none" w:sz="0" w:space="0" w:color="auto"/>
                    <w:right w:val="none" w:sz="0" w:space="0" w:color="auto"/>
                  </w:divBdr>
                  <w:divsChild>
                    <w:div w:id="963729301">
                      <w:marLeft w:val="1"/>
                      <w:marRight w:val="1"/>
                      <w:marTop w:val="0"/>
                      <w:marBottom w:val="0"/>
                      <w:divBdr>
                        <w:top w:val="none" w:sz="0" w:space="0" w:color="auto"/>
                        <w:left w:val="none" w:sz="0" w:space="0" w:color="auto"/>
                        <w:bottom w:val="none" w:sz="0" w:space="0" w:color="auto"/>
                        <w:right w:val="none" w:sz="0" w:space="0" w:color="auto"/>
                      </w:divBdr>
                      <w:divsChild>
                        <w:div w:id="485248227">
                          <w:marLeft w:val="0"/>
                          <w:marRight w:val="0"/>
                          <w:marTop w:val="0"/>
                          <w:marBottom w:val="0"/>
                          <w:divBdr>
                            <w:top w:val="none" w:sz="0" w:space="0" w:color="auto"/>
                            <w:left w:val="none" w:sz="0" w:space="0" w:color="auto"/>
                            <w:bottom w:val="none" w:sz="0" w:space="0" w:color="auto"/>
                            <w:right w:val="none" w:sz="0" w:space="0" w:color="auto"/>
                          </w:divBdr>
                          <w:divsChild>
                            <w:div w:id="1150363791">
                              <w:marLeft w:val="0"/>
                              <w:marRight w:val="0"/>
                              <w:marTop w:val="0"/>
                              <w:marBottom w:val="360"/>
                              <w:divBdr>
                                <w:top w:val="none" w:sz="0" w:space="0" w:color="auto"/>
                                <w:left w:val="none" w:sz="0" w:space="0" w:color="auto"/>
                                <w:bottom w:val="none" w:sz="0" w:space="0" w:color="auto"/>
                                <w:right w:val="none" w:sz="0" w:space="0" w:color="auto"/>
                              </w:divBdr>
                              <w:divsChild>
                                <w:div w:id="934754483">
                                  <w:marLeft w:val="0"/>
                                  <w:marRight w:val="0"/>
                                  <w:marTop w:val="0"/>
                                  <w:marBottom w:val="0"/>
                                  <w:divBdr>
                                    <w:top w:val="none" w:sz="0" w:space="0" w:color="auto"/>
                                    <w:left w:val="none" w:sz="0" w:space="0" w:color="auto"/>
                                    <w:bottom w:val="none" w:sz="0" w:space="0" w:color="auto"/>
                                    <w:right w:val="none" w:sz="0" w:space="0" w:color="auto"/>
                                  </w:divBdr>
                                  <w:divsChild>
                                    <w:div w:id="1068068706">
                                      <w:marLeft w:val="0"/>
                                      <w:marRight w:val="0"/>
                                      <w:marTop w:val="0"/>
                                      <w:marBottom w:val="0"/>
                                      <w:divBdr>
                                        <w:top w:val="none" w:sz="0" w:space="0" w:color="auto"/>
                                        <w:left w:val="none" w:sz="0" w:space="0" w:color="auto"/>
                                        <w:bottom w:val="none" w:sz="0" w:space="0" w:color="auto"/>
                                        <w:right w:val="none" w:sz="0" w:space="0" w:color="auto"/>
                                      </w:divBdr>
                                      <w:divsChild>
                                        <w:div w:id="1571689508">
                                          <w:marLeft w:val="0"/>
                                          <w:marRight w:val="0"/>
                                          <w:marTop w:val="0"/>
                                          <w:marBottom w:val="0"/>
                                          <w:divBdr>
                                            <w:top w:val="none" w:sz="0" w:space="0" w:color="auto"/>
                                            <w:left w:val="none" w:sz="0" w:space="0" w:color="auto"/>
                                            <w:bottom w:val="none" w:sz="0" w:space="0" w:color="auto"/>
                                            <w:right w:val="none" w:sz="0" w:space="0" w:color="auto"/>
                                          </w:divBdr>
                                          <w:divsChild>
                                            <w:div w:id="462968837">
                                              <w:marLeft w:val="0"/>
                                              <w:marRight w:val="0"/>
                                              <w:marTop w:val="0"/>
                                              <w:marBottom w:val="0"/>
                                              <w:divBdr>
                                                <w:top w:val="none" w:sz="0" w:space="0" w:color="auto"/>
                                                <w:left w:val="none" w:sz="0" w:space="0" w:color="auto"/>
                                                <w:bottom w:val="none" w:sz="0" w:space="0" w:color="auto"/>
                                                <w:right w:val="none" w:sz="0" w:space="0" w:color="auto"/>
                                              </w:divBdr>
                                              <w:divsChild>
                                                <w:div w:id="613515057">
                                                  <w:marLeft w:val="0"/>
                                                  <w:marRight w:val="0"/>
                                                  <w:marTop w:val="0"/>
                                                  <w:marBottom w:val="0"/>
                                                  <w:divBdr>
                                                    <w:top w:val="none" w:sz="0" w:space="0" w:color="auto"/>
                                                    <w:left w:val="none" w:sz="0" w:space="0" w:color="auto"/>
                                                    <w:bottom w:val="none" w:sz="0" w:space="0" w:color="auto"/>
                                                    <w:right w:val="none" w:sz="0" w:space="0" w:color="auto"/>
                                                  </w:divBdr>
                                                  <w:divsChild>
                                                    <w:div w:id="387805890">
                                                      <w:marLeft w:val="0"/>
                                                      <w:marRight w:val="0"/>
                                                      <w:marTop w:val="0"/>
                                                      <w:marBottom w:val="0"/>
                                                      <w:divBdr>
                                                        <w:top w:val="none" w:sz="0" w:space="0" w:color="auto"/>
                                                        <w:left w:val="none" w:sz="0" w:space="0" w:color="auto"/>
                                                        <w:bottom w:val="none" w:sz="0" w:space="0" w:color="auto"/>
                                                        <w:right w:val="none" w:sz="0" w:space="0" w:color="auto"/>
                                                      </w:divBdr>
                                                      <w:divsChild>
                                                        <w:div w:id="7219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421541">
      <w:bodyDiv w:val="1"/>
      <w:marLeft w:val="0"/>
      <w:marRight w:val="0"/>
      <w:marTop w:val="0"/>
      <w:marBottom w:val="0"/>
      <w:divBdr>
        <w:top w:val="none" w:sz="0" w:space="0" w:color="auto"/>
        <w:left w:val="none" w:sz="0" w:space="0" w:color="auto"/>
        <w:bottom w:val="none" w:sz="0" w:space="0" w:color="auto"/>
        <w:right w:val="none" w:sz="0" w:space="0" w:color="auto"/>
      </w:divBdr>
    </w:div>
    <w:div w:id="597063438">
      <w:bodyDiv w:val="1"/>
      <w:marLeft w:val="0"/>
      <w:marRight w:val="0"/>
      <w:marTop w:val="0"/>
      <w:marBottom w:val="0"/>
      <w:divBdr>
        <w:top w:val="none" w:sz="0" w:space="0" w:color="auto"/>
        <w:left w:val="none" w:sz="0" w:space="0" w:color="auto"/>
        <w:bottom w:val="none" w:sz="0" w:space="0" w:color="auto"/>
        <w:right w:val="none" w:sz="0" w:space="0" w:color="auto"/>
      </w:divBdr>
    </w:div>
    <w:div w:id="620068186">
      <w:bodyDiv w:val="1"/>
      <w:marLeft w:val="0"/>
      <w:marRight w:val="0"/>
      <w:marTop w:val="0"/>
      <w:marBottom w:val="0"/>
      <w:divBdr>
        <w:top w:val="none" w:sz="0" w:space="0" w:color="auto"/>
        <w:left w:val="none" w:sz="0" w:space="0" w:color="auto"/>
        <w:bottom w:val="none" w:sz="0" w:space="0" w:color="auto"/>
        <w:right w:val="none" w:sz="0" w:space="0" w:color="auto"/>
      </w:divBdr>
    </w:div>
    <w:div w:id="675351889">
      <w:bodyDiv w:val="1"/>
      <w:marLeft w:val="0"/>
      <w:marRight w:val="0"/>
      <w:marTop w:val="0"/>
      <w:marBottom w:val="0"/>
      <w:divBdr>
        <w:top w:val="none" w:sz="0" w:space="0" w:color="auto"/>
        <w:left w:val="none" w:sz="0" w:space="0" w:color="auto"/>
        <w:bottom w:val="none" w:sz="0" w:space="0" w:color="auto"/>
        <w:right w:val="none" w:sz="0" w:space="0" w:color="auto"/>
      </w:divBdr>
    </w:div>
    <w:div w:id="789519293">
      <w:bodyDiv w:val="1"/>
      <w:marLeft w:val="0"/>
      <w:marRight w:val="0"/>
      <w:marTop w:val="0"/>
      <w:marBottom w:val="0"/>
      <w:divBdr>
        <w:top w:val="none" w:sz="0" w:space="0" w:color="auto"/>
        <w:left w:val="none" w:sz="0" w:space="0" w:color="auto"/>
        <w:bottom w:val="none" w:sz="0" w:space="0" w:color="auto"/>
        <w:right w:val="none" w:sz="0" w:space="0" w:color="auto"/>
      </w:divBdr>
    </w:div>
    <w:div w:id="877468985">
      <w:bodyDiv w:val="1"/>
      <w:marLeft w:val="0"/>
      <w:marRight w:val="0"/>
      <w:marTop w:val="0"/>
      <w:marBottom w:val="0"/>
      <w:divBdr>
        <w:top w:val="none" w:sz="0" w:space="0" w:color="auto"/>
        <w:left w:val="none" w:sz="0" w:space="0" w:color="auto"/>
        <w:bottom w:val="none" w:sz="0" w:space="0" w:color="auto"/>
        <w:right w:val="none" w:sz="0" w:space="0" w:color="auto"/>
      </w:divBdr>
    </w:div>
    <w:div w:id="1097018684">
      <w:bodyDiv w:val="1"/>
      <w:marLeft w:val="0"/>
      <w:marRight w:val="0"/>
      <w:marTop w:val="0"/>
      <w:marBottom w:val="0"/>
      <w:divBdr>
        <w:top w:val="none" w:sz="0" w:space="0" w:color="auto"/>
        <w:left w:val="none" w:sz="0" w:space="0" w:color="auto"/>
        <w:bottom w:val="none" w:sz="0" w:space="0" w:color="auto"/>
        <w:right w:val="none" w:sz="0" w:space="0" w:color="auto"/>
      </w:divBdr>
    </w:div>
    <w:div w:id="1187250859">
      <w:bodyDiv w:val="1"/>
      <w:marLeft w:val="0"/>
      <w:marRight w:val="0"/>
      <w:marTop w:val="0"/>
      <w:marBottom w:val="0"/>
      <w:divBdr>
        <w:top w:val="none" w:sz="0" w:space="0" w:color="auto"/>
        <w:left w:val="none" w:sz="0" w:space="0" w:color="auto"/>
        <w:bottom w:val="none" w:sz="0" w:space="0" w:color="auto"/>
        <w:right w:val="none" w:sz="0" w:space="0" w:color="auto"/>
      </w:divBdr>
    </w:div>
    <w:div w:id="1268076028">
      <w:bodyDiv w:val="1"/>
      <w:marLeft w:val="0"/>
      <w:marRight w:val="0"/>
      <w:marTop w:val="0"/>
      <w:marBottom w:val="0"/>
      <w:divBdr>
        <w:top w:val="none" w:sz="0" w:space="0" w:color="auto"/>
        <w:left w:val="none" w:sz="0" w:space="0" w:color="auto"/>
        <w:bottom w:val="none" w:sz="0" w:space="0" w:color="auto"/>
        <w:right w:val="none" w:sz="0" w:space="0" w:color="auto"/>
      </w:divBdr>
    </w:div>
    <w:div w:id="1288782015">
      <w:bodyDiv w:val="1"/>
      <w:marLeft w:val="0"/>
      <w:marRight w:val="0"/>
      <w:marTop w:val="0"/>
      <w:marBottom w:val="0"/>
      <w:divBdr>
        <w:top w:val="none" w:sz="0" w:space="0" w:color="auto"/>
        <w:left w:val="none" w:sz="0" w:space="0" w:color="auto"/>
        <w:bottom w:val="none" w:sz="0" w:space="0" w:color="auto"/>
        <w:right w:val="none" w:sz="0" w:space="0" w:color="auto"/>
      </w:divBdr>
    </w:div>
    <w:div w:id="1336689269">
      <w:bodyDiv w:val="1"/>
      <w:marLeft w:val="0"/>
      <w:marRight w:val="0"/>
      <w:marTop w:val="0"/>
      <w:marBottom w:val="0"/>
      <w:divBdr>
        <w:top w:val="none" w:sz="0" w:space="0" w:color="auto"/>
        <w:left w:val="none" w:sz="0" w:space="0" w:color="auto"/>
        <w:bottom w:val="none" w:sz="0" w:space="0" w:color="auto"/>
        <w:right w:val="none" w:sz="0" w:space="0" w:color="auto"/>
      </w:divBdr>
    </w:div>
    <w:div w:id="1343705623">
      <w:bodyDiv w:val="1"/>
      <w:marLeft w:val="0"/>
      <w:marRight w:val="0"/>
      <w:marTop w:val="0"/>
      <w:marBottom w:val="0"/>
      <w:divBdr>
        <w:top w:val="none" w:sz="0" w:space="0" w:color="auto"/>
        <w:left w:val="none" w:sz="0" w:space="0" w:color="auto"/>
        <w:bottom w:val="none" w:sz="0" w:space="0" w:color="auto"/>
        <w:right w:val="none" w:sz="0" w:space="0" w:color="auto"/>
      </w:divBdr>
    </w:div>
    <w:div w:id="1392658797">
      <w:bodyDiv w:val="1"/>
      <w:marLeft w:val="0"/>
      <w:marRight w:val="0"/>
      <w:marTop w:val="0"/>
      <w:marBottom w:val="0"/>
      <w:divBdr>
        <w:top w:val="none" w:sz="0" w:space="0" w:color="auto"/>
        <w:left w:val="none" w:sz="0" w:space="0" w:color="auto"/>
        <w:bottom w:val="none" w:sz="0" w:space="0" w:color="auto"/>
        <w:right w:val="none" w:sz="0" w:space="0" w:color="auto"/>
      </w:divBdr>
    </w:div>
    <w:div w:id="1430731138">
      <w:bodyDiv w:val="1"/>
      <w:marLeft w:val="0"/>
      <w:marRight w:val="0"/>
      <w:marTop w:val="0"/>
      <w:marBottom w:val="0"/>
      <w:divBdr>
        <w:top w:val="none" w:sz="0" w:space="0" w:color="auto"/>
        <w:left w:val="none" w:sz="0" w:space="0" w:color="auto"/>
        <w:bottom w:val="none" w:sz="0" w:space="0" w:color="auto"/>
        <w:right w:val="none" w:sz="0" w:space="0" w:color="auto"/>
      </w:divBdr>
    </w:div>
    <w:div w:id="1573926003">
      <w:bodyDiv w:val="1"/>
      <w:marLeft w:val="0"/>
      <w:marRight w:val="0"/>
      <w:marTop w:val="0"/>
      <w:marBottom w:val="0"/>
      <w:divBdr>
        <w:top w:val="none" w:sz="0" w:space="0" w:color="auto"/>
        <w:left w:val="none" w:sz="0" w:space="0" w:color="auto"/>
        <w:bottom w:val="none" w:sz="0" w:space="0" w:color="auto"/>
        <w:right w:val="none" w:sz="0" w:space="0" w:color="auto"/>
      </w:divBdr>
    </w:div>
    <w:div w:id="1714112030">
      <w:bodyDiv w:val="1"/>
      <w:marLeft w:val="0"/>
      <w:marRight w:val="0"/>
      <w:marTop w:val="0"/>
      <w:marBottom w:val="0"/>
      <w:divBdr>
        <w:top w:val="none" w:sz="0" w:space="0" w:color="auto"/>
        <w:left w:val="none" w:sz="0" w:space="0" w:color="auto"/>
        <w:bottom w:val="none" w:sz="0" w:space="0" w:color="auto"/>
        <w:right w:val="none" w:sz="0" w:space="0" w:color="auto"/>
      </w:divBdr>
    </w:div>
    <w:div w:id="1795443209">
      <w:bodyDiv w:val="1"/>
      <w:marLeft w:val="0"/>
      <w:marRight w:val="0"/>
      <w:marTop w:val="0"/>
      <w:marBottom w:val="0"/>
      <w:divBdr>
        <w:top w:val="none" w:sz="0" w:space="0" w:color="auto"/>
        <w:left w:val="none" w:sz="0" w:space="0" w:color="auto"/>
        <w:bottom w:val="none" w:sz="0" w:space="0" w:color="auto"/>
        <w:right w:val="none" w:sz="0" w:space="0" w:color="auto"/>
      </w:divBdr>
    </w:div>
    <w:div w:id="1830628945">
      <w:bodyDiv w:val="1"/>
      <w:marLeft w:val="0"/>
      <w:marRight w:val="0"/>
      <w:marTop w:val="0"/>
      <w:marBottom w:val="0"/>
      <w:divBdr>
        <w:top w:val="none" w:sz="0" w:space="0" w:color="auto"/>
        <w:left w:val="none" w:sz="0" w:space="0" w:color="auto"/>
        <w:bottom w:val="none" w:sz="0" w:space="0" w:color="auto"/>
        <w:right w:val="none" w:sz="0" w:space="0" w:color="auto"/>
      </w:divBdr>
    </w:div>
    <w:div w:id="1867907613">
      <w:bodyDiv w:val="1"/>
      <w:marLeft w:val="0"/>
      <w:marRight w:val="0"/>
      <w:marTop w:val="0"/>
      <w:marBottom w:val="0"/>
      <w:divBdr>
        <w:top w:val="none" w:sz="0" w:space="0" w:color="auto"/>
        <w:left w:val="none" w:sz="0" w:space="0" w:color="auto"/>
        <w:bottom w:val="none" w:sz="0" w:space="0" w:color="auto"/>
        <w:right w:val="none" w:sz="0" w:space="0" w:color="auto"/>
      </w:divBdr>
    </w:div>
    <w:div w:id="1890606059">
      <w:bodyDiv w:val="1"/>
      <w:marLeft w:val="0"/>
      <w:marRight w:val="0"/>
      <w:marTop w:val="0"/>
      <w:marBottom w:val="0"/>
      <w:divBdr>
        <w:top w:val="none" w:sz="0" w:space="0" w:color="auto"/>
        <w:left w:val="none" w:sz="0" w:space="0" w:color="auto"/>
        <w:bottom w:val="none" w:sz="0" w:space="0" w:color="auto"/>
        <w:right w:val="none" w:sz="0" w:space="0" w:color="auto"/>
      </w:divBdr>
    </w:div>
    <w:div w:id="1924602786">
      <w:bodyDiv w:val="1"/>
      <w:marLeft w:val="0"/>
      <w:marRight w:val="0"/>
      <w:marTop w:val="0"/>
      <w:marBottom w:val="0"/>
      <w:divBdr>
        <w:top w:val="none" w:sz="0" w:space="0" w:color="auto"/>
        <w:left w:val="none" w:sz="0" w:space="0" w:color="auto"/>
        <w:bottom w:val="none" w:sz="0" w:space="0" w:color="auto"/>
        <w:right w:val="none" w:sz="0" w:space="0" w:color="auto"/>
      </w:divBdr>
      <w:divsChild>
        <w:div w:id="1144467739">
          <w:marLeft w:val="0"/>
          <w:marRight w:val="0"/>
          <w:marTop w:val="0"/>
          <w:marBottom w:val="0"/>
          <w:divBdr>
            <w:top w:val="none" w:sz="0" w:space="0" w:color="auto"/>
            <w:left w:val="none" w:sz="0" w:space="0" w:color="auto"/>
            <w:bottom w:val="none" w:sz="0" w:space="0" w:color="auto"/>
            <w:right w:val="none" w:sz="0" w:space="0" w:color="auto"/>
          </w:divBdr>
          <w:divsChild>
            <w:div w:id="141654733">
              <w:marLeft w:val="0"/>
              <w:marRight w:val="0"/>
              <w:marTop w:val="0"/>
              <w:marBottom w:val="0"/>
              <w:divBdr>
                <w:top w:val="none" w:sz="0" w:space="0" w:color="auto"/>
                <w:left w:val="none" w:sz="0" w:space="0" w:color="auto"/>
                <w:bottom w:val="none" w:sz="0" w:space="0" w:color="auto"/>
                <w:right w:val="none" w:sz="0" w:space="0" w:color="auto"/>
              </w:divBdr>
              <w:divsChild>
                <w:div w:id="640429933">
                  <w:marLeft w:val="0"/>
                  <w:marRight w:val="0"/>
                  <w:marTop w:val="0"/>
                  <w:marBottom w:val="0"/>
                  <w:divBdr>
                    <w:top w:val="none" w:sz="0" w:space="0" w:color="auto"/>
                    <w:left w:val="none" w:sz="0" w:space="0" w:color="auto"/>
                    <w:bottom w:val="none" w:sz="0" w:space="0" w:color="auto"/>
                    <w:right w:val="none" w:sz="0" w:space="0" w:color="auto"/>
                  </w:divBdr>
                  <w:divsChild>
                    <w:div w:id="1698038615">
                      <w:marLeft w:val="1"/>
                      <w:marRight w:val="1"/>
                      <w:marTop w:val="0"/>
                      <w:marBottom w:val="0"/>
                      <w:divBdr>
                        <w:top w:val="none" w:sz="0" w:space="0" w:color="auto"/>
                        <w:left w:val="none" w:sz="0" w:space="0" w:color="auto"/>
                        <w:bottom w:val="none" w:sz="0" w:space="0" w:color="auto"/>
                        <w:right w:val="none" w:sz="0" w:space="0" w:color="auto"/>
                      </w:divBdr>
                      <w:divsChild>
                        <w:div w:id="100612239">
                          <w:marLeft w:val="0"/>
                          <w:marRight w:val="0"/>
                          <w:marTop w:val="0"/>
                          <w:marBottom w:val="0"/>
                          <w:divBdr>
                            <w:top w:val="none" w:sz="0" w:space="0" w:color="auto"/>
                            <w:left w:val="none" w:sz="0" w:space="0" w:color="auto"/>
                            <w:bottom w:val="none" w:sz="0" w:space="0" w:color="auto"/>
                            <w:right w:val="none" w:sz="0" w:space="0" w:color="auto"/>
                          </w:divBdr>
                          <w:divsChild>
                            <w:div w:id="695081148">
                              <w:marLeft w:val="0"/>
                              <w:marRight w:val="0"/>
                              <w:marTop w:val="0"/>
                              <w:marBottom w:val="360"/>
                              <w:divBdr>
                                <w:top w:val="none" w:sz="0" w:space="0" w:color="auto"/>
                                <w:left w:val="none" w:sz="0" w:space="0" w:color="auto"/>
                                <w:bottom w:val="none" w:sz="0" w:space="0" w:color="auto"/>
                                <w:right w:val="none" w:sz="0" w:space="0" w:color="auto"/>
                              </w:divBdr>
                              <w:divsChild>
                                <w:div w:id="1624118515">
                                  <w:marLeft w:val="0"/>
                                  <w:marRight w:val="0"/>
                                  <w:marTop w:val="0"/>
                                  <w:marBottom w:val="0"/>
                                  <w:divBdr>
                                    <w:top w:val="none" w:sz="0" w:space="0" w:color="auto"/>
                                    <w:left w:val="none" w:sz="0" w:space="0" w:color="auto"/>
                                    <w:bottom w:val="none" w:sz="0" w:space="0" w:color="auto"/>
                                    <w:right w:val="none" w:sz="0" w:space="0" w:color="auto"/>
                                  </w:divBdr>
                                  <w:divsChild>
                                    <w:div w:id="330064325">
                                      <w:marLeft w:val="0"/>
                                      <w:marRight w:val="0"/>
                                      <w:marTop w:val="0"/>
                                      <w:marBottom w:val="0"/>
                                      <w:divBdr>
                                        <w:top w:val="none" w:sz="0" w:space="0" w:color="auto"/>
                                        <w:left w:val="none" w:sz="0" w:space="0" w:color="auto"/>
                                        <w:bottom w:val="none" w:sz="0" w:space="0" w:color="auto"/>
                                        <w:right w:val="none" w:sz="0" w:space="0" w:color="auto"/>
                                      </w:divBdr>
                                      <w:divsChild>
                                        <w:div w:id="228618825">
                                          <w:marLeft w:val="0"/>
                                          <w:marRight w:val="0"/>
                                          <w:marTop w:val="0"/>
                                          <w:marBottom w:val="0"/>
                                          <w:divBdr>
                                            <w:top w:val="none" w:sz="0" w:space="0" w:color="auto"/>
                                            <w:left w:val="none" w:sz="0" w:space="0" w:color="auto"/>
                                            <w:bottom w:val="none" w:sz="0" w:space="0" w:color="auto"/>
                                            <w:right w:val="none" w:sz="0" w:space="0" w:color="auto"/>
                                          </w:divBdr>
                                          <w:divsChild>
                                            <w:div w:id="793406999">
                                              <w:marLeft w:val="0"/>
                                              <w:marRight w:val="0"/>
                                              <w:marTop w:val="0"/>
                                              <w:marBottom w:val="0"/>
                                              <w:divBdr>
                                                <w:top w:val="none" w:sz="0" w:space="0" w:color="auto"/>
                                                <w:left w:val="none" w:sz="0" w:space="0" w:color="auto"/>
                                                <w:bottom w:val="none" w:sz="0" w:space="0" w:color="auto"/>
                                                <w:right w:val="none" w:sz="0" w:space="0" w:color="auto"/>
                                              </w:divBdr>
                                              <w:divsChild>
                                                <w:div w:id="1763523980">
                                                  <w:marLeft w:val="0"/>
                                                  <w:marRight w:val="0"/>
                                                  <w:marTop w:val="0"/>
                                                  <w:marBottom w:val="0"/>
                                                  <w:divBdr>
                                                    <w:top w:val="none" w:sz="0" w:space="0" w:color="auto"/>
                                                    <w:left w:val="none" w:sz="0" w:space="0" w:color="auto"/>
                                                    <w:bottom w:val="none" w:sz="0" w:space="0" w:color="auto"/>
                                                    <w:right w:val="none" w:sz="0" w:space="0" w:color="auto"/>
                                                  </w:divBdr>
                                                  <w:divsChild>
                                                    <w:div w:id="91363429">
                                                      <w:marLeft w:val="0"/>
                                                      <w:marRight w:val="0"/>
                                                      <w:marTop w:val="0"/>
                                                      <w:marBottom w:val="0"/>
                                                      <w:divBdr>
                                                        <w:top w:val="none" w:sz="0" w:space="0" w:color="auto"/>
                                                        <w:left w:val="none" w:sz="0" w:space="0" w:color="auto"/>
                                                        <w:bottom w:val="none" w:sz="0" w:space="0" w:color="auto"/>
                                                        <w:right w:val="none" w:sz="0" w:space="0" w:color="auto"/>
                                                      </w:divBdr>
                                                      <w:divsChild>
                                                        <w:div w:id="1436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7182808">
      <w:bodyDiv w:val="1"/>
      <w:marLeft w:val="0"/>
      <w:marRight w:val="0"/>
      <w:marTop w:val="0"/>
      <w:marBottom w:val="0"/>
      <w:divBdr>
        <w:top w:val="none" w:sz="0" w:space="0" w:color="auto"/>
        <w:left w:val="none" w:sz="0" w:space="0" w:color="auto"/>
        <w:bottom w:val="none" w:sz="0" w:space="0" w:color="auto"/>
        <w:right w:val="none" w:sz="0" w:space="0" w:color="auto"/>
      </w:divBdr>
    </w:div>
    <w:div w:id="2004778404">
      <w:bodyDiv w:val="1"/>
      <w:marLeft w:val="0"/>
      <w:marRight w:val="0"/>
      <w:marTop w:val="0"/>
      <w:marBottom w:val="0"/>
      <w:divBdr>
        <w:top w:val="none" w:sz="0" w:space="0" w:color="auto"/>
        <w:left w:val="none" w:sz="0" w:space="0" w:color="auto"/>
        <w:bottom w:val="none" w:sz="0" w:space="0" w:color="auto"/>
        <w:right w:val="none" w:sz="0" w:space="0" w:color="auto"/>
      </w:divBdr>
    </w:div>
    <w:div w:id="206813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newsroom/news/eu-law-enforcement-step-efforts-to-protect-environment-%E2%80%93-48-arrested-for-trafficking-endangered-species" TargetMode="External"/><Relationship Id="rId13" Type="http://schemas.openxmlformats.org/officeDocument/2006/relationships/hyperlink" Target="http://ec.europa.eu/environment/life/publications/lifepublications/lifefocus/documents/Wildlife_Crime_web-BG.pdf" TargetMode="External"/><Relationship Id="rId18" Type="http://schemas.openxmlformats.org/officeDocument/2006/relationships/hyperlink" Target="http://www.africanelephantfund.org/" TargetMode="External"/><Relationship Id="rId3" Type="http://schemas.openxmlformats.org/officeDocument/2006/relationships/hyperlink" Target="http://www.europarl.europa.eu/sides/getDoc.do?pubRef=-//EP//TEXT+TA+P8-TA-2016-0454+0+DOC+XML+V0//BG" TargetMode="External"/><Relationship Id="rId21" Type="http://schemas.openxmlformats.org/officeDocument/2006/relationships/hyperlink" Target="https://sustainabledevelopment.un.org/sdg15" TargetMode="External"/><Relationship Id="rId7" Type="http://schemas.openxmlformats.org/officeDocument/2006/relationships/hyperlink" Target="https://eur-lex.europa.eu/legal-content/BG/TXT/PDF/?uri=CELEX:52018DC0010&amp;rid=2" TargetMode="External"/><Relationship Id="rId12" Type="http://schemas.openxmlformats.org/officeDocument/2006/relationships/hyperlink" Target="http://ec.europa.eu/environment/nature/conservation/wildbirds/docs/Roadmap%20illegal%20killing.pdf" TargetMode="External"/><Relationship Id="rId17" Type="http://schemas.openxmlformats.org/officeDocument/2006/relationships/hyperlink" Target="https://cites.org/eng/prog/mike/index.php" TargetMode="External"/><Relationship Id="rId2" Type="http://schemas.openxmlformats.org/officeDocument/2006/relationships/hyperlink" Target="http://data.consilium.europa.eu/doc/document/ST-10512-2016-INIT/bg/pdf" TargetMode="External"/><Relationship Id="rId16" Type="http://schemas.openxmlformats.org/officeDocument/2006/relationships/hyperlink" Target="https://www.europol.europa.eu/activities-services/services-support/information-exchange/secure-information-exchange-network-application-siena" TargetMode="External"/><Relationship Id="rId20" Type="http://schemas.openxmlformats.org/officeDocument/2006/relationships/hyperlink" Target="http://www.illegalwildlifetrade.net/2017/11/24/london-2018-illegal-wildlife-trade-conference-oct-10-11-2018/" TargetMode="External"/><Relationship Id="rId1" Type="http://schemas.openxmlformats.org/officeDocument/2006/relationships/hyperlink" Target="http://eur-lex.europa.eu/legal-content/BG/TXT/?uri=COM:2016:87:FIN" TargetMode="External"/><Relationship Id="rId6" Type="http://schemas.openxmlformats.org/officeDocument/2006/relationships/hyperlink" Target="https://ec.europa.eu/info/consultations/public-consultation-ivory-trade-eu_en" TargetMode="External"/><Relationship Id="rId11" Type="http://schemas.openxmlformats.org/officeDocument/2006/relationships/hyperlink" Target="https://esetri.wwf.bg/the-project/" TargetMode="External"/><Relationship Id="rId5" Type="http://schemas.openxmlformats.org/officeDocument/2006/relationships/hyperlink" Target="http://ec.europa.eu/environment/cites/pdf/guidance_ivory.pdf" TargetMode="External"/><Relationship Id="rId15" Type="http://schemas.openxmlformats.org/officeDocument/2006/relationships/hyperlink" Target="http://ec.europa.eu/research/participants/portal/desktop/en/opportunities/isfp/topics/isfp-2017-ag-env.html" TargetMode="External"/><Relationship Id="rId10" Type="http://schemas.openxmlformats.org/officeDocument/2006/relationships/hyperlink" Target="http://ec.europa.eu/environment/life/" TargetMode="External"/><Relationship Id="rId19" Type="http://schemas.openxmlformats.org/officeDocument/2006/relationships/hyperlink" Target="http://ec.europa.eu/trade/policy/countries-and-regions/development/generalised-scheme-of-preferences/index_en.htm" TargetMode="External"/><Relationship Id="rId4" Type="http://schemas.openxmlformats.org/officeDocument/2006/relationships/hyperlink" Target="http://ec.europa.eu/environment/cites/trafficking_en.htm" TargetMode="External"/><Relationship Id="rId9" Type="http://schemas.openxmlformats.org/officeDocument/2006/relationships/hyperlink" Target="https://www.cepol.europa.eu/bg" TargetMode="External"/><Relationship Id="rId14" Type="http://schemas.openxmlformats.org/officeDocument/2006/relationships/hyperlink" Target="https://ec.europa.eu/home-affairs/financing/fundings/security-and-safeguarding-liberties/internal-security-fund-poli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FDBDF-252C-4702-A2E0-6B0B9FE4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12</Pages>
  <Words>4275</Words>
  <Characters>24112</Characters>
  <Application>Microsoft Office Word</Application>
  <DocSecurity>0</DocSecurity>
  <Lines>401</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29</cp:revision>
  <cp:lastPrinted>2018-05-04T07:42:00Z</cp:lastPrinted>
  <dcterms:created xsi:type="dcterms:W3CDTF">2018-07-26T14:39:00Z</dcterms:created>
  <dcterms:modified xsi:type="dcterms:W3CDTF">2018-10-17T09:41:00Z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