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1A2E8F-B18F-4157-A397-AEB919C3991F"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Bdr>
          <w:top w:val="nil"/>
          <w:left w:val="nil"/>
          <w:bottom w:val="nil"/>
          <w:right w:val="nil"/>
          <w:between w:val="nil"/>
          <w:bar w:val="nil"/>
        </w:pBdr>
        <w:spacing w:before="0" w:after="240"/>
        <w:rPr>
          <w:rFonts w:eastAsia="Arial Unicode MS"/>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pBdr>
          <w:top w:val="nil"/>
          <w:left w:val="nil"/>
          <w:bottom w:val="nil"/>
          <w:right w:val="nil"/>
          <w:between w:val="nil"/>
          <w:bar w:val="nil"/>
        </w:pBdr>
        <w:spacing w:before="0" w:after="240"/>
        <w:rPr>
          <w:rFonts w:eastAsia="Arial Unicode MS"/>
          <w:noProof/>
        </w:rPr>
      </w:pPr>
      <w:r>
        <w:rPr>
          <w:noProof/>
        </w:rPr>
        <w:t>С писмо, заведено в Комисията на 15 май 2018 г., Полша поиска разрешение да продължи да освобождава от ДДС данъчно задължените лица, чийто годишен оборот не е по-висок от равностойността в национална валута на 40 000 EUR. В съответствие с член 395, параграф 2 от Директивата за ДДС с писмо от 23 юли 2018 г. Комисията информира Испания, докато останалите държави членки бяха уведомени с писма от 20 юли 2018 г. С писмо от 23 юли 2018 г. Комисията уведоми Полша, че разполага с цялата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В дял XII, глава 1 от Директивата за ДДС се предвижда възможността държавите членки да прилагат специални режими за малките предприятия, включително възможността да освобождават от облагане данъчно задължените лица, чийто годишен оборот е под определено равнище. Това освобождаване означава, че данъчно задълженото лице не е длъжно да начислява ДДС върху извършените от него доставки и следователно не може да приспада ДДС за получените от него доставки.</w:t>
      </w:r>
    </w:p>
    <w:p>
      <w:pPr>
        <w:pBdr>
          <w:top w:val="nil"/>
          <w:left w:val="nil"/>
          <w:bottom w:val="nil"/>
          <w:right w:val="nil"/>
          <w:between w:val="nil"/>
          <w:bar w:val="nil"/>
        </w:pBdr>
        <w:spacing w:before="0" w:after="240"/>
        <w:rPr>
          <w:rFonts w:eastAsia="Arial Unicode MS"/>
          <w:noProof/>
        </w:rPr>
      </w:pPr>
      <w:r>
        <w:rPr>
          <w:noProof/>
        </w:rPr>
        <w:t>Съгласно член 287, точка 14 от Директивата за ДДС Полша може да освободи от ДДС данъчно задължените лица, чийто годишен оборот не е по-висок от равностойността в национална валута на 10 000 EUR.</w:t>
      </w:r>
    </w:p>
    <w:p>
      <w:pPr>
        <w:pBdr>
          <w:top w:val="nil"/>
          <w:left w:val="nil"/>
          <w:bottom w:val="nil"/>
          <w:right w:val="nil"/>
          <w:between w:val="nil"/>
          <w:bar w:val="nil"/>
        </w:pBdr>
        <w:spacing w:before="0" w:after="240"/>
        <w:rPr>
          <w:noProof/>
        </w:rPr>
      </w:pPr>
      <w:r>
        <w:rPr>
          <w:noProof/>
        </w:rPr>
        <w:t>Със своето Решение 2009/790/ЕО</w:t>
      </w:r>
      <w:r>
        <w:rPr>
          <w:rStyle w:val="FootnoteReference"/>
          <w:noProof/>
        </w:rPr>
        <w:footnoteReference w:id="1"/>
      </w:r>
      <w:r>
        <w:rPr>
          <w:noProof/>
        </w:rPr>
        <w:t xml:space="preserve"> Съветът разреши на Полша да освободи от ДДС данъчно задължените лица, чийто годишен оборот не е по-висок от равностойността в национална валута на 30 000 EUR, до 31 декември 2012 г. С Решение за изпълнение 2012/769/ЕС на Съвета</w:t>
      </w:r>
      <w:r>
        <w:rPr>
          <w:rStyle w:val="FootnoteReference"/>
          <w:noProof/>
        </w:rPr>
        <w:footnoteReference w:id="2"/>
      </w:r>
      <w:r>
        <w:rPr>
          <w:noProof/>
        </w:rPr>
        <w:t xml:space="preserve"> дерогацията бе удължена до 31 декември 2015 г. и впоследствие с Решение за изпълнение 2015/1173/ЕС на Съвета</w:t>
      </w:r>
      <w:r>
        <w:rPr>
          <w:rStyle w:val="FootnoteReference"/>
          <w:noProof/>
        </w:rPr>
        <w:footnoteReference w:id="3"/>
      </w:r>
      <w:r>
        <w:rPr>
          <w:noProof/>
        </w:rPr>
        <w:t xml:space="preserve"> — до 31 декември 2018 г. С Решение за изпълнение (ЕС) 2016/2090 на Съвета</w:t>
      </w:r>
      <w:r>
        <w:rPr>
          <w:rStyle w:val="FootnoteReference"/>
          <w:noProof/>
        </w:rPr>
        <w:footnoteReference w:id="4"/>
      </w:r>
      <w:r>
        <w:rPr>
          <w:noProof/>
        </w:rPr>
        <w:t xml:space="preserve"> прагът за освобождаване бе увеличен до равностойността в национална валута на 40 000 EUR. </w:t>
      </w:r>
    </w:p>
    <w:p>
      <w:pPr>
        <w:pBdr>
          <w:top w:val="nil"/>
          <w:left w:val="nil"/>
          <w:bottom w:val="nil"/>
          <w:right w:val="nil"/>
          <w:between w:val="nil"/>
          <w:bar w:val="nil"/>
        </w:pBdr>
        <w:spacing w:before="0" w:after="240"/>
        <w:rPr>
          <w:noProof/>
        </w:rPr>
      </w:pPr>
      <w:r>
        <w:rPr>
          <w:noProof/>
        </w:rPr>
        <w:lastRenderedPageBreak/>
        <w:t>Полша поиска удължаване на срока на тази мярка за нов ограничен период от време. Полша посочи, че мотивите за искането за дерогация остават като цяло непроменени. Чрез специалната мярка се облекчава тежестта върху предприятията за по-голям брой данъчно задължени лица с ограничена стопанска дейност и се стимулира развитието на малките предприятия. Същевременно мярката води до намаляване на административната тежест за данъчната администрация, като ограничава необходимостта от относително скъпоструващия в сравнение с размера на събрания ДДС контрол на малките данъчно задължени лица. Тя също така дава възможност за подсилване на контролните дейности по отношение на по-големите данъчно задължени лица. Мярката е и ще остане изцяло незадължителна за данъчно задължените лица.</w:t>
      </w:r>
    </w:p>
    <w:p>
      <w:pPr>
        <w:rPr>
          <w:rFonts w:eastAsia="Arial Unicode MS"/>
          <w:noProof/>
        </w:rPr>
      </w:pPr>
      <w:r>
        <w:rPr>
          <w:noProof/>
        </w:rPr>
        <w:t>С оглед на потенциалното положително въздействие от намаляването на административната тежест за предприятията и данъчната администрация, без значително въздействие върху общия размер на приходите от ДДС, се предлага да се удължи срокът на дерогацията за нов ограничен период от време — до 31 декември 2021 г. Неотдавна Комисията представи предложение</w:t>
      </w:r>
      <w:r>
        <w:rPr>
          <w:rStyle w:val="FootnoteReference"/>
          <w:noProof/>
        </w:rPr>
        <w:footnoteReference w:id="5"/>
      </w:r>
      <w:r>
        <w:rPr>
          <w:noProof/>
        </w:rPr>
        <w:t xml:space="preserve"> за изменение на членове 281 — 294 от Директива 2006/112/ЕО, с които се урежда специалният режим за малките предприятия. Затова е възможно да влезе в сила директива за изменение на посочените членове, с която се определя начална дата на прилагане на националните разпоредби за изпълнението ѝ. Ако тази дата бъде определена преди изтичането на срока на дерогацията на 31 декември 2021 г., прилагането на настоящото решение ще бъде прекратено.</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color w:val="000000"/>
        </w:rPr>
      </w:pPr>
      <w:r>
        <w:rPr>
          <w:noProof/>
        </w:rPr>
        <w:t>Подобни дерогации вече са предоставени на други държави членки.</w:t>
      </w:r>
      <w:r>
        <w:rPr>
          <w:noProof/>
          <w:color w:val="000000"/>
        </w:rPr>
        <w:t xml:space="preserve"> На Люксембург</w:t>
      </w:r>
      <w:r>
        <w:rPr>
          <w:rStyle w:val="FootnoteReference"/>
          <w:noProof/>
          <w:color w:val="000000"/>
        </w:rPr>
        <w:footnoteReference w:id="6"/>
      </w:r>
      <w:r>
        <w:rPr>
          <w:noProof/>
          <w:color w:val="000000"/>
        </w:rPr>
        <w:t xml:space="preserve"> бе определен праг от 30 000 EUR, на Естония</w:t>
      </w:r>
      <w:r>
        <w:rPr>
          <w:rStyle w:val="FootnoteReference"/>
          <w:noProof/>
          <w:color w:val="000000"/>
        </w:rPr>
        <w:footnoteReference w:id="7"/>
      </w:r>
      <w:r>
        <w:rPr>
          <w:noProof/>
          <w:color w:val="000000"/>
        </w:rPr>
        <w:t xml:space="preserve"> – от 40 000 EUR, на Италия</w:t>
      </w:r>
      <w:r>
        <w:rPr>
          <w:rStyle w:val="FootnoteReference"/>
          <w:noProof/>
          <w:color w:val="000000"/>
        </w:rPr>
        <w:footnoteReference w:id="8"/>
      </w:r>
      <w:r>
        <w:rPr>
          <w:noProof/>
          <w:color w:val="000000"/>
        </w:rPr>
        <w:t xml:space="preserve"> – от 65 000 EUR, на Хърватия</w:t>
      </w:r>
      <w:r>
        <w:rPr>
          <w:rStyle w:val="FootnoteReference"/>
          <w:noProof/>
          <w:color w:val="000000"/>
        </w:rPr>
        <w:footnoteReference w:id="9"/>
      </w:r>
      <w:r>
        <w:rPr>
          <w:noProof/>
          <w:color w:val="000000"/>
        </w:rPr>
        <w:t xml:space="preserve"> – от 45 000 EUR, на Латвия</w:t>
      </w:r>
      <w:r>
        <w:rPr>
          <w:rStyle w:val="FootnoteReference"/>
          <w:noProof/>
          <w:color w:val="000000"/>
        </w:rPr>
        <w:footnoteReference w:id="10"/>
      </w:r>
      <w:r>
        <w:rPr>
          <w:noProof/>
          <w:color w:val="000000"/>
        </w:rPr>
        <w:t xml:space="preserve"> – от 40 000 EUR, на Румъния</w:t>
      </w:r>
      <w:r>
        <w:rPr>
          <w:rStyle w:val="FootnoteReference"/>
          <w:noProof/>
          <w:color w:val="000000"/>
        </w:rPr>
        <w:footnoteReference w:id="11"/>
      </w:r>
      <w:r>
        <w:rPr>
          <w:noProof/>
          <w:color w:val="000000"/>
        </w:rPr>
        <w:t xml:space="preserve"> – от 88 500 EUR. </w:t>
      </w:r>
    </w:p>
    <w:p>
      <w:pPr>
        <w:rPr>
          <w:noProof/>
        </w:rPr>
      </w:pPr>
      <w:r>
        <w:rPr>
          <w:noProof/>
        </w:rPr>
        <w:lastRenderedPageBreak/>
        <w:t>Дерогациите от Директивата за ДДС следва винаги да бъдат ограничени във времето, за да може да бъде оценено тяхното въздействие. Освен това разпоредбите на членове 281 — 294 от Директивата за ДДС, отнасящи се до специалния режим за малките предприятия, са в процес на преразглеждане. Както бе обявено в Плана за действие във връзка с ДДС</w:t>
      </w:r>
      <w:r>
        <w:rPr>
          <w:rStyle w:val="FootnoteReference"/>
          <w:noProof/>
        </w:rPr>
        <w:footnoteReference w:id="12"/>
      </w:r>
      <w:r>
        <w:rPr>
          <w:noProof/>
        </w:rPr>
        <w:t xml:space="preserve"> и в Работната програма на Комисията за 2017 г.</w:t>
      </w:r>
      <w:r>
        <w:rPr>
          <w:rStyle w:val="FootnoteReference"/>
          <w:noProof/>
        </w:rPr>
        <w:footnoteReference w:id="13"/>
      </w:r>
      <w:r>
        <w:rPr>
          <w:noProof/>
        </w:rPr>
        <w:t>, неотдавна беше представено предложението на Комисията за режима за МСП</w:t>
      </w:r>
      <w:r>
        <w:rPr>
          <w:rStyle w:val="FootnoteReference"/>
          <w:noProof/>
        </w:rPr>
        <w:footnoteReference w:id="14"/>
      </w:r>
      <w:r>
        <w:rPr>
          <w:noProof/>
        </w:rPr>
        <w:t>.</w:t>
      </w:r>
    </w:p>
    <w:p>
      <w:pPr>
        <w:rPr>
          <w:rFonts w:eastAsia="Arial Unicode MS"/>
          <w:noProof/>
        </w:rPr>
      </w:pPr>
      <w:r>
        <w:rPr>
          <w:noProof/>
        </w:rPr>
        <w:t xml:space="preserve">Поради това се предлага мярката за дерогация да бъде разрешена със срок до 31 декември 2021 г. или до датата, от която държавите членки следва да прилагат националните разпоредби, които те трябва да приемат, ако бъде приета директива за изменение на членове 281 — 294 от Директива 2006/112/ЕО.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Мярката е в съответствие с целите на Съюза по отношение на малките предприятия, както са изложени в Съобщението на Комисията „Мисли първо за малките!“ „Small Business Act“ за Европа“</w:t>
      </w:r>
      <w:r>
        <w:rPr>
          <w:rStyle w:val="FootnoteReference"/>
          <w:noProof/>
        </w:rPr>
        <w:footnoteReference w:id="15"/>
      </w:r>
      <w:r>
        <w:rPr>
          <w:noProof/>
        </w:rPr>
        <w:t>, в което държавите членки се призовават при изготвянето на законодателството да вземат предвид характерните особености на малките и средните предприятия и съответно да опростят съществуващата нормативна уредба.</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Член 395 от Директивата за ДДС. </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основание на която е съставено предложението, принципът на субсидиарността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Решението се отнася до даване на разрешение на държава членка по нейно искане и не представлява задължение.</w:t>
      </w:r>
    </w:p>
    <w:p>
      <w:pPr>
        <w:rPr>
          <w:noProof/>
        </w:rPr>
      </w:pPr>
      <w:r>
        <w:rPr>
          <w:noProof/>
        </w:rPr>
        <w:t>Предвид ограничения обхват на дерогацията специалната мярка е пропорционална на поставената цел, а именно опростяване за допълнителен брой малки данъчно задължени лица и за данъчната администрация.</w:t>
      </w:r>
    </w:p>
    <w:p>
      <w:pPr>
        <w:pStyle w:val="ManualHeading2"/>
        <w:rPr>
          <w:rFonts w:eastAsia="Arial Unicode MS"/>
          <w:noProof/>
          <w:u w:color="000000"/>
          <w:bdr w:val="nil"/>
        </w:rPr>
      </w:pPr>
      <w:r>
        <w:rPr>
          <w:noProof/>
        </w:rPr>
        <w:t>•</w:t>
      </w:r>
      <w:r>
        <w:rPr>
          <w:noProof/>
        </w:rPr>
        <w:tab/>
        <w:t>Избор на инструмент</w:t>
      </w:r>
    </w:p>
    <w:p>
      <w:pPr>
        <w:spacing w:before="0" w:after="240"/>
        <w:rPr>
          <w:rFonts w:eastAsia="Arial Unicode MS"/>
          <w:noProof/>
        </w:rPr>
      </w:pPr>
      <w:r>
        <w:rPr>
          <w:noProof/>
        </w:rPr>
        <w:t>Предлаган инструмент: решение за изпълнение на Съвета.</w:t>
      </w:r>
    </w:p>
    <w:p>
      <w:pPr>
        <w:spacing w:before="0" w:after="240"/>
        <w:rPr>
          <w:rFonts w:eastAsia="Arial Unicode MS"/>
          <w:noProof/>
        </w:rPr>
      </w:pPr>
      <w:r>
        <w:rPr>
          <w:noProof/>
        </w:rPr>
        <w:lastRenderedPageBreak/>
        <w:t>По силата на член 395 от Директива 2006/112/EО на Съвета дерогация от общите правила за ДДС е възможна единствено след разрешение от Съвета, действащ с единодушие по предложение на Комисията. Решение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0" w:after="240"/>
        <w:rPr>
          <w:rFonts w:eastAsia="Arial Unicode MS"/>
          <w:noProof/>
        </w:rPr>
      </w:pPr>
      <w:r>
        <w:rPr>
          <w:noProof/>
        </w:rPr>
        <w:t>Настоящото предложение се основава на искане, отправено от Полша, и се отнася само до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Целта на предложението за решение за изпълнение на Съвета е да се удължи с още три години срокът на мярка за опростяване, с която се премахва голяма част от свързаните с ДДС задължения за предприятията с годишен оборот, не по-висок от равностойността в национална валута на 40 000 EUR, и следователно има потенциално положително въздействие, намалявайки административната тежест за предприятията и данъчната администрация, без значително въздействие върху общия размер на приходите от ДДС. Поради тесния обхват на дерогацията и ограничения ѝ срок на прилагане въздействието при всички случаи ще бъде ограничено.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ЕС, тъй като Полша ще изчисли съответната компенсация по член 6 от Регламент (ЕИО, Евратом) № 1553/89 на Съвета.</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 xml:space="preserve">Предложението включва клауза за изтичане на срока на действие; автоматично ограничение във времето.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2018/0366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16"/>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член 287, точка 14 от Директива 2006/112/ЕО на Полша се разрешава да освободи от данък върху добавената стойност (ДДС) данъчно задължените лица, чийто годишен оборот не е по-висок от равностойността в национална валута на 10 000 EUR по обменния курс в деня на присъединяването на страната към ЕС.</w:t>
      </w:r>
    </w:p>
    <w:p>
      <w:pPr>
        <w:pStyle w:val="ManualConsidrant"/>
        <w:rPr>
          <w:noProof/>
        </w:rPr>
      </w:pPr>
      <w:r>
        <w:t>(2)</w:t>
      </w:r>
      <w:r>
        <w:tab/>
      </w:r>
      <w:r>
        <w:rPr>
          <w:noProof/>
        </w:rPr>
        <w:t>С Решение 2009/790/ЕО на Съвета</w:t>
      </w:r>
      <w:r>
        <w:rPr>
          <w:rStyle w:val="FootnoteReference"/>
          <w:noProof/>
        </w:rPr>
        <w:footnoteReference w:id="17"/>
      </w:r>
      <w:r>
        <w:rPr>
          <w:noProof/>
        </w:rPr>
        <w:t xml:space="preserve"> бе разрешено на Полша до 31 декември 2012 г. да освобождава от ДДС данъчно задължените лица, чийто годишен оборот не е по-висок от равностойността в национална валута на 30 000 EUR по обменния курс в деня на присъединяването ѝ. Впоследствие разрешението за прилагане на тази специална мярка беше удължено до 31 декември 2015 г. с Решение за изпълнение 2012/769/ЕС на Съвета</w:t>
      </w:r>
      <w:r>
        <w:rPr>
          <w:rStyle w:val="FootnoteReference"/>
          <w:noProof/>
        </w:rPr>
        <w:footnoteReference w:id="18"/>
      </w:r>
      <w:r>
        <w:rPr>
          <w:noProof/>
        </w:rPr>
        <w:t xml:space="preserve"> и до 31 декември 2018 г. с Решение за изпълнение (ЕС) 2015/1173 на Съвета</w:t>
      </w:r>
      <w:r>
        <w:rPr>
          <w:rStyle w:val="FootnoteReference"/>
          <w:noProof/>
        </w:rPr>
        <w:footnoteReference w:id="19"/>
      </w:r>
      <w:r>
        <w:rPr>
          <w:noProof/>
        </w:rPr>
        <w:t>. С Решение за изпълнение (ЕС) 2016/2090 на Съвета</w:t>
      </w:r>
      <w:r>
        <w:rPr>
          <w:rStyle w:val="FootnoteReference"/>
          <w:noProof/>
        </w:rPr>
        <w:footnoteReference w:id="20"/>
      </w:r>
      <w:r>
        <w:rPr>
          <w:noProof/>
        </w:rPr>
        <w:t xml:space="preserve"> прагът за освобождаване бе увеличен до равностойността в национална валута на 40 000 EUR. </w:t>
      </w:r>
    </w:p>
    <w:p>
      <w:pPr>
        <w:pStyle w:val="ManualConsidrant"/>
        <w:rPr>
          <w:noProof/>
        </w:rPr>
      </w:pPr>
      <w:r>
        <w:lastRenderedPageBreak/>
        <w:t>(3)</w:t>
      </w:r>
      <w:r>
        <w:tab/>
      </w:r>
      <w:r>
        <w:rPr>
          <w:noProof/>
        </w:rPr>
        <w:t>С писмо, заведено в Комисията на 15 май 2018 г., Полша поиска разрешение да продължи да освобождава от ДДС данъчно задължените лица, чийто годишен оборот не е по-висок от равностойността в национална валута на 40 000 EUR.</w:t>
      </w:r>
    </w:p>
    <w:p>
      <w:pPr>
        <w:pStyle w:val="ManualConsidrant"/>
        <w:rPr>
          <w:noProof/>
        </w:rPr>
      </w:pPr>
      <w:r>
        <w:t>(4)</w:t>
      </w:r>
      <w:r>
        <w:tab/>
      </w:r>
      <w:r>
        <w:rPr>
          <w:noProof/>
        </w:rPr>
        <w:t>В съответствие с член 395, параграф 2, втора алинея от Директива 2006/112/ЕО Комисията предаде отправеното от Полша искане на Испания с писмо от 23 юли 2018 г., а на останалите държави членки — с писма от 20 юли 2018 г. С писмо от 23 юли 2018 г. Комисията уведоми Полша, че разполага с цялата информация, необходима за разглеждане на искането.</w:t>
      </w:r>
    </w:p>
    <w:p>
      <w:pPr>
        <w:pStyle w:val="ManualConsidrant"/>
        <w:rPr>
          <w:noProof/>
        </w:rPr>
      </w:pPr>
      <w:r>
        <w:t>(5)</w:t>
      </w:r>
      <w:r>
        <w:tab/>
      </w:r>
      <w:r>
        <w:rPr>
          <w:noProof/>
        </w:rPr>
        <w:t>Според предоставената от Полша информация мотивите за искането за дерогация остават като цяло непроменени. С него се облекчава тежестта върху предприятията за по-голям брой данъчно задължени лица с ограничена стопанска дейност. То също така води до намаляване на административната тежест за данъчната администрация, като ограничава необходимостта от относително скъпоструващия в сравнение с размера на събрания ДДС контрол на малките данъчно задължени лица. Мярката е изцяло незадължителна за данъчно задължените лица.</w:t>
      </w:r>
    </w:p>
    <w:p>
      <w:pPr>
        <w:pStyle w:val="ManualConsidrant"/>
        <w:rPr>
          <w:noProof/>
        </w:rPr>
      </w:pPr>
      <w:r>
        <w:t>(6)</w:t>
      </w:r>
      <w:r>
        <w:tab/>
      </w:r>
      <w:r>
        <w:rPr>
          <w:noProof/>
        </w:rPr>
        <w:t>Като се има предвид, че по-високият праг е довел до намаляване на свързаните с ДДС задължения за малките предприятия, при положение че те имат право да изберат да прилагат общия режим на ДДС в съответствие с член 290 от Директива 2006/112/ЕО, на Полша следва да бъде разрешено да прилага мярката за допълнителен ограничен срок — до 31 декември 2021 г.</w:t>
      </w:r>
    </w:p>
    <w:p>
      <w:pPr>
        <w:pStyle w:val="ManualConsidrant"/>
        <w:rPr>
          <w:noProof/>
        </w:rPr>
      </w:pPr>
      <w:r>
        <w:t>(7)</w:t>
      </w:r>
      <w:r>
        <w:tab/>
      </w:r>
      <w:r>
        <w:rPr>
          <w:noProof/>
        </w:rPr>
        <w:t>Тъй като членове 281 — 294 от Директива 2006/112/ЕО, уреждащи специалния режим за малките предприятия, са в процес на преразглеждане, е възможно преди да е изтекъл срокът на действие на дерогацията на 31 декември 2021 г., да влезе в сила директива за изменение на посочените членове, определяща дата, от която държавите членки трябва да прилагат националните разпоредби. В такъв случай прилагането на настоящото решение следва да бъде прекратено.</w:t>
      </w:r>
    </w:p>
    <w:p>
      <w:pPr>
        <w:pStyle w:val="ManualConsidrant"/>
        <w:rPr>
          <w:noProof/>
        </w:rPr>
      </w:pPr>
      <w:r>
        <w:t>(8)</w:t>
      </w:r>
      <w:r>
        <w:tab/>
      </w:r>
      <w:r>
        <w:rPr>
          <w:noProof/>
        </w:rPr>
        <w:t>Дерогацията не оказва въздействие върху собствените ресурси на Съюза от ДДС, тъй като Полша ще изчисли съответната компенсация по член 6 от Регламент (ЕИО, Евратом) № 1553/89 на Съвета</w:t>
      </w:r>
      <w:r>
        <w:rPr>
          <w:rStyle w:val="FootnoteReference"/>
          <w:noProof/>
        </w:rPr>
        <w:footnoteReference w:id="21"/>
      </w:r>
      <w:r>
        <w:rPr>
          <w:noProof/>
        </w:rPr>
        <w:t xml:space="preserve">. </w:t>
      </w:r>
    </w:p>
    <w:p>
      <w:pPr>
        <w:pStyle w:val="ManualConsidrant"/>
        <w:rPr>
          <w:noProof/>
        </w:rPr>
      </w:pPr>
      <w:r>
        <w:t>(9)</w:t>
      </w:r>
      <w:r>
        <w:tab/>
      </w:r>
      <w:r>
        <w:rPr>
          <w:noProof/>
        </w:rPr>
        <w:t>Поради това Решение 2009/790/ЕО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Член 2 от Решение 2009/790/ЕО се заменя със следното:</w:t>
      </w:r>
    </w:p>
    <w:p>
      <w:pPr>
        <w:ind w:left="2880" w:firstLine="720"/>
        <w:rPr>
          <w:i/>
          <w:noProof/>
        </w:rPr>
      </w:pPr>
      <w:r>
        <w:rPr>
          <w:noProof/>
        </w:rPr>
        <w:t>„</w:t>
      </w:r>
      <w:r>
        <w:rPr>
          <w:i/>
          <w:noProof/>
        </w:rPr>
        <w:t>Член 2</w:t>
      </w:r>
    </w:p>
    <w:p>
      <w:pPr>
        <w:rPr>
          <w:noProof/>
        </w:rPr>
      </w:pPr>
      <w:r>
        <w:rPr>
          <w:noProof/>
        </w:rPr>
        <w:t>Настоящото решение се прилага от 1 януари 2010 г. до настъпването на по-ранната от следните две дати:</w:t>
      </w:r>
    </w:p>
    <w:p>
      <w:pPr>
        <w:rPr>
          <w:noProof/>
        </w:rPr>
      </w:pPr>
      <w:r>
        <w:rPr>
          <w:noProof/>
        </w:rPr>
        <w:t>a)</w:t>
      </w:r>
      <w:r>
        <w:rPr>
          <w:noProof/>
        </w:rPr>
        <w:tab/>
        <w:t xml:space="preserve">31 декември 2021 г.; </w:t>
      </w:r>
    </w:p>
    <w:p>
      <w:pPr>
        <w:ind w:left="720" w:hanging="720"/>
        <w:rPr>
          <w:noProof/>
        </w:rPr>
      </w:pPr>
      <w:r>
        <w:rPr>
          <w:noProof/>
        </w:rPr>
        <w:t>б)</w:t>
      </w:r>
      <w:r>
        <w:rPr>
          <w:noProof/>
        </w:rPr>
        <w:tab/>
        <w:t>датата, от която държавите членки трябва да прилагат националните разпоредби, които те са длъжни да приемат, в случай че бъде приета директива за изменение на членове 281—294 от Директива 2006/112/ЕО, уреждащи специалния режим за малките предприятия.“</w:t>
      </w:r>
    </w:p>
    <w:p>
      <w:pPr>
        <w:pStyle w:val="Titrearticle"/>
        <w:rPr>
          <w:noProof/>
        </w:rPr>
      </w:pPr>
      <w:r>
        <w:rPr>
          <w:noProof/>
        </w:rPr>
        <w:t>Член 2</w:t>
      </w:r>
    </w:p>
    <w:p>
      <w:pPr>
        <w:rPr>
          <w:noProof/>
        </w:rPr>
      </w:pPr>
      <w:r>
        <w:rPr>
          <w:noProof/>
        </w:rPr>
        <w:t xml:space="preserve">Настоящото решение се прилага от 1 януари 2019 г. </w:t>
      </w:r>
    </w:p>
    <w:p>
      <w:pPr>
        <w:pStyle w:val="Titrearticle"/>
        <w:rPr>
          <w:noProof/>
        </w:rPr>
      </w:pPr>
      <w:r>
        <w:rPr>
          <w:noProof/>
        </w:rPr>
        <w:t>Член 3</w:t>
      </w:r>
    </w:p>
    <w:p>
      <w:pPr>
        <w:rPr>
          <w:noProof/>
        </w:rPr>
      </w:pPr>
      <w:r>
        <w:rPr>
          <w:noProof/>
        </w:rPr>
        <w:t>Адресат на настоящото решение е Република Полша.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2009/790/ЕО на Съвета от 20 октомври 2009 г. за даване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283, 30.10.2009 г., стр. 53).</w:t>
      </w:r>
    </w:p>
  </w:footnote>
  <w:footnote w:id="2">
    <w:p>
      <w:pPr>
        <w:pStyle w:val="FootnoteText"/>
      </w:pPr>
      <w:r>
        <w:rPr>
          <w:rStyle w:val="FootnoteReference"/>
        </w:rPr>
        <w:footnoteRef/>
      </w:r>
      <w:r>
        <w:tab/>
        <w:t>Решение за изпълнение 2012/769/ЕС на Съвета от 4 декември 2012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338, 12.12.2012 г., стр. 27).</w:t>
      </w:r>
    </w:p>
  </w:footnote>
  <w:footnote w:id="3">
    <w:p>
      <w:pPr>
        <w:pStyle w:val="FootnoteText"/>
      </w:pPr>
      <w:r>
        <w:rPr>
          <w:rStyle w:val="FootnoteReference"/>
        </w:rPr>
        <w:footnoteRef/>
      </w:r>
      <w:r>
        <w:tab/>
        <w:t>Решение за изпълнение 2015/1173/ЕС на Съвета от 14 юли 2015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189, 17.7.2015 г., стр. 36).</w:t>
      </w:r>
    </w:p>
  </w:footnote>
  <w:footnote w:id="4">
    <w:p>
      <w:pPr>
        <w:pStyle w:val="FootnoteText"/>
        <w:rPr>
          <w:rStyle w:val="FootnoteReference"/>
          <w:color w:val="000000" w:themeColor="text1"/>
        </w:rPr>
      </w:pPr>
      <w:r>
        <w:rPr>
          <w:rStyle w:val="FootnoteReference"/>
        </w:rPr>
        <w:footnoteRef/>
      </w:r>
      <w:r>
        <w:tab/>
        <w:t>Решение за изпълнение (ЕС) 2016/2090 на Съвета от 21 ноември 2016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w:t>
      </w:r>
      <w:r>
        <w:rPr>
          <w:color w:val="000000" w:themeColor="text1"/>
        </w:rPr>
        <w:t>ОВ L 324, 30.11.2016 г., стр. 7—8).</w:t>
      </w:r>
      <w:r>
        <w:rPr>
          <w:rStyle w:val="FootnoteReference"/>
          <w:color w:val="000000" w:themeColor="text1"/>
        </w:rPr>
        <w:t xml:space="preserve"> </w:t>
      </w:r>
    </w:p>
  </w:footnote>
  <w:footnote w:id="5">
    <w:p>
      <w:pPr>
        <w:pStyle w:val="FootnoteText"/>
      </w:pPr>
      <w:r>
        <w:rPr>
          <w:rStyle w:val="FootnoteReference"/>
        </w:rPr>
        <w:footnoteRef/>
      </w:r>
      <w:r>
        <w:tab/>
        <w:t>Предложение за Директива на Съвета за изменение на Директива 2006/112/ЕО относно общата система на данъка върху добавената стойност по отношение на специалния режим за малките предприятия, 18.1.2018 г., COM(2018) 21 final.</w:t>
      </w:r>
    </w:p>
  </w:footnote>
  <w:footnote w:id="6">
    <w:p>
      <w:pPr>
        <w:pStyle w:val="FootnoteText"/>
      </w:pPr>
      <w:r>
        <w:rPr>
          <w:rStyle w:val="FootnoteReference"/>
        </w:rPr>
        <w:footnoteRef/>
      </w:r>
      <w:r>
        <w:tab/>
        <w:t xml:space="preserve">Решение за изпълнение (ЕС) 2017/319 на Съвета от 21 февруари 2017 година за изменение на Решение за изпълнение 2013/677/ЕС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47, 24.2.2017 г., стр. 7). </w:t>
      </w:r>
    </w:p>
  </w:footnote>
  <w:footnote w:id="7">
    <w:p>
      <w:pPr>
        <w:pStyle w:val="FootnoteText"/>
      </w:pPr>
      <w:r>
        <w:rPr>
          <w:rStyle w:val="FootnoteReference"/>
        </w:rPr>
        <w:footnoteRef/>
      </w:r>
      <w:r>
        <w:tab/>
        <w:t>Решение за изпълнение (ЕС) 2017/563 на Съвета от 21 март 2017 година за даване на разрешение на Република Естония да прилага специална мярка за дерогация от член 287 от Директива 2006/112/ЕО относно общата система на данъка върху добавената стойност (ОВ L 80, 25.3.2017 г., стр. 33).</w:t>
      </w:r>
    </w:p>
  </w:footnote>
  <w:footnote w:id="8">
    <w:p>
      <w:pPr>
        <w:pStyle w:val="FootnoteText"/>
      </w:pPr>
      <w:r>
        <w:rPr>
          <w:rStyle w:val="FootnoteReference"/>
        </w:rPr>
        <w:footnoteRef/>
      </w:r>
      <w:r>
        <w:tab/>
        <w:t>Решение за изпълнение (ЕС) 2016/1988 на Съвета от 8 ноември 2016 година за изменение на Решение за изпълнение 2013/678/ЕС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306, 15.11.2016 г., стр. 11).</w:t>
      </w:r>
    </w:p>
  </w:footnote>
  <w:footnote w:id="9">
    <w:p>
      <w:pPr>
        <w:pStyle w:val="FootnoteText"/>
      </w:pPr>
      <w:r>
        <w:rPr>
          <w:rStyle w:val="FootnoteReference"/>
        </w:rPr>
        <w:footnoteRef/>
      </w:r>
      <w:r>
        <w:tab/>
        <w:t>Решение за изпълнение (ЕС) 2017/1768 на Съвета от 25 септември 2017 година за даване на разрешение на Република Хърватия да въведе специална мярка за дерогация от член 287 от Директива 2006/112/ЕО относно общата система на данъка върху добавената стойност (ОВ L 250, 28.9.2017 г., стр. 71).</w:t>
      </w:r>
    </w:p>
  </w:footnote>
  <w:footnote w:id="10">
    <w:p>
      <w:pPr>
        <w:pStyle w:val="FootnoteText"/>
      </w:pPr>
      <w:r>
        <w:rPr>
          <w:rStyle w:val="FootnoteReference"/>
        </w:rPr>
        <w:footnoteRef/>
      </w:r>
      <w:r>
        <w:tab/>
        <w:t>Решение за изпълнение (ЕС) 2017/2408 на Съвета от 18 декември 2017 година за предоставяне на разрешение на Република Латвия да прилага специална мярка за дерогация от член 287 от Директива 2006/112/ЕО относно общата система на данъка върху добавената стойност (ОВ L 342, 21.12.2017 г., стр. 8).</w:t>
      </w:r>
    </w:p>
  </w:footnote>
  <w:footnote w:id="11">
    <w:p>
      <w:pPr>
        <w:pStyle w:val="FootnoteText"/>
      </w:pPr>
      <w:r>
        <w:rPr>
          <w:rStyle w:val="FootnoteReference"/>
        </w:rPr>
        <w:footnoteRef/>
      </w:r>
      <w:r>
        <w:tab/>
        <w:t>Решение за изпълнение (ЕС) 2017/1855 на Съвета от 10 октомври 2017 година за предоставяне на разрешение на Румъния да прилага специална мярка за дерогация от член 287 от Директива 2006/112/ЕО относно общата система на данъка върху добавената стойност (ОВ L 265, 14.10.2017 г., стр. 19).</w:t>
      </w:r>
    </w:p>
  </w:footnote>
  <w:footnote w:id="12">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„Към единно пространство на ЕС по отношение на ДДС – Време за избор“, Брюксел, 7.4.2016 г., COM(2016)148 final.</w:t>
      </w:r>
    </w:p>
  </w:footnote>
  <w:footnote w:id="13">
    <w:p>
      <w:pPr>
        <w:pStyle w:val="FootnoteText"/>
      </w:pPr>
      <w:r>
        <w:rPr>
          <w:rStyle w:val="FootnoteReference"/>
        </w:rPr>
        <w:footnoteRef/>
      </w:r>
      <w:r>
        <w:tab/>
        <w:t>Работна програма на Комисията за 2017 г. „Европа на резултатите: закрила, предоставяне на повече права и защита на гражданите“, Страсбург, 25.10.2016 г., COM(2016)710 final.</w:t>
      </w:r>
    </w:p>
  </w:footnote>
  <w:footnote w:id="14">
    <w:p>
      <w:pPr>
        <w:pStyle w:val="FootnoteText"/>
      </w:pPr>
      <w:r>
        <w:rPr>
          <w:rStyle w:val="FootnoteReference"/>
        </w:rPr>
        <w:footnoteRef/>
      </w:r>
      <w:r>
        <w:tab/>
        <w:t>Предложение за Директива на Съвета за изменение на Директива 2006/112/ЕО относно общата система на данъка върху добавената стойност по отношение на специалния режим за малките предприятия, 18.1.2018 г., COM(2018) 21 final.</w:t>
      </w:r>
    </w:p>
  </w:footnote>
  <w:footnote w:id="15">
    <w:p>
      <w:pPr>
        <w:pStyle w:val="FootnoteText"/>
      </w:pPr>
      <w:r>
        <w:rPr>
          <w:rStyle w:val="FootnoteReference"/>
        </w:rPr>
        <w:footnoteRef/>
      </w:r>
      <w:r>
        <w:tab/>
        <w:t>COM(2008) 394 от 25 юни 2008 г.</w:t>
      </w:r>
    </w:p>
  </w:footnote>
  <w:footnote w:id="16">
    <w:p>
      <w:pPr>
        <w:pStyle w:val="FootnoteText"/>
      </w:pPr>
      <w:r>
        <w:rPr>
          <w:rStyle w:val="FootnoteReference"/>
        </w:rPr>
        <w:footnoteRef/>
      </w:r>
      <w:r>
        <w:tab/>
        <w:t>ОВ L 347, 11.12.2006 г., стр. 1.</w:t>
      </w:r>
    </w:p>
  </w:footnote>
  <w:footnote w:id="17">
    <w:p>
      <w:pPr>
        <w:pStyle w:val="FootnoteText"/>
      </w:pPr>
      <w:r>
        <w:rPr>
          <w:rStyle w:val="FootnoteReference"/>
        </w:rPr>
        <w:footnoteRef/>
      </w:r>
      <w:r>
        <w:tab/>
        <w:t>Решение 2009/790/ЕО на Съвета от 20 октомври 2009 г. за даване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283, 30.10.2009 г., стр. 53).</w:t>
      </w:r>
    </w:p>
  </w:footnote>
  <w:footnote w:id="18">
    <w:p>
      <w:pPr>
        <w:pStyle w:val="FootnoteText"/>
      </w:pPr>
      <w:r>
        <w:rPr>
          <w:rStyle w:val="FootnoteReference"/>
        </w:rPr>
        <w:footnoteRef/>
      </w:r>
      <w:r>
        <w:tab/>
        <w:t>Решение за изпълнение 2012/769/ЕС на Съвета от 4 декември 2012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338, 12.12.2012 г., стр. 27).</w:t>
      </w:r>
    </w:p>
  </w:footnote>
  <w:footnote w:id="19">
    <w:p>
      <w:pPr>
        <w:pStyle w:val="FootnoteText"/>
      </w:pPr>
      <w:r>
        <w:rPr>
          <w:rStyle w:val="FootnoteReference"/>
        </w:rPr>
        <w:footnoteRef/>
      </w:r>
      <w:r>
        <w:tab/>
        <w:t>Решение за изпълнение (ЕС) 2015/1173 на Съвета от 14 юли 2015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189, 17.7.2015 г., стр. 36).</w:t>
      </w:r>
    </w:p>
  </w:footnote>
  <w:footnote w:id="20">
    <w:p>
      <w:pPr>
        <w:pStyle w:val="FootnoteText"/>
        <w:rPr>
          <w:rStyle w:val="FootnoteReference"/>
          <w:color w:val="000000" w:themeColor="text1"/>
        </w:rPr>
      </w:pPr>
      <w:r>
        <w:rPr>
          <w:rStyle w:val="FootnoteReference"/>
        </w:rPr>
        <w:footnoteRef/>
      </w:r>
      <w:r>
        <w:tab/>
        <w:t>Решение за изпълнение (ЕС) 2016/2090 на Съвета от 21 ноември 2016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w:t>
      </w:r>
      <w:r>
        <w:rPr>
          <w:color w:val="000000" w:themeColor="text1"/>
        </w:rPr>
        <w:t>ОВ L 324, 30.11.2016 г., стр. 7).</w:t>
      </w:r>
      <w:r>
        <w:rPr>
          <w:rStyle w:val="FootnoteReference"/>
          <w:color w:val="000000" w:themeColor="text1"/>
        </w:rPr>
        <w:t xml:space="preserve"> </w:t>
      </w:r>
    </w:p>
  </w:footnote>
  <w:footnote w:id="21">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345F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BE6A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A01C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1254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BAF1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0665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0619A2"/>
    <w:lvl w:ilvl="0">
      <w:start w:val="1"/>
      <w:numFmt w:val="decimal"/>
      <w:pStyle w:val="ListNumber"/>
      <w:lvlText w:val="%1."/>
      <w:lvlJc w:val="left"/>
      <w:pPr>
        <w:tabs>
          <w:tab w:val="num" w:pos="360"/>
        </w:tabs>
        <w:ind w:left="360" w:hanging="360"/>
      </w:pPr>
    </w:lvl>
  </w:abstractNum>
  <w:abstractNum w:abstractNumId="7">
    <w:nsid w:val="FFFFFF89"/>
    <w:multiLevelType w:val="singleLevel"/>
    <w:tmpl w:val="F8BCD3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9 09:00: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91A2E8F-B18F-4157-A397-AEB919C3991F"/>
    <w:docVar w:name="LW_COVERPAGE_TYPE" w:val="1"/>
    <w:docVar w:name="LW_CROSSREFERENCE" w:val="&lt;UNUSED&gt;"/>
    <w:docVar w:name="LW_DocType" w:val="COM"/>
    <w:docVar w:name="LW_EMISSION" w:val="26.10.2018"/>
    <w:docVar w:name="LW_EMISSION_ISODATE" w:val="2018-10-26"/>
    <w:docVar w:name="LW_EMISSION_LOCATION" w:val="BRX"/>
    <w:docVar w:name="LW_EMISSION_PREFIX" w:val="Брюксел,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66"/>
    <w:docVar w:name="LW_REF.II.NEW.CP_YEAR" w:val="2018"/>
    <w:docVar w:name="LW_REF.INST.NEW" w:val="COM"/>
    <w:docVar w:name="LW_REF.INST.NEW_ADOPTED" w:val="final"/>
    <w:docVar w:name="LW_REF.INST.NEW_TEXT" w:val="(2018)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2009/790/\u1045?\u1054? \u1079?\u1072? \u1076?\u1072?\u1074?\u1072?\u1085?\u1077? \u1085?\u1072? \u1088?\u1072?\u1079?\u1088?\u1077?\u1096?\u1077?\u1085?\u1080?\u1077? \u1085?\u1072? \u1056?\u1077?\u1087?\u1091?\u1073?\u1083?\u1080?\u1082?\u1072? \u1055?\u1086?\u1083?\u1096?\u1072? \u1076?\u1072? \u1087?\u1088?\u1080?\u1083?\u1086?\u1078?\u1080? \u1084?\u1103?\u1088?\u1082?\u1072? \u1079?\u1072? \u1076?\u1077?\u1088?\u1086?\u1075?\u1072?\u1094?\u1080?\u1103? \u1086?\u1090? \u1095?\u1083?\u1077?\u1085? 287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1EE5-6260-4C84-A106-9C55FFF3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1857</Words>
  <Characters>10235</Characters>
  <Application>Microsoft Office Word</Application>
  <DocSecurity>0</DocSecurity>
  <Lines>196</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2018-09-25T14:16:00Z</cp:lastPrinted>
  <dcterms:created xsi:type="dcterms:W3CDTF">2018-10-18T09:57:00Z</dcterms:created>
  <dcterms:modified xsi:type="dcterms:W3CDTF">2018-10-19T07:00:00Z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