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6BF0B4C-67C8-4009-8FE0-4588352049B0"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(„Директивата за ДДС“)</w:t>
      </w:r>
      <w:r>
        <w:rPr>
          <w:rStyle w:val="FootnoteReference"/>
          <w:noProof/>
        </w:rPr>
        <w:footnoteReference w:id="1"/>
      </w:r>
      <w:r>
        <w:rPr>
          <w:noProof/>
        </w:rPr>
        <w:t xml:space="preserve">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rPr>
          <w:noProof/>
        </w:rPr>
      </w:pPr>
      <w:r>
        <w:rPr>
          <w:noProof/>
        </w:rPr>
        <w:t>С писмо, заведено в Комисията на 19 юли 2018 г., Нидерландия поиска разрешение да въведе мярка за дерогация от член 285 от Директивата за ДДС, разрешаваща ѝ да освобождава от ДДС данъчно задължените лица, чийто годишен оборот не надвишава 25 000 EUR.</w:t>
      </w:r>
    </w:p>
    <w:p>
      <w:pPr>
        <w:rPr>
          <w:noProof/>
        </w:rPr>
      </w:pPr>
      <w:r>
        <w:rPr>
          <w:noProof/>
        </w:rPr>
        <w:t>В съответствие с член 395, параграф 2 от Директивата за ДДС с писма от 10 август 2018 г. Комисията информира Испания и Кипър за отправеното от Нидерландия искане, докато останалите държави членки бяха уведомени с писма от 9 август 2018 г. С писмо от 13 август 2018 г. Комисията уведоми Нидерландия, че разполага с цялата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дял XII, глава 1 от Директивата за ДДС се предвижда възможността държавите членки да прилагат специални режими за малките предприятия, включително възможността да освобождават от облагане с ДДС данъчно задължените лица, чийто годишен оборот е под определено равнище. Това освобождаване означава, че данъчно задълженото лице не е длъжно да начислява ДДС върху извършените от него доставки и следователно не може да приспада ДДС за получените доставки.</w:t>
      </w:r>
    </w:p>
    <w:p>
      <w:pPr>
        <w:rPr>
          <w:noProof/>
        </w:rPr>
      </w:pPr>
      <w:r>
        <w:rPr>
          <w:noProof/>
        </w:rPr>
        <w:t>Съгласно член 285 от Директивата за ДДС държавите членки, които не са упражнили възможността за избор по член 14 от Втора директива 67/228/ЕИО на Съвета</w:t>
      </w:r>
      <w:r>
        <w:rPr>
          <w:rStyle w:val="FootnoteReference"/>
          <w:noProof/>
        </w:rPr>
        <w:footnoteReference w:id="2"/>
      </w:r>
      <w:r>
        <w:rPr>
          <w:noProof/>
        </w:rPr>
        <w:t>, могат да освободят от ДДС данъчно задължените лица, чийто годишен оборот не надвишава 5 000 EUR. Като една от тези държави членки, Нидерландия поиска разрешение да увеличи прага за освобождаване — от 5 000 EUR на 25 000 EUR, считано от 1 януари 2020 г.</w:t>
      </w:r>
    </w:p>
    <w:p>
      <w:pPr>
        <w:rPr>
          <w:rFonts w:eastAsia="Calibri"/>
          <w:noProof/>
        </w:rPr>
      </w:pPr>
      <w:r>
        <w:rPr>
          <w:noProof/>
        </w:rPr>
        <w:t xml:space="preserve">Според предоставената от Нидерландия информация настоящата ѝ система позволява прагови освобождавания за данъчно задължените лица, които на годишна основа и след приспадане на данъка върху получените доставки дължат ДДС, който не надхвърля 1 883 EUR. Процедурата по предоставяне на прагово освобождаване е сложна и се характеризира с висок процент на грешки. Вследствие на бързо растящия брой малки предприятия в Нидерландия оперативните разходи за нидерландските данъчни органи нарастват, административната тежест за предприятията се увеличава, докато съответните финансови предимства остават малки. Ето защо Нидерландия желае да модернизира своята система, като въведе незадължителна схема за освобождаване от ДДС с праг 25 000 EUR. Тази мярка ще доведе до намаляване на свързаните с ДДС </w:t>
      </w:r>
      <w:r>
        <w:rPr>
          <w:noProof/>
        </w:rPr>
        <w:lastRenderedPageBreak/>
        <w:t xml:space="preserve">задължения за малките предприятия и ще улесни данъчните органи при събирането на ДДС.  </w:t>
      </w:r>
    </w:p>
    <w:p>
      <w:pPr>
        <w:rPr>
          <w:noProof/>
        </w:rPr>
      </w:pPr>
      <w:r>
        <w:rPr>
          <w:noProof/>
        </w:rPr>
        <w:t>Нидерландия посочва също така, че тази мярка е в съответствие с обхвата на предложението за Директива относно специалния режим за малки предприятия, публикувано от Европейската комисия на 18 януари 2018 г</w:t>
      </w:r>
      <w:r>
        <w:rPr>
          <w:rStyle w:val="FootnoteReference"/>
          <w:noProof/>
        </w:rPr>
        <w:footnoteReference w:id="3"/>
      </w:r>
      <w:r>
        <w:rPr>
          <w:noProof/>
        </w:rPr>
        <w:t xml:space="preserve">. </w:t>
      </w:r>
    </w:p>
    <w:p>
      <w:pPr>
        <w:rPr>
          <w:noProof/>
        </w:rPr>
      </w:pPr>
      <w:r>
        <w:rPr>
          <w:noProof/>
        </w:rPr>
        <w:t>Поради това се предлага на Нидерландия да бъде разрешено да увеличи прага за освобождаване за МСП — от 5 000 EUR на 25 000 EUR, до 31 декември 2022 г. или до датата, от която държавите членки следва да прилагат националните разпоредби, които те трябва да приемат, в случай че бъде приета директива за изменение на членове 281—294 от Директива 2006/112/ЕО, уреждащи специалния режим за малките предприятия.</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color w:val="000000"/>
        </w:rPr>
      </w:pPr>
      <w:r>
        <w:rPr>
          <w:noProof/>
        </w:rPr>
        <w:t>Подобни дерогации вече са предоставени на други държави членки.</w:t>
      </w:r>
      <w:r>
        <w:rPr>
          <w:noProof/>
          <w:color w:val="000000"/>
        </w:rPr>
        <w:t xml:space="preserve"> На Люксембург</w:t>
      </w:r>
      <w:r>
        <w:rPr>
          <w:rStyle w:val="FootnoteReference"/>
          <w:noProof/>
          <w:color w:val="000000"/>
        </w:rPr>
        <w:footnoteReference w:id="4"/>
      </w:r>
      <w:r>
        <w:rPr>
          <w:noProof/>
          <w:color w:val="000000"/>
        </w:rPr>
        <w:t xml:space="preserve"> бе определен праг от 30 000 EUR, на Полша</w:t>
      </w:r>
      <w:r>
        <w:rPr>
          <w:rStyle w:val="FootnoteReference"/>
          <w:noProof/>
          <w:color w:val="000000"/>
        </w:rPr>
        <w:footnoteReference w:id="5"/>
      </w:r>
      <w:r>
        <w:rPr>
          <w:noProof/>
          <w:color w:val="000000"/>
        </w:rPr>
        <w:t xml:space="preserve"> и Естония</w:t>
      </w:r>
      <w:r>
        <w:rPr>
          <w:rStyle w:val="FootnoteReference"/>
          <w:noProof/>
          <w:color w:val="000000"/>
        </w:rPr>
        <w:footnoteReference w:id="6"/>
      </w:r>
      <w:r>
        <w:rPr>
          <w:noProof/>
          <w:color w:val="000000"/>
        </w:rPr>
        <w:t xml:space="preserve"> – от 40 000 EUR, на Италия</w:t>
      </w:r>
      <w:r>
        <w:rPr>
          <w:rStyle w:val="FootnoteReference"/>
          <w:noProof/>
          <w:color w:val="000000"/>
        </w:rPr>
        <w:footnoteReference w:id="7"/>
      </w:r>
      <w:r>
        <w:rPr>
          <w:noProof/>
          <w:color w:val="000000"/>
        </w:rPr>
        <w:t xml:space="preserve"> – от 65 000 EUR, на Хърватия</w:t>
      </w:r>
      <w:r>
        <w:rPr>
          <w:rStyle w:val="FootnoteReference"/>
          <w:noProof/>
          <w:color w:val="000000"/>
        </w:rPr>
        <w:footnoteReference w:id="8"/>
      </w:r>
      <w:r>
        <w:rPr>
          <w:noProof/>
          <w:color w:val="000000"/>
        </w:rPr>
        <w:t xml:space="preserve"> – от 45 000 EUR, на Латвия</w:t>
      </w:r>
      <w:r>
        <w:rPr>
          <w:rStyle w:val="FootnoteReference"/>
          <w:noProof/>
          <w:color w:val="000000"/>
        </w:rPr>
        <w:footnoteReference w:id="9"/>
      </w:r>
      <w:r>
        <w:rPr>
          <w:noProof/>
          <w:color w:val="000000"/>
        </w:rPr>
        <w:t xml:space="preserve"> – от 40 000 EUR, на Румъния</w:t>
      </w:r>
      <w:r>
        <w:rPr>
          <w:rStyle w:val="FootnoteReference"/>
          <w:noProof/>
          <w:color w:val="000000"/>
        </w:rPr>
        <w:footnoteReference w:id="10"/>
      </w:r>
      <w:r>
        <w:rPr>
          <w:noProof/>
          <w:color w:val="000000"/>
        </w:rPr>
        <w:t xml:space="preserve"> – от 88 500 EUR. </w:t>
      </w:r>
    </w:p>
    <w:p>
      <w:pPr>
        <w:rPr>
          <w:noProof/>
        </w:rPr>
      </w:pPr>
      <w:r>
        <w:rPr>
          <w:noProof/>
        </w:rPr>
        <w:t xml:space="preserve">Дерогациите от Директивата за ДДС следва винаги да бъдат ограничени във времето, за да може да бъде оценено тяхното въздействие. Освен това разпоредбите на членове 281 – 294 от Директивата за ДДС, отнасящи се до специалния режим за малките предприятия, са в процес на преразглеждане. Както бе обявено в Плана за действие във </w:t>
      </w:r>
      <w:r>
        <w:rPr>
          <w:noProof/>
        </w:rPr>
        <w:lastRenderedPageBreak/>
        <w:t>връзка с ДДС</w:t>
      </w:r>
      <w:r>
        <w:rPr>
          <w:rStyle w:val="FootnoteReference"/>
          <w:noProof/>
        </w:rPr>
        <w:footnoteReference w:id="11"/>
      </w:r>
      <w:r>
        <w:rPr>
          <w:noProof/>
        </w:rPr>
        <w:t xml:space="preserve"> и в Работната програма на Комисията за 2017 г.</w:t>
      </w:r>
      <w:r>
        <w:rPr>
          <w:rStyle w:val="FootnoteReference"/>
          <w:noProof/>
        </w:rPr>
        <w:footnoteReference w:id="12"/>
      </w:r>
      <w:r>
        <w:rPr>
          <w:noProof/>
        </w:rPr>
        <w:t>, неотдавна беше представено предложението на Комисията за режима за МСП.</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Мярката е в съответствие с целите на Съюза по отношение на малките предприятия, както са изложени в Съобщението на Комисията „Мисли първо за малките!“ „Small Business Act“ за Европа“</w:t>
      </w:r>
      <w:r>
        <w:rPr>
          <w:rStyle w:val="FootnoteReference"/>
          <w:noProof/>
        </w:rPr>
        <w:footnoteReference w:id="13"/>
      </w:r>
      <w:r>
        <w:rPr>
          <w:noProof/>
        </w:rPr>
        <w:t>, в което държавите членки се призовават при изготвянето на законодателството да вземат предвид характерните особености на малките и средните предприятия и съответно да опростят съществуващата нормативна уредба.</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Член 395 от Директивата за ДДС. </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основание на която е съставено предложението, принципът на субсидиарността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Решението се отнася до даване на разрешение на държава членка по нейно искане и не представлява задължение. </w:t>
      </w:r>
    </w:p>
    <w:p>
      <w:pPr>
        <w:rPr>
          <w:noProof/>
        </w:rPr>
      </w:pPr>
      <w:r>
        <w:rPr>
          <w:noProof/>
        </w:rPr>
        <w:t>Предвид ограничения обхват на дерогацията специалната мярка е пропорционална на поставената цел, а именно опростяване за малките предприятия и за данъчната администрация.</w:t>
      </w:r>
    </w:p>
    <w:p>
      <w:pPr>
        <w:pStyle w:val="ManualHeading2"/>
        <w:rPr>
          <w:rFonts w:eastAsia="Arial Unicode MS"/>
          <w:noProof/>
          <w:u w:color="000000"/>
          <w:bdr w:val="nil"/>
        </w:rPr>
      </w:pPr>
      <w:r>
        <w:rPr>
          <w:noProof/>
        </w:rPr>
        <w:t>•</w:t>
      </w:r>
      <w:r>
        <w:rPr>
          <w:noProof/>
        </w:rPr>
        <w:tab/>
        <w:t>Избор на инструмент</w:t>
      </w:r>
    </w:p>
    <w:p>
      <w:pPr>
        <w:spacing w:before="0" w:after="240"/>
        <w:rPr>
          <w:rFonts w:eastAsia="Arial Unicode MS"/>
          <w:noProof/>
        </w:rPr>
      </w:pPr>
      <w:r>
        <w:rPr>
          <w:noProof/>
        </w:rPr>
        <w:t>Предлаган инструмент: решение за изпълнение на Съвета.</w:t>
      </w:r>
    </w:p>
    <w:p>
      <w:pPr>
        <w:spacing w:before="0" w:after="240"/>
        <w:rPr>
          <w:rFonts w:eastAsia="Arial Unicode MS"/>
          <w:noProof/>
        </w:rPr>
      </w:pPr>
      <w:r>
        <w:rPr>
          <w:noProof/>
        </w:rPr>
        <w:t>По силата на член 395 от Директива 2006/112/EО на Съвета дерогация от общите разпоредби за ДДС е възможна единствено след разрешение от Съвета, действащ с единодушие по 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Нидерландия, и се отнася само до тази държава членка.</w:t>
      </w:r>
    </w:p>
    <w:p>
      <w:pPr>
        <w:pStyle w:val="ManualHeading2"/>
        <w:rPr>
          <w:rFonts w:eastAsia="Arial Unicode MS"/>
          <w:noProof/>
          <w:u w:color="000000"/>
          <w:bdr w:val="nil"/>
        </w:rPr>
      </w:pPr>
      <w:r>
        <w:rPr>
          <w:noProof/>
        </w:rPr>
        <w:lastRenderedPageBreak/>
        <w:t>•</w:t>
      </w:r>
      <w:r>
        <w:rPr>
          <w:noProof/>
        </w:rPr>
        <w:tab/>
        <w:t>Събиране и използване на експертни становища</w:t>
      </w:r>
    </w:p>
    <w:p>
      <w:pP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С предложението за решение за изпълнение на Съвета на Нидерландия се разрешава да освобождава от ДДС данъчно задължените лица, чийто годишен оборот не надвишава 25 000 EUR, считано от 1 януари 2020 г. Данъчно задължените лица, чийто годишен оборот не надвишава прага, се освобождават от много от общите задължения във връзка с ДДС, като в резултат на тази мярка ще намалее и административната тежест за тях. С нея също така се улесняват нидерландските данъчни органи при събирането на данъка.</w:t>
      </w:r>
    </w:p>
    <w:p>
      <w:pPr>
        <w:rPr>
          <w:noProof/>
        </w:rPr>
      </w:pPr>
      <w:r>
        <w:rPr>
          <w:noProof/>
        </w:rPr>
        <w:t xml:space="preserve">Според Нидерландия въвеждането на прага от 25 000 EUR няма да окаже съществено въздействие върху общия размер на данъчните приходи на етапа на крайното потребление. Очаква се около 9 % от данъчно задължените лица да се възползват от прага за освобождаване, което съответства на въздействие върху държавния бюджет от около 0,09 %.  </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ЕС, тъй като Нидерландия ще изчисли съответната компенсация по член 6 от Регламент (ЕИО, ЕВРАТОМ) № 1553/89 на Съвета.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rPr>
          <w:b/>
          <w:noProof/>
        </w:rPr>
      </w:pPr>
      <w:r>
        <w:rPr>
          <w:noProof/>
        </w:rPr>
        <w:t>Предложението е ограничено във времето.</w:t>
      </w:r>
      <w:r>
        <w:rPr>
          <w:b/>
          <w:noProof/>
        </w:rPr>
        <w:t xml:space="preserve">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2018/0367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Нидерландия да въведе специална мярка за дерогация от член 285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14"/>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285, първа алинея от Директива 2006/112/ЕО държавите членки, които не са упражнили възможността за избор по член 14 от Директива 67/228/ЕИО на Съвета</w:t>
      </w:r>
      <w:r>
        <w:rPr>
          <w:rStyle w:val="FootnoteReference"/>
          <w:noProof/>
        </w:rPr>
        <w:footnoteReference w:id="15"/>
      </w:r>
      <w:r>
        <w:rPr>
          <w:noProof/>
        </w:rPr>
        <w:t xml:space="preserve">, могат да освободят от данъка върху добавената стойност (ДДС) данъчно задължените лица, чийто годишен оборот не е по-висок от 5 000 EUR. </w:t>
      </w:r>
    </w:p>
    <w:p>
      <w:pPr>
        <w:pStyle w:val="ManualConsidrant"/>
        <w:rPr>
          <w:noProof/>
        </w:rPr>
      </w:pPr>
      <w:r>
        <w:t>(2)</w:t>
      </w:r>
      <w:r>
        <w:tab/>
      </w:r>
      <w:r>
        <w:rPr>
          <w:noProof/>
        </w:rPr>
        <w:t>С писмо, заведено в Комисията на 19 юли 2018 г., Нидерландия поиска разрешение да въведе специална мярка за дерогация от член 285 от Директива 2006/112/ЕО с цел прилагане на праг за освобождаване от 25 000 EUR. Чрез тази специална мярка данъчно задължените лица, чийто годишен оборот не е по-висок от 25 000 EUR, ще бъдат освободени от някои или от всички свързани с ДДС задължения по дял XI, глави 2—6 от Директива 2006/112/ЕО.</w:t>
      </w:r>
    </w:p>
    <w:p>
      <w:pPr>
        <w:pStyle w:val="ManualConsidrant"/>
        <w:rPr>
          <w:noProof/>
        </w:rPr>
      </w:pPr>
      <w:r>
        <w:t>(3)</w:t>
      </w:r>
      <w:r>
        <w:tab/>
      </w:r>
      <w:r>
        <w:rPr>
          <w:noProof/>
        </w:rPr>
        <w:t>По-високият праг при специалния режим за малките предприятия, предвиден в членове 281—294 от Директива 2006/112/ЕО, е мярка за опростяване, тъй като може значително да намали свързаните с ДДС задължения на малките предприятия. Специалният режим е незадължителен за данъчно задължените лица.</w:t>
      </w:r>
    </w:p>
    <w:p>
      <w:pPr>
        <w:pStyle w:val="ManualConsidrant"/>
        <w:rPr>
          <w:noProof/>
        </w:rPr>
      </w:pPr>
      <w:r>
        <w:t>(4)</w:t>
      </w:r>
      <w:r>
        <w:tab/>
      </w:r>
      <w:r>
        <w:rPr>
          <w:noProof/>
        </w:rPr>
        <w:t>В съответствие с член 395, параграф 2, втора алинея от Директива 2006/112/ЕО с писма от 10 август 2018 г. Комисията информира Испания и Кипър за отправеното от Нидерландия искане, докато останалите държави членки бяха уведомени с писма от 9 август 2018 г. С писмо от 13 август 2018 г. Комисията уведоми Нидерландия, че разполага с цялата информация, необходима за разглеждане на искането.</w:t>
      </w:r>
    </w:p>
    <w:p>
      <w:pPr>
        <w:pStyle w:val="ManualConsidrant"/>
        <w:rPr>
          <w:noProof/>
        </w:rPr>
      </w:pPr>
      <w:r>
        <w:lastRenderedPageBreak/>
        <w:t>(5)</w:t>
      </w:r>
      <w:r>
        <w:tab/>
      </w:r>
      <w:r>
        <w:rPr>
          <w:noProof/>
        </w:rPr>
        <w:t>Исканата дерогация е в съответствие с целите на политиката, изложени в Съобщението на Комисията „Мисли първо за малките!“ „Small Business Act“ за Европа“</w:t>
      </w:r>
      <w:r>
        <w:rPr>
          <w:rStyle w:val="FootnoteReference"/>
          <w:noProof/>
        </w:rPr>
        <w:footnoteReference w:id="16"/>
      </w:r>
      <w:r>
        <w:rPr>
          <w:noProof/>
        </w:rPr>
        <w:t>.</w:t>
      </w:r>
    </w:p>
    <w:p>
      <w:pPr>
        <w:pStyle w:val="ManualConsidrant"/>
        <w:rPr>
          <w:noProof/>
        </w:rPr>
      </w:pPr>
      <w:r>
        <w:t>(6)</w:t>
      </w:r>
      <w:r>
        <w:tab/>
      </w:r>
      <w:r>
        <w:rPr>
          <w:noProof/>
        </w:rPr>
        <w:t xml:space="preserve">Като се има предвид, че Нидерландия очаква увеличеният праг да доведе до ограничаване на свързаните с ДДС задължения и по този начин до намаляване на административната тежест и разходите за привеждане в съответствие за малките предприятия, на Нидерландия следва да се разреши да прилага специалната мярка за ограничен срок до 31 декември 2022 г. Специалният режим за малките предприятия е незадължителен и следователно данъчно задължените лица ще запазят възможността да изберат да се придържат към общия режим на ДДС. </w:t>
      </w:r>
    </w:p>
    <w:p>
      <w:pPr>
        <w:pStyle w:val="ManualConsidrant"/>
        <w:rPr>
          <w:noProof/>
        </w:rPr>
      </w:pPr>
      <w:r>
        <w:t>(7)</w:t>
      </w:r>
      <w:r>
        <w:tab/>
      </w:r>
      <w:r>
        <w:rPr>
          <w:noProof/>
        </w:rPr>
        <w:t>Тъй като членове 281—294 от Директива 2006/112/ЕО относно специалния режим за малките предприятия са в процес на преразглеждане, е възможно преди изтичането на срока на валидност на дерогацията на 31 декември 2022 г. да влезе в сила директива за изменение на посочените членове, която да определя дата, от която държавите членки трябва да прилагат национални разпоредби. В такъв случай прилагането на настоящото решение следва да бъде прекратено.</w:t>
      </w:r>
    </w:p>
    <w:p>
      <w:pPr>
        <w:pStyle w:val="ManualConsidrant"/>
        <w:rPr>
          <w:noProof/>
        </w:rPr>
      </w:pPr>
      <w:r>
        <w:t>(8)</w:t>
      </w:r>
      <w:r>
        <w:tab/>
      </w:r>
      <w:r>
        <w:rPr>
          <w:noProof/>
        </w:rPr>
        <w:t>Съгласно предоставената от Нидерландия информация увеличеният праг ще окаже незначително въздействие върху общия размер на данъчните приходи на Нидерландия, събирани на етапа на крайното потребление.</w:t>
      </w:r>
    </w:p>
    <w:p>
      <w:pPr>
        <w:pStyle w:val="ManualConsidrant"/>
        <w:rPr>
          <w:noProof/>
        </w:rPr>
      </w:pPr>
      <w:r>
        <w:t>(9)</w:t>
      </w:r>
      <w:r>
        <w:tab/>
      </w:r>
      <w:r>
        <w:rPr>
          <w:noProof/>
        </w:rPr>
        <w:t>Дерогацията няма отражение върху собствените ресурси на Съюза, набирани от данъка върху добавената стойност, тъй като Нидерландия ще изчисли съответната компенсация по реда на член 6 от Регламент (ЕИО, Евратом) № 1553/89 на Съвета</w:t>
      </w:r>
      <w:r>
        <w:rPr>
          <w:rStyle w:val="FootnoteReference"/>
          <w:noProof/>
        </w:rPr>
        <w:footnoteReference w:id="17"/>
      </w:r>
      <w:r>
        <w:rPr>
          <w:noProof/>
        </w:rPr>
        <w:t>,</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szCs w:val="24"/>
        </w:rPr>
      </w:pPr>
      <w:r>
        <w:rPr>
          <w:noProof/>
        </w:rPr>
        <w:t xml:space="preserve">Чрез дерогация от член 285 от Директива 2006/112/EО на Нидерландия се разрешава да освободи от ДДС данъчно задължените лица, чийто годишен оборот е не по-висок от 25 000 EUR. </w:t>
      </w:r>
    </w:p>
    <w:p>
      <w:pPr>
        <w:pStyle w:val="Titrearticle"/>
        <w:rPr>
          <w:noProof/>
        </w:rPr>
      </w:pPr>
      <w:r>
        <w:rPr>
          <w:noProof/>
        </w:rPr>
        <w:t>Член 2</w:t>
      </w:r>
    </w:p>
    <w:p>
      <w:pPr>
        <w:rPr>
          <w:noProof/>
        </w:rPr>
      </w:pPr>
      <w:r>
        <w:rPr>
          <w:noProof/>
        </w:rPr>
        <w:t>Настоящото решение се прилага от 1 януари 2020 г. до настъпването на по-ранната от следните две дати:</w:t>
      </w:r>
    </w:p>
    <w:p>
      <w:pPr>
        <w:rPr>
          <w:noProof/>
        </w:rPr>
      </w:pPr>
      <w:r>
        <w:rPr>
          <w:noProof/>
        </w:rPr>
        <w:t>a)</w:t>
      </w:r>
      <w:r>
        <w:rPr>
          <w:noProof/>
        </w:rPr>
        <w:tab/>
        <w:t>31 декември 2022 г.;</w:t>
      </w:r>
    </w:p>
    <w:p>
      <w:pPr>
        <w:ind w:left="720" w:hanging="720"/>
        <w:rPr>
          <w:noProof/>
        </w:rPr>
      </w:pPr>
      <w:r>
        <w:rPr>
          <w:noProof/>
        </w:rPr>
        <w:t>б)</w:t>
      </w:r>
      <w:r>
        <w:rPr>
          <w:noProof/>
        </w:rPr>
        <w:tab/>
        <w:t>датата, от която държавите членки трябва да прилагат националните разпоредби, които те са длъжни да приемат, в случай че бъде приета директива за изменение на членове 281—294 от Директива 2006/112/ЕО, уреждащи специалния режим за малките предприятия.</w:t>
      </w:r>
    </w:p>
    <w:p>
      <w:pPr>
        <w:pStyle w:val="Titrearticle"/>
        <w:rPr>
          <w:noProof/>
        </w:rPr>
      </w:pPr>
      <w:r>
        <w:rPr>
          <w:noProof/>
        </w:rPr>
        <w:lastRenderedPageBreak/>
        <w:t>Член 3</w:t>
      </w:r>
    </w:p>
    <w:p>
      <w:pPr>
        <w:rPr>
          <w:noProof/>
        </w:rPr>
      </w:pPr>
      <w:r>
        <w:rPr>
          <w:noProof/>
        </w:rPr>
        <w:t>Адресат на настоящото решение е Нидерландия.</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Втора директива 67/228/ЕИО на Съвета от 11 април 1967 година за хармонизиране на законодателствата на държавите членки относно данъците върху оборота — структура и процедури за прилагане на общата система на данъка върху добавената стойност (ОВ 71, 14.4.1967 г., стр. 1303/67).</w:t>
      </w:r>
    </w:p>
  </w:footnote>
  <w:footnote w:id="3">
    <w:p>
      <w:pPr>
        <w:pStyle w:val="FootnoteText"/>
      </w:pPr>
      <w:r>
        <w:rPr>
          <w:rStyle w:val="FootnoteReference"/>
        </w:rPr>
        <w:footnoteRef/>
      </w:r>
      <w:r>
        <w:tab/>
        <w:t>Предложение за Директива на Съвета за изменение на Директива 2006/112/ЕО относно общата система на данъка върху добавената стойност по отношение на специалния режим за малките предприятия, 18.1.2018 г., COM(2018) 21 final.</w:t>
      </w:r>
    </w:p>
  </w:footnote>
  <w:footnote w:id="4">
    <w:p>
      <w:pPr>
        <w:pStyle w:val="FootnoteText"/>
      </w:pPr>
      <w:r>
        <w:rPr>
          <w:rStyle w:val="FootnoteReference"/>
        </w:rPr>
        <w:footnoteRef/>
      </w:r>
      <w:r>
        <w:tab/>
        <w:t xml:space="preserve">Решение за изпълнение (ЕС) 2017/319 на Съвета от 21 февруари 2017 година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47, 24.2.2017 г., стр. 7). </w:t>
      </w:r>
    </w:p>
  </w:footnote>
  <w:footnote w:id="5">
    <w:p>
      <w:pPr>
        <w:pStyle w:val="FootnoteText"/>
      </w:pPr>
      <w:r>
        <w:rPr>
          <w:rStyle w:val="FootnoteReference"/>
        </w:rPr>
        <w:footnoteRef/>
      </w:r>
      <w:r>
        <w:tab/>
        <w:t>Решение за изпълнение (ЕС) 2016/2090 на Съвета от 21 ноември 2016 година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324, 30.11.2016 г., стр. 7).</w:t>
      </w:r>
    </w:p>
  </w:footnote>
  <w:footnote w:id="6">
    <w:p>
      <w:pPr>
        <w:pStyle w:val="FootnoteText"/>
      </w:pPr>
      <w:r>
        <w:rPr>
          <w:rStyle w:val="FootnoteReference"/>
        </w:rPr>
        <w:footnoteRef/>
      </w:r>
      <w:r>
        <w:tab/>
        <w:t>Решение за изпълнение (ЕС) 2017/563 на Съвета от 21 март 2017 година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80, 25.3.2017 г., стр. 33).</w:t>
      </w:r>
    </w:p>
  </w:footnote>
  <w:footnote w:id="7">
    <w:p>
      <w:pPr>
        <w:pStyle w:val="FootnoteText"/>
      </w:pPr>
      <w:r>
        <w:rPr>
          <w:rStyle w:val="FootnoteReference"/>
        </w:rPr>
        <w:footnoteRef/>
      </w:r>
      <w:r>
        <w:tab/>
        <w:t>Решение за изпълнение (ЕС) 2016/1988 на Съвета от 8 ноември 2016 година за изменение на Решение за изпълнение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306, 15.11.2016 г., стр. 11).</w:t>
      </w:r>
    </w:p>
  </w:footnote>
  <w:footnote w:id="8">
    <w:p>
      <w:pPr>
        <w:pStyle w:val="FootnoteText"/>
      </w:pPr>
      <w:r>
        <w:rPr>
          <w:rStyle w:val="FootnoteReference"/>
        </w:rPr>
        <w:footnoteRef/>
      </w:r>
      <w:r>
        <w:tab/>
        <w:t>Решение за изпълнение (ЕС) 2017/1768 на Съвета от 25 септември 2017 година за даване на разрешение на Република Хърватия да въведе специална мярка за дерогация от член 287 от Директива 2006/112/ЕО относно общата система на данъка върху добавената стойност (ОВ L 250, 28.9.2017 г., стр. 71).</w:t>
      </w:r>
    </w:p>
  </w:footnote>
  <w:footnote w:id="9">
    <w:p>
      <w:pPr>
        <w:pStyle w:val="FootnoteText"/>
      </w:pPr>
      <w:r>
        <w:rPr>
          <w:rStyle w:val="FootnoteReference"/>
        </w:rPr>
        <w:footnoteRef/>
      </w:r>
      <w:r>
        <w:tab/>
        <w:t>Решение за изпълнение (ЕС) 2017/2408 на Съвета от 18 декември 2017 година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 L 342, 21.12.2017 г., стр. 8).</w:t>
      </w:r>
    </w:p>
  </w:footnote>
  <w:footnote w:id="10">
    <w:p>
      <w:pPr>
        <w:pStyle w:val="FootnoteText"/>
      </w:pPr>
      <w:r>
        <w:rPr>
          <w:rStyle w:val="FootnoteReference"/>
        </w:rPr>
        <w:footnoteRef/>
      </w:r>
      <w:r>
        <w:tab/>
        <w:t>Решение за изпълнение (ЕС) 2017/1855 на Съвета от 10 октомври 2017 година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 L 265, 14.10.2017 г., стр. 19).</w:t>
      </w:r>
    </w:p>
  </w:footnote>
  <w:footnote w:id="11">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„Към единно пространство на ЕС по отношение на ДДС – Време за избор“, Брюксел, 7.4.2016 г., COM(2016)148 final.</w:t>
      </w:r>
    </w:p>
  </w:footnote>
  <w:footnote w:id="12">
    <w:p>
      <w:pPr>
        <w:pStyle w:val="FootnoteText"/>
      </w:pPr>
      <w:r>
        <w:rPr>
          <w:rStyle w:val="FootnoteReference"/>
        </w:rPr>
        <w:footnoteRef/>
      </w:r>
      <w:r>
        <w:tab/>
        <w:t>Работна програма на Комисията за 2017 г. „Европа на резултатите: закрила, предоставяне на повече права и защита на гражданите“, Страсбург, 25.10.2016 г., COM(2016)710 final.</w:t>
      </w:r>
    </w:p>
  </w:footnote>
  <w:footnote w:id="13">
    <w:p>
      <w:pPr>
        <w:pStyle w:val="FootnoteText"/>
      </w:pPr>
      <w:r>
        <w:rPr>
          <w:rStyle w:val="FootnoteReference"/>
        </w:rPr>
        <w:footnoteRef/>
      </w:r>
      <w:r>
        <w:tab/>
        <w:t>Съобщение на Комисията до Съвета, Европейския парламент, Европейския икономически и социален комитет и Комитета на регионите – „Мисли първо за малките!“ „Small Business Act“ за Европа“, Брюксел, 25.6.2008 г., COM(2008) 394 окончателен.</w:t>
      </w:r>
    </w:p>
  </w:footnote>
  <w:footnote w:id="14">
    <w:p>
      <w:pPr>
        <w:pStyle w:val="FootnoteText"/>
      </w:pPr>
      <w:r>
        <w:rPr>
          <w:rStyle w:val="FootnoteReference"/>
        </w:rPr>
        <w:footnoteRef/>
      </w:r>
      <w:r>
        <w:tab/>
        <w:t>ОВ L 347, 11.12.2006 г., стр. 1.</w:t>
      </w:r>
    </w:p>
  </w:footnote>
  <w:footnote w:id="15">
    <w:p>
      <w:pPr>
        <w:pStyle w:val="FootnoteText"/>
      </w:pPr>
      <w:r>
        <w:rPr>
          <w:rStyle w:val="FootnoteReference"/>
        </w:rPr>
        <w:footnoteRef/>
      </w:r>
      <w:r>
        <w:tab/>
        <w:t>Втора директива 67/228/ЕИО на Съвета от 11 април 1967 година за хармонизиране на законодателствата на държавите членки относно данъците върху оборота — структура и процедури за прилагане на общата система на данъка върху добавената стойност (ОВ 71, 14.4.1967 г., стр. 1303/67).</w:t>
      </w:r>
    </w:p>
  </w:footnote>
  <w:footnote w:id="16">
    <w:p>
      <w:pPr>
        <w:pStyle w:val="FootnoteText"/>
      </w:pPr>
      <w:r>
        <w:rPr>
          <w:rStyle w:val="FootnoteReference"/>
        </w:rPr>
        <w:footnoteRef/>
      </w:r>
      <w:r>
        <w:tab/>
        <w:t xml:space="preserve">Съобщение на Комисията до Съвета, Европейския парламент, Европейския икономически и социален комитет и Комитета на регионите – „Мисли първо за малките!“ „Small Business Act“ за Европа“, COM(2008) 394 окончателен от 25 юни 2008 г. </w:t>
      </w:r>
    </w:p>
  </w:footnote>
  <w:footnote w:id="17">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722A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587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AC7B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D09C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D7EE0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926D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A657AA"/>
    <w:lvl w:ilvl="0">
      <w:start w:val="1"/>
      <w:numFmt w:val="decimal"/>
      <w:pStyle w:val="ListNumber"/>
      <w:lvlText w:val="%1."/>
      <w:lvlJc w:val="left"/>
      <w:pPr>
        <w:tabs>
          <w:tab w:val="num" w:pos="360"/>
        </w:tabs>
        <w:ind w:left="360" w:hanging="360"/>
      </w:pPr>
    </w:lvl>
  </w:abstractNum>
  <w:abstractNum w:abstractNumId="7">
    <w:nsid w:val="FFFFFF89"/>
    <w:multiLevelType w:val="singleLevel"/>
    <w:tmpl w:val="0396D3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9 15:37: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6BF0B4C-67C8-4009-8FE0-4588352049B0"/>
    <w:docVar w:name="LW_COVERPAGE_TYPE" w:val="1"/>
    <w:docVar w:name="LW_CROSSREFERENCE" w:val="&lt;UNUSED&gt;"/>
    <w:docVar w:name="LW_DocType" w:val="COM"/>
    <w:docVar w:name="LW_EMISSION" w:val="26.10.2018"/>
    <w:docVar w:name="LW_EMISSION_ISODATE" w:val="2018-10-26"/>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67"/>
    <w:docVar w:name="LW_REF.II.NEW.CP_YEAR" w:val="2018"/>
    <w:docVar w:name="LW_REF.INST.NEW" w:val="COM"/>
    <w:docVar w:name="LW_REF.INST.NEW_ADOPTED" w:val="final"/>
    <w:docVar w:name="LW_REF.INST.NEW_TEXT" w:val="(2018) 7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3?\u1080?\u1076?\u1077?\u1088?\u1083?\u1072?\u1085?\u1076?\u1080?\u1103? \u1076?\u1072? \u1074?\u1098?\u1074?\u1077?\u1076?\u1077? \u1089?\u1087?\u1077?\u1094?\u1080?\u1072?\u1083?\u1085?\u1072? \u1084?\u1103?\u1088?\u1082?\u1072? \u1079?\u1072? \u1076?\u1077?\u1088?\u1086?\u1075?\u1072?\u1094?\u1080?\u1103? \u1086?\u1090? \u1095?\u1083?\u1077?\u1085? 285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AF1F0DD-783A-41D9-9F4C-70DE47A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1787</Words>
  <Characters>9866</Characters>
  <Application>Microsoft Office Word</Application>
  <DocSecurity>0</DocSecurity>
  <Lines>197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2018-10-18T09:46:00Z</dcterms:created>
  <dcterms:modified xsi:type="dcterms:W3CDTF">2018-10-19T13:37:00Z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