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charts/chart3.xml" ContentType="application/vnd.openxmlformats-officedocument.drawingml.chart+xml"/>
  <Override PartName="/word/theme/themeOverride3.xml" ContentType="application/vnd.openxmlformats-officedocument.themeOverride+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charts/chart4.xml" ContentType="application/vnd.openxmlformats-officedocument.drawingml.chart+xml"/>
  <Override PartName="/word/theme/themeOverride4.xml" ContentType="application/vnd.openxmlformats-officedocument.themeOverride+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charts/chart5.xml" ContentType="application/vnd.openxmlformats-officedocument.drawingml.chart+xml"/>
  <Override PartName="/word/theme/themeOverride5.xml" ContentType="application/vnd.openxmlformats-officedocument.themeOverride+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Toc527023263"/>
      <w:bookmarkStart w:id="1" w:name="_Toc527446449"/>
      <w:bookmarkStart w:id="2" w:name="_Toc527447506"/>
      <w:bookmarkStart w:id="3"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3" type="#_x0000_t75" alt="2C79D510-B11E-49F4-96C8-0BECCD9F4CC8" style="width:450.75pt;height:414.75pt">
            <v:imagedata r:id="rId7" o:title=""/>
          </v:shape>
        </w:pict>
      </w:r>
    </w:p>
    <w:bookmarkEnd w:id="3"/>
    <w:p>
      <w:pPr>
        <w:rPr>
          <w:noProof/>
        </w:rPr>
        <w:sectPr>
          <w:headerReference w:type="even" r:id="rId8"/>
          <w:headerReference w:type="default" r:id="rId9"/>
          <w:footerReference w:type="even" r:id="rId10"/>
          <w:footerReference w:type="default" r:id="rId11"/>
          <w:headerReference w:type="first" r:id="rId12"/>
          <w:footerReference w:type="first" r:id="rId13"/>
          <w:pgSz w:w="11906" w:h="16838"/>
          <w:pgMar w:top="1134" w:right="1417" w:bottom="1134" w:left="1417" w:header="709" w:footer="709" w:gutter="0"/>
          <w:pgNumType w:start="18"/>
          <w:cols w:space="720"/>
          <w:docGrid w:linePitch="360"/>
        </w:sectPr>
      </w:pPr>
    </w:p>
    <w:p>
      <w:pPr>
        <w:pStyle w:val="Title"/>
        <w:rPr>
          <w:noProof/>
        </w:rPr>
      </w:pPr>
      <w:bookmarkStart w:id="4" w:name="_GoBack"/>
      <w:bookmarkEnd w:id="4"/>
      <w:r>
        <w:rPr>
          <w:noProof/>
        </w:rPr>
        <w:lastRenderedPageBreak/>
        <w:t>Country fact sheet:</w:t>
      </w:r>
      <w:bookmarkEnd w:id="0"/>
      <w:r>
        <w:rPr>
          <w:noProof/>
        </w:rPr>
        <w:t xml:space="preserve"> Czech Republic</w:t>
      </w:r>
      <w:bookmarkEnd w:id="1"/>
      <w:bookmarkEnd w:id="2"/>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652937" cy="2902226"/>
            <wp:effectExtent l="0" t="0" r="508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660434" cy="2906075"/>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
      </w:r>
      <w:r>
        <w:rPr>
          <w:noProof/>
          <w:sz w:val="22"/>
          <w:szCs w:val="22"/>
        </w:rPr>
        <w:t xml:space="preserve"> 1990-2017 (index 1990 = 100 %). Right hand side: Total greenhouse gas emissions by sector</w:t>
      </w:r>
      <w:r>
        <w:rPr>
          <w:noProof/>
          <w:sz w:val="22"/>
          <w:szCs w:val="22"/>
          <w:vertAlign w:val="superscript"/>
        </w:rPr>
        <w:footnoteReference w:id="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32" name="Chart 23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3"/>
      </w:r>
    </w:p>
    <w:p>
      <w:pPr>
        <w:pStyle w:val="Heading1"/>
        <w:rPr>
          <w:noProof/>
        </w:rPr>
      </w:pPr>
      <w:r>
        <w:rPr>
          <w:noProof/>
        </w:rPr>
        <w:t>2. ETS emissions</w:t>
      </w:r>
    </w:p>
    <w:p>
      <w:pPr>
        <w:rPr>
          <w:noProof/>
        </w:rPr>
      </w:pPr>
      <w:r>
        <w:rPr>
          <w:noProof/>
          <w:lang w:eastAsia="en-GB"/>
        </w:rPr>
        <w:drawing>
          <wp:inline distT="0" distB="0" distL="0" distR="0">
            <wp:extent cx="5661329" cy="2736616"/>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8420" cy="2735210"/>
                    </a:xfrm>
                    <a:prstGeom prst="rect">
                      <a:avLst/>
                    </a:prstGeom>
                    <a:noFill/>
                  </pic:spPr>
                </pic:pic>
              </a:graphicData>
            </a:graphic>
          </wp:inline>
        </w:drawing>
      </w:r>
      <w:r>
        <w:rPr>
          <w:b/>
          <w:noProof/>
          <w:color w:val="4F81BD" w:themeColor="accent1"/>
        </w:rPr>
        <w:t>Figure 3: ETS emissions (Mt CO</w:t>
      </w:r>
      <w:r>
        <w:rPr>
          <w:b/>
          <w:noProof/>
          <w:color w:val="4F81BD" w:themeColor="accent1"/>
          <w:vertAlign w:val="subscript"/>
        </w:rPr>
        <w:t>2</w:t>
      </w:r>
      <w:r>
        <w:rPr>
          <w:b/>
          <w:noProof/>
          <w:color w:val="4F81BD" w:themeColor="accent1"/>
        </w:rPr>
        <w:t>-eq.).</w:t>
      </w:r>
      <w:r>
        <w:rPr>
          <w:b/>
          <w:noProof/>
          <w:color w:val="4F81BD" w:themeColor="accent1"/>
          <w:vertAlign w:val="superscript"/>
          <w:lang w:val="fr-BE"/>
        </w:rPr>
        <w:footnoteReference w:id="4"/>
      </w:r>
    </w:p>
    <w:p>
      <w:pPr>
        <w:pStyle w:val="Heading1"/>
        <w:rPr>
          <w:noProof/>
        </w:rPr>
      </w:pPr>
      <w:r>
        <w:rPr>
          <w:noProof/>
        </w:rPr>
        <w:t>3. Emissions in Effort Sharing sectors</w:t>
      </w:r>
    </w:p>
    <w:p>
      <w:pPr>
        <w:rPr>
          <w:noProof/>
        </w:rPr>
      </w:pPr>
      <w:r>
        <w:rPr>
          <w:noProof/>
          <w:lang w:eastAsia="en-GB"/>
        </w:rPr>
        <w:drawing>
          <wp:inline distT="0" distB="0" distL="0" distR="0">
            <wp:extent cx="5750694" cy="2156046"/>
            <wp:effectExtent l="0" t="0" r="254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2276" cy="2156639"/>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p>
    <w:p>
      <w:pPr>
        <w:rPr>
          <w:noProof/>
        </w:rPr>
      </w:pPr>
      <w:r>
        <w:rPr>
          <w:noProof/>
          <w:lang w:eastAsia="en-GB"/>
        </w:rPr>
        <w:drawing>
          <wp:inline distT="0" distB="0" distL="0" distR="0">
            <wp:extent cx="5760000" cy="2048400"/>
            <wp:effectExtent l="0" t="0" r="0"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18">
                      <a:extLst>
                        <a:ext uri="{28A0092B-C50C-407E-A947-70E740481C1C}">
                          <a14:useLocalDpi xmlns:a14="http://schemas.microsoft.com/office/drawing/2010/main" val="0"/>
                        </a:ext>
                      </a:extLst>
                    </a:blip>
                    <a:srcRect b="76215"/>
                    <a:stretch/>
                  </pic:blipFill>
                  <pic:spPr bwMode="auto">
                    <a:xfrm>
                      <a:off x="0" y="0"/>
                      <a:ext cx="5760000" cy="2048400"/>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5"/>
      </w:r>
    </w:p>
    <w:p>
      <w:pPr>
        <w:keepNext/>
        <w:rPr>
          <w:noProof/>
        </w:rPr>
      </w:pPr>
      <w:r>
        <w:rPr>
          <w:noProof/>
        </w:rPr>
        <w:t xml:space="preserve">Reported quantities </w:t>
      </w:r>
      <w:r>
        <w:rPr>
          <w:noProof/>
          <w:lang w:eastAsia="de-DE"/>
        </w:rPr>
        <w:t>under the Kyoto Protocol for the Czech Republic show net removals of, on average, -5.9 Mt CO</w:t>
      </w:r>
      <w:r>
        <w:rPr>
          <w:noProof/>
          <w:vertAlign w:val="subscript"/>
          <w:lang w:eastAsia="de-DE"/>
        </w:rPr>
        <w:t>2</w:t>
      </w:r>
      <w:r>
        <w:rPr>
          <w:noProof/>
          <w:lang w:eastAsia="de-DE"/>
        </w:rPr>
        <w:t>-eq for the period 2013 to 2016. In this regard the Czech Republic contributes with 1.5% to the annual average sink of -384.4 Mt CO</w:t>
      </w:r>
      <w:r>
        <w:rPr>
          <w:noProof/>
          <w:vertAlign w:val="subscript"/>
          <w:lang w:eastAsia="de-DE"/>
        </w:rPr>
        <w:t>2</w:t>
      </w:r>
      <w:r>
        <w:rPr>
          <w:noProof/>
          <w:lang w:eastAsia="de-DE"/>
        </w:rPr>
        <w:t>-eq of the EU-28. Accounting for the same period depicts net credits of, on average, -1.2 Mt CO</w:t>
      </w:r>
      <w:r>
        <w:rPr>
          <w:noProof/>
          <w:vertAlign w:val="subscript"/>
          <w:lang w:eastAsia="de-DE"/>
        </w:rPr>
        <w:t>2</w:t>
      </w:r>
      <w:r>
        <w:rPr>
          <w:noProof/>
          <w:lang w:eastAsia="de-DE"/>
        </w:rPr>
        <w:t>-eq, which corresponds to 1.0% of the EU-28 accounted sink of -115.7 Mt CO</w:t>
      </w:r>
      <w:r>
        <w:rPr>
          <w:noProof/>
          <w:vertAlign w:val="subscript"/>
          <w:lang w:eastAsia="de-DE"/>
        </w:rPr>
        <w:t>2</w:t>
      </w:r>
      <w:r>
        <w:rPr>
          <w:noProof/>
          <w:lang w:eastAsia="de-DE"/>
        </w:rPr>
        <w:t>-eq. Reported net r</w:t>
      </w:r>
      <w:r>
        <w:rPr>
          <w:rFonts w:eastAsia="Times New Roman" w:cs="Tahoma"/>
          <w:noProof/>
        </w:rPr>
        <w:t>emovals are rather similar between 2013 and 2015 and decrease markedly for 2016. This pattern is accentuated with accounted net credits being highest for 2015 and a sharp decrease to nearly zero for 2016.</w:t>
      </w:r>
    </w:p>
    <w:p>
      <w:pPr>
        <w:jc w:val="both"/>
        <w:rPr>
          <w:noProof/>
          <w:lang w:eastAsia="de-DE"/>
        </w:rPr>
      </w:pPr>
    </w:p>
    <w:p>
      <w:pPr>
        <w:pStyle w:val="IntenseQuote"/>
        <w:rPr>
          <w:noProof/>
          <w:lang w:eastAsia="de-DE"/>
        </w:rPr>
      </w:pPr>
    </w:p>
    <w:p>
      <w:pPr>
        <w:rPr>
          <w:noProof/>
          <w:sz w:val="20"/>
          <w:szCs w:val="20"/>
        </w:rPr>
        <w:sectPr>
          <w:headerReference w:type="even" r:id="rId19"/>
          <w:headerReference w:type="default" r:id="rId20"/>
          <w:footerReference w:type="even" r:id="rId21"/>
          <w:footerReference w:type="default" r:id="rId22"/>
          <w:headerReference w:type="first" r:id="rId23"/>
          <w:footerReference w:type="first" r:id="rId24"/>
          <w:pgSz w:w="11906" w:h="16838"/>
          <w:pgMar w:top="1417" w:right="1417" w:bottom="1417" w:left="1417" w:header="708" w:footer="708" w:gutter="0"/>
          <w:cols w:space="720"/>
          <w:docGrid w:linePitch="360"/>
        </w:sectPr>
      </w:pPr>
    </w:p>
    <w:p>
      <w:pPr>
        <w:pStyle w:val="Title"/>
        <w:rPr>
          <w:noProof/>
        </w:rPr>
      </w:pPr>
      <w:bookmarkStart w:id="5" w:name="_Toc527023264"/>
      <w:bookmarkStart w:id="6" w:name="_Toc527446450"/>
      <w:bookmarkStart w:id="7" w:name="_Toc527447507"/>
      <w:r>
        <w:rPr>
          <w:noProof/>
        </w:rPr>
        <w:t>Country fact sheet: Denmark</w:t>
      </w:r>
      <w:bookmarkEnd w:id="5"/>
      <w:bookmarkEnd w:id="6"/>
      <w:bookmarkEnd w:id="7"/>
    </w:p>
    <w:p>
      <w:pPr>
        <w:pStyle w:val="Heading1"/>
        <w:rPr>
          <w:noProof/>
        </w:rPr>
      </w:pPr>
      <w:r>
        <w:rPr>
          <w:noProof/>
        </w:rPr>
        <w:t xml:space="preserve">1. Total greenhouse gas emissions </w:t>
      </w:r>
    </w:p>
    <w:p>
      <w:pPr>
        <w:rPr>
          <w:noProof/>
        </w:rPr>
      </w:pPr>
      <w:r>
        <w:rPr>
          <w:noProof/>
          <w:lang w:eastAsia="en-GB"/>
        </w:rPr>
        <w:drawing>
          <wp:inline distT="0" distB="0" distL="0" distR="0">
            <wp:extent cx="5732891" cy="2860809"/>
            <wp:effectExtent l="0" t="0" r="127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34590" cy="2861657"/>
                    </a:xfrm>
                    <a:prstGeom prst="rect">
                      <a:avLst/>
                    </a:prstGeom>
                    <a:noFill/>
                  </pic:spPr>
                </pic:pic>
              </a:graphicData>
            </a:graphic>
          </wp:inline>
        </w:drawing>
      </w:r>
    </w:p>
    <w:p>
      <w:pPr>
        <w:rPr>
          <w:b/>
          <w:bCs/>
          <w:noProof/>
          <w:color w:val="4F81BD" w:themeColor="accent1"/>
        </w:rPr>
      </w:pPr>
      <w:r>
        <w:rPr>
          <w:b/>
          <w:bCs/>
          <w:noProof/>
          <w:color w:val="4F81BD" w:themeColor="accent1"/>
        </w:rPr>
        <w:t>Figure 1: Left hand side: Total greenhouse gas emissions</w:t>
      </w:r>
      <w:r>
        <w:rPr>
          <w:b/>
          <w:bCs/>
          <w:noProof/>
          <w:color w:val="4F81BD" w:themeColor="accent1"/>
          <w:vertAlign w:val="superscript"/>
        </w:rPr>
        <w:footnoteReference w:id="6"/>
      </w:r>
      <w:r>
        <w:rPr>
          <w:b/>
          <w:bCs/>
          <w:noProof/>
          <w:color w:val="4F81BD" w:themeColor="accent1"/>
        </w:rPr>
        <w:t xml:space="preserve"> 1990-2017 (index 1990 = 100 %). Right hand side: Total greenhouse gas emissions by sector</w:t>
      </w:r>
      <w:r>
        <w:rPr>
          <w:b/>
          <w:bCs/>
          <w:noProof/>
          <w:color w:val="4F81BD" w:themeColor="accent1"/>
          <w:vertAlign w:val="superscript"/>
        </w:rPr>
        <w:footnoteReference w:id="7"/>
      </w:r>
      <w:r>
        <w:rPr>
          <w:b/>
          <w:bCs/>
          <w:noProof/>
          <w:color w:val="4F81BD" w:themeColor="accent1"/>
        </w:rPr>
        <w:t xml:space="preserve"> – historical emissions 1990-2016, projections 2017-2030 (Mt CO</w:t>
      </w:r>
      <w:r>
        <w:rPr>
          <w:b/>
          <w:bCs/>
          <w:noProof/>
          <w:color w:val="4F81BD" w:themeColor="accent1"/>
          <w:vertAlign w:val="subscript"/>
        </w:rPr>
        <w:t>2</w:t>
      </w:r>
      <w:r>
        <w:rPr>
          <w:b/>
          <w:bCs/>
          <w:noProof/>
          <w:color w:val="4F81BD" w:themeColor="accent1"/>
        </w:rPr>
        <w:t>-eq.).</w:t>
      </w:r>
    </w:p>
    <w:p>
      <w:pPr>
        <w:rPr>
          <w:noProof/>
        </w:rPr>
      </w:pPr>
      <w:r>
        <w:rPr>
          <w:noProof/>
          <w:lang w:eastAsia="en-GB"/>
        </w:rPr>
        <w:drawing>
          <wp:inline distT="0" distB="0" distL="0" distR="0">
            <wp:extent cx="3067049" cy="1804988"/>
            <wp:effectExtent l="0" t="0" r="19685" b="24130"/>
            <wp:docPr id="244" name="Chart 244"/>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8"/>
      </w:r>
    </w:p>
    <w:p>
      <w:pPr>
        <w:pStyle w:val="Heading1"/>
        <w:rPr>
          <w:noProof/>
          <w:lang w:val="fr-BE"/>
        </w:rPr>
      </w:pPr>
      <w:r>
        <w:rPr>
          <w:noProof/>
          <w:lang w:val="fr-BE"/>
        </w:rPr>
        <w:t>2. ETS emissions</w:t>
      </w:r>
    </w:p>
    <w:p>
      <w:pPr>
        <w:rPr>
          <w:noProof/>
          <w:lang w:val="fr-BE"/>
        </w:rPr>
      </w:pPr>
      <w:r>
        <w:rPr>
          <w:noProof/>
          <w:lang w:eastAsia="en-GB"/>
        </w:rPr>
        <w:drawing>
          <wp:inline distT="0" distB="0" distL="0" distR="0">
            <wp:extent cx="5661329" cy="2736616"/>
            <wp:effectExtent l="0" t="0" r="0" b="698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658420" cy="2735210"/>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9"/>
      </w:r>
    </w:p>
    <w:p>
      <w:pPr>
        <w:pStyle w:val="Heading1"/>
        <w:rPr>
          <w:noProof/>
        </w:rPr>
      </w:pPr>
      <w:r>
        <w:rPr>
          <w:noProof/>
        </w:rPr>
        <w:t>3. Emissions in Effort Sharing sectors</w:t>
      </w:r>
    </w:p>
    <w:p>
      <w:pPr>
        <w:rPr>
          <w:noProof/>
        </w:rPr>
      </w:pPr>
      <w:r>
        <w:rPr>
          <w:noProof/>
          <w:lang w:eastAsia="en-GB"/>
        </w:rPr>
        <w:drawing>
          <wp:inline distT="0" distB="0" distL="0" distR="0">
            <wp:extent cx="5844209" cy="2280655"/>
            <wp:effectExtent l="0" t="0" r="4445" b="571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2683" cy="2283962"/>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234637"/>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9">
                      <a:extLst>
                        <a:ext uri="{28A0092B-C50C-407E-A947-70E740481C1C}">
                          <a14:useLocalDpi xmlns:a14="http://schemas.microsoft.com/office/drawing/2010/main" val="0"/>
                        </a:ext>
                      </a:extLst>
                    </a:blip>
                    <a:srcRect b="74044"/>
                    <a:stretch/>
                  </pic:blipFill>
                  <pic:spPr bwMode="auto">
                    <a:xfrm>
                      <a:off x="0" y="0"/>
                      <a:ext cx="5760000" cy="2234637"/>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0"/>
      </w:r>
    </w:p>
    <w:p>
      <w:pPr>
        <w:jc w:val="both"/>
        <w:rPr>
          <w:noProof/>
          <w:lang w:eastAsia="de-DE"/>
        </w:rPr>
      </w:pPr>
      <w:r>
        <w:rPr>
          <w:noProof/>
        </w:rPr>
        <w:t xml:space="preserve">Reported quantities </w:t>
      </w:r>
      <w:r>
        <w:rPr>
          <w:noProof/>
          <w:lang w:eastAsia="de-DE"/>
        </w:rPr>
        <w:t>under the Kyoto Protocol for Denmark show net emissions of, on average, 2.7 Mt CO</w:t>
      </w:r>
      <w:r>
        <w:rPr>
          <w:noProof/>
          <w:vertAlign w:val="subscript"/>
          <w:lang w:eastAsia="de-DE"/>
        </w:rPr>
        <w:t>2</w:t>
      </w:r>
      <w:r>
        <w:rPr>
          <w:noProof/>
          <w:lang w:eastAsia="de-DE"/>
        </w:rPr>
        <w:t>-eq for the period 2013 to 2016. In this regard Denmark contributes negatively with -0.7% to the annual average sink of -384.4 Mt CO</w:t>
      </w:r>
      <w:r>
        <w:rPr>
          <w:noProof/>
          <w:vertAlign w:val="subscript"/>
          <w:lang w:eastAsia="de-DE"/>
        </w:rPr>
        <w:t>2</w:t>
      </w:r>
      <w:r>
        <w:rPr>
          <w:noProof/>
          <w:lang w:eastAsia="de-DE"/>
        </w:rPr>
        <w:t xml:space="preserve">-eq of the EU-28. </w:t>
      </w:r>
      <w:r>
        <w:rPr>
          <w:rFonts w:eastAsia="Times New Roman" w:cs="Tahoma"/>
          <w:noProof/>
        </w:rPr>
        <w:t xml:space="preserve">Denmark is one of two EU Member States which show net emissions in this preliminary exercise. </w:t>
      </w:r>
      <w:r>
        <w:rPr>
          <w:noProof/>
          <w:lang w:eastAsia="de-DE"/>
        </w:rPr>
        <w:t>Accounting for the same period depicts net credits of, on average, -2.8 Mt CO</w:t>
      </w:r>
      <w:r>
        <w:rPr>
          <w:noProof/>
          <w:vertAlign w:val="subscript"/>
          <w:lang w:eastAsia="de-DE"/>
        </w:rPr>
        <w:t>2</w:t>
      </w:r>
      <w:r>
        <w:rPr>
          <w:noProof/>
          <w:lang w:eastAsia="de-DE"/>
        </w:rPr>
        <w:t>-eq, which corresponds to 2.4% of the EU-28 accounted sink of -115.7 Mt CO</w:t>
      </w:r>
      <w:r>
        <w:rPr>
          <w:noProof/>
          <w:vertAlign w:val="subscript"/>
          <w:lang w:eastAsia="de-DE"/>
        </w:rPr>
        <w:t>2</w:t>
      </w:r>
      <w:r>
        <w:rPr>
          <w:noProof/>
          <w:lang w:eastAsia="de-DE"/>
        </w:rPr>
        <w:t xml:space="preserve">-eq. Reported net emissions are lowest for 2014 and increase markedly in the following years, which is similar to accounted net credits being highest for 2014 and decreasing thereafter. Denmark elected to report and account for Cropland Management as one of seven </w:t>
      </w:r>
      <w:r>
        <w:rPr>
          <w:rFonts w:eastAsia="Times New Roman" w:cs="Tahoma"/>
          <w:noProof/>
        </w:rPr>
        <w:t xml:space="preserve">EU Member States </w:t>
      </w:r>
      <w:r>
        <w:rPr>
          <w:noProof/>
          <w:lang w:eastAsia="de-DE"/>
        </w:rPr>
        <w:t xml:space="preserve">and for Grazing Land Management as one of six </w:t>
      </w:r>
      <w:r>
        <w:rPr>
          <w:rFonts w:eastAsia="Times New Roman" w:cs="Tahoma"/>
          <w:noProof/>
        </w:rPr>
        <w:t>EU Member States</w:t>
      </w:r>
      <w:r>
        <w:rPr>
          <w:noProof/>
          <w:lang w:eastAsia="de-DE"/>
        </w:rPr>
        <w:t>.</w:t>
      </w:r>
    </w:p>
    <w:p>
      <w:pPr>
        <w:pStyle w:val="IntenseQuote"/>
        <w:rPr>
          <w:noProof/>
          <w:lang w:eastAsia="de-DE"/>
        </w:rPr>
      </w:pPr>
    </w:p>
    <w:p>
      <w:pPr>
        <w:rPr>
          <w:noProof/>
          <w:sz w:val="20"/>
          <w:szCs w:val="20"/>
        </w:rPr>
        <w:sectPr>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pPr>
    </w:p>
    <w:p>
      <w:pPr>
        <w:pStyle w:val="Title"/>
        <w:rPr>
          <w:noProof/>
        </w:rPr>
      </w:pPr>
      <w:bookmarkStart w:id="8" w:name="_Toc527023265"/>
      <w:bookmarkStart w:id="9" w:name="_Toc527446451"/>
      <w:bookmarkStart w:id="10" w:name="_Toc527447508"/>
      <w:r>
        <w:rPr>
          <w:noProof/>
        </w:rPr>
        <w:t>Country fact sheet: Estonia</w:t>
      </w:r>
      <w:bookmarkEnd w:id="8"/>
      <w:bookmarkEnd w:id="9"/>
      <w:bookmarkEnd w:id="10"/>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385674" cy="2687541"/>
            <wp:effectExtent l="0" t="0" r="571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87269" cy="2688337"/>
                    </a:xfrm>
                    <a:prstGeom prst="rect">
                      <a:avLst/>
                    </a:prstGeom>
                    <a:noFill/>
                  </pic:spPr>
                </pic:pic>
              </a:graphicData>
            </a:graphic>
          </wp:inline>
        </w:drawing>
      </w:r>
    </w:p>
    <w:p>
      <w:pPr>
        <w:rPr>
          <w:b/>
          <w:bCs/>
          <w:noProof/>
          <w:color w:val="4F81BD" w:themeColor="accent1"/>
        </w:rPr>
      </w:pPr>
      <w:r>
        <w:rPr>
          <w:b/>
          <w:bCs/>
          <w:noProof/>
          <w:color w:val="4F81BD" w:themeColor="accent1"/>
        </w:rPr>
        <w:t>Figure 1: Left hand side: Total greenhouse gas emissions</w:t>
      </w:r>
      <w:r>
        <w:rPr>
          <w:b/>
          <w:bCs/>
          <w:noProof/>
          <w:color w:val="4F81BD" w:themeColor="accent1"/>
          <w:vertAlign w:val="superscript"/>
        </w:rPr>
        <w:footnoteReference w:id="11"/>
      </w:r>
      <w:r>
        <w:rPr>
          <w:b/>
          <w:bCs/>
          <w:noProof/>
          <w:color w:val="4F81BD" w:themeColor="accent1"/>
        </w:rPr>
        <w:t xml:space="preserve"> 1990-2017 (index 1990 = 100 %). Right hand side: Total greenhouse gas emissions by sector</w:t>
      </w:r>
      <w:r>
        <w:rPr>
          <w:b/>
          <w:bCs/>
          <w:noProof/>
          <w:color w:val="4F81BD" w:themeColor="accent1"/>
          <w:vertAlign w:val="superscript"/>
        </w:rPr>
        <w:footnoteReference w:id="12"/>
      </w:r>
      <w:r>
        <w:rPr>
          <w:b/>
          <w:bCs/>
          <w:noProof/>
          <w:color w:val="4F81BD" w:themeColor="accent1"/>
        </w:rPr>
        <w:t xml:space="preserve"> – historical emissions 1990-2016, projections 2017-2030 (Mt CO</w:t>
      </w:r>
      <w:r>
        <w:rPr>
          <w:b/>
          <w:bCs/>
          <w:noProof/>
          <w:color w:val="4F81BD" w:themeColor="accent1"/>
          <w:vertAlign w:val="subscript"/>
        </w:rPr>
        <w:t>2</w:t>
      </w:r>
      <w:r>
        <w:rPr>
          <w:b/>
          <w:bCs/>
          <w:noProof/>
          <w:color w:val="4F81BD" w:themeColor="accent1"/>
        </w:rPr>
        <w:t>-eq.).</w:t>
      </w:r>
    </w:p>
    <w:p>
      <w:pPr>
        <w:rPr>
          <w:noProof/>
        </w:rPr>
      </w:pPr>
    </w:p>
    <w:p>
      <w:pPr>
        <w:pStyle w:val="Caption"/>
        <w:keepNext/>
        <w:rPr>
          <w:noProof/>
          <w:sz w:val="22"/>
          <w:szCs w:val="22"/>
        </w:rPr>
      </w:pPr>
      <w:r>
        <w:rPr>
          <w:noProof/>
          <w:lang w:eastAsia="en-GB"/>
        </w:rPr>
        <w:drawing>
          <wp:inline distT="0" distB="0" distL="0" distR="0">
            <wp:extent cx="3067049" cy="1804988"/>
            <wp:effectExtent l="0" t="0" r="19685" b="24130"/>
            <wp:docPr id="4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1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637475" cy="2725086"/>
            <wp:effectExtent l="0" t="0" r="190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634578" cy="2723686"/>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4"/>
      </w:r>
    </w:p>
    <w:p>
      <w:pPr>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20713" cy="2202511"/>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722804" cy="2203316"/>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047676"/>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0">
                      <a:extLst>
                        <a:ext uri="{28A0092B-C50C-407E-A947-70E740481C1C}">
                          <a14:useLocalDpi xmlns:a14="http://schemas.microsoft.com/office/drawing/2010/main" val="0"/>
                        </a:ext>
                      </a:extLst>
                    </a:blip>
                    <a:srcRect t="-1" b="76216"/>
                    <a:stretch/>
                  </pic:blipFill>
                  <pic:spPr bwMode="auto">
                    <a:xfrm>
                      <a:off x="0" y="0"/>
                      <a:ext cx="5760000" cy="204767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15"/>
      </w:r>
    </w:p>
    <w:p>
      <w:pPr>
        <w:jc w:val="both"/>
        <w:rPr>
          <w:noProof/>
          <w:lang w:eastAsia="de-DE"/>
        </w:rPr>
      </w:pPr>
      <w:r>
        <w:rPr>
          <w:noProof/>
        </w:rPr>
        <w:t xml:space="preserve">Reported quantities </w:t>
      </w:r>
      <w:r>
        <w:rPr>
          <w:noProof/>
          <w:lang w:eastAsia="de-DE"/>
        </w:rPr>
        <w:t>under the Kyoto Protocol for Estonia show net removals of, on average, -3.6 Mt CO</w:t>
      </w:r>
      <w:r>
        <w:rPr>
          <w:noProof/>
          <w:vertAlign w:val="subscript"/>
          <w:lang w:eastAsia="de-DE"/>
        </w:rPr>
        <w:t>2</w:t>
      </w:r>
      <w:r>
        <w:rPr>
          <w:noProof/>
          <w:lang w:eastAsia="de-DE"/>
        </w:rPr>
        <w:t>-eq for the period 2013 to 2016. In this regard Estonia contributes with 0.9% to the annual average sink of -384.4 Mt CO</w:t>
      </w:r>
      <w:r>
        <w:rPr>
          <w:noProof/>
          <w:vertAlign w:val="subscript"/>
          <w:lang w:eastAsia="de-DE"/>
        </w:rPr>
        <w:t>2</w:t>
      </w:r>
      <w:r>
        <w:rPr>
          <w:noProof/>
          <w:lang w:eastAsia="de-DE"/>
        </w:rPr>
        <w:t>-eq of the EU-28. Accounting for the same period depicts net credits of, on average, -0.8 Mt CO</w:t>
      </w:r>
      <w:r>
        <w:rPr>
          <w:noProof/>
          <w:vertAlign w:val="subscript"/>
          <w:lang w:eastAsia="de-DE"/>
        </w:rPr>
        <w:t>2</w:t>
      </w:r>
      <w:r>
        <w:rPr>
          <w:noProof/>
          <w:lang w:eastAsia="de-DE"/>
        </w:rPr>
        <w:t>-eq, which corresponds to 0.7% of the EU-28 accounted sink of -115.7 Mt CO</w:t>
      </w:r>
      <w:r>
        <w:rPr>
          <w:noProof/>
          <w:vertAlign w:val="subscript"/>
          <w:lang w:eastAsia="de-DE"/>
        </w:rPr>
        <w:t>2</w:t>
      </w:r>
      <w:r>
        <w:rPr>
          <w:noProof/>
          <w:lang w:eastAsia="de-DE"/>
        </w:rPr>
        <w:t xml:space="preserve">-eq. Reported net removals and accounted net credits show a continuous increase. </w:t>
      </w:r>
    </w:p>
    <w:p>
      <w:pPr>
        <w:keepNext/>
        <w:rPr>
          <w:noProof/>
        </w:rPr>
      </w:pPr>
    </w:p>
    <w:p>
      <w:pPr>
        <w:jc w:val="both"/>
        <w:rPr>
          <w:noProof/>
          <w:lang w:eastAsia="de-DE"/>
        </w:rPr>
      </w:pPr>
    </w:p>
    <w:p>
      <w:pPr>
        <w:pStyle w:val="IntenseQuote"/>
        <w:rPr>
          <w:noProof/>
          <w:lang w:eastAsia="de-DE"/>
        </w:rPr>
      </w:pPr>
    </w:p>
    <w:p>
      <w:pPr>
        <w:rPr>
          <w:noProof/>
          <w:sz w:val="20"/>
          <w:szCs w:val="20"/>
        </w:rPr>
        <w:sectPr>
          <w:headerReference w:type="even" r:id="rId41"/>
          <w:headerReference w:type="default" r:id="rId42"/>
          <w:footerReference w:type="even" r:id="rId43"/>
          <w:footerReference w:type="default" r:id="rId44"/>
          <w:headerReference w:type="first" r:id="rId45"/>
          <w:footerReference w:type="first" r:id="rId46"/>
          <w:pgSz w:w="11906" w:h="16838"/>
          <w:pgMar w:top="1417" w:right="1417" w:bottom="1417" w:left="1417" w:header="708" w:footer="708" w:gutter="0"/>
          <w:cols w:space="708"/>
          <w:docGrid w:linePitch="360"/>
        </w:sectPr>
      </w:pPr>
    </w:p>
    <w:p>
      <w:pPr>
        <w:pStyle w:val="Title"/>
        <w:rPr>
          <w:noProof/>
        </w:rPr>
      </w:pPr>
      <w:bookmarkStart w:id="11" w:name="_Toc527023266"/>
      <w:bookmarkStart w:id="12" w:name="_Toc527446452"/>
      <w:bookmarkStart w:id="13" w:name="_Toc527447509"/>
      <w:r>
        <w:rPr>
          <w:noProof/>
        </w:rPr>
        <w:t>Country fact sheet: Finland</w:t>
      </w:r>
      <w:bookmarkEnd w:id="11"/>
      <w:bookmarkEnd w:id="12"/>
      <w:bookmarkEnd w:id="13"/>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84022" cy="2886324"/>
            <wp:effectExtent l="0" t="0" r="762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85737" cy="2887180"/>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16"/>
      </w:r>
      <w:r>
        <w:rPr>
          <w:noProof/>
          <w:sz w:val="22"/>
          <w:szCs w:val="22"/>
        </w:rPr>
        <w:t xml:space="preserve"> 1990-2017 (index 1990 = 100 %). Right hand side: Total greenhouse gas emissions by sector</w:t>
      </w:r>
      <w:r>
        <w:rPr>
          <w:noProof/>
          <w:sz w:val="22"/>
          <w:szCs w:val="22"/>
          <w:vertAlign w:val="superscript"/>
        </w:rPr>
        <w:footnoteReference w:id="17"/>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rPr>
          <w:noProof/>
        </w:rPr>
      </w:pPr>
    </w:p>
    <w:p>
      <w:pPr>
        <w:pStyle w:val="Caption"/>
        <w:keepNext/>
        <w:rPr>
          <w:noProof/>
          <w:sz w:val="22"/>
          <w:szCs w:val="22"/>
        </w:rPr>
      </w:pPr>
      <w:r>
        <w:rPr>
          <w:noProof/>
          <w:lang w:eastAsia="en-GB"/>
        </w:rPr>
        <w:drawing>
          <wp:inline distT="0" distB="0" distL="0" distR="0">
            <wp:extent cx="3067049" cy="1804988"/>
            <wp:effectExtent l="0" t="0" r="19685" b="24130"/>
            <wp:docPr id="257"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18"/>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88550" cy="2798114"/>
            <wp:effectExtent l="0" t="0" r="3175" b="254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785576" cy="2796676"/>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19"/>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88550" cy="2208282"/>
            <wp:effectExtent l="0" t="0" r="3175" b="190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793830" cy="2210296"/>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b/>
          <w:bCs/>
          <w:noProof/>
          <w:color w:val="365F91" w:themeColor="accent1" w:themeShade="BF"/>
          <w:sz w:val="28"/>
          <w:szCs w:val="28"/>
        </w:rPr>
      </w:pP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047676"/>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b="76215"/>
                    <a:stretch/>
                  </pic:blipFill>
                  <pic:spPr bwMode="auto">
                    <a:xfrm>
                      <a:off x="0" y="0"/>
                      <a:ext cx="5760000" cy="2047676"/>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0"/>
      </w:r>
    </w:p>
    <w:p>
      <w:pPr>
        <w:jc w:val="both"/>
        <w:rPr>
          <w:noProof/>
        </w:rPr>
      </w:pPr>
      <w:r>
        <w:rPr>
          <w:noProof/>
        </w:rPr>
        <w:t xml:space="preserve">Reported quantities </w:t>
      </w:r>
      <w:r>
        <w:rPr>
          <w:noProof/>
          <w:lang w:eastAsia="de-DE"/>
        </w:rPr>
        <w:t>under the Kyoto Protocol for Finland show net removals of, on average, -49.2 Mt CO</w:t>
      </w:r>
      <w:r>
        <w:rPr>
          <w:noProof/>
          <w:vertAlign w:val="subscript"/>
          <w:lang w:eastAsia="de-DE"/>
        </w:rPr>
        <w:t>2</w:t>
      </w:r>
      <w:r>
        <w:rPr>
          <w:noProof/>
          <w:lang w:eastAsia="de-DE"/>
        </w:rPr>
        <w:t>-eq for the period 2013 to 2016. In this regard Finland contributes with 12.8% to the annual average sink of -384.4 Mt CO</w:t>
      </w:r>
      <w:r>
        <w:rPr>
          <w:noProof/>
          <w:vertAlign w:val="subscript"/>
          <w:lang w:eastAsia="de-DE"/>
        </w:rPr>
        <w:t>2</w:t>
      </w:r>
      <w:r>
        <w:rPr>
          <w:noProof/>
          <w:lang w:eastAsia="de-DE"/>
        </w:rPr>
        <w:t>-eq of the EU-28. Accounting for the same period depicts net debits of, on average, 0.8 Mt CO</w:t>
      </w:r>
      <w:r>
        <w:rPr>
          <w:noProof/>
          <w:vertAlign w:val="subscript"/>
          <w:lang w:eastAsia="de-DE"/>
        </w:rPr>
        <w:t>2</w:t>
      </w:r>
      <w:r>
        <w:rPr>
          <w:noProof/>
          <w:lang w:eastAsia="de-DE"/>
        </w:rPr>
        <w:t>-eq, which corresponds to a negative contribution of -0.7% of the EU-28 accounted sink of -115.7 Mt CO</w:t>
      </w:r>
      <w:r>
        <w:rPr>
          <w:noProof/>
          <w:vertAlign w:val="subscript"/>
          <w:lang w:eastAsia="de-DE"/>
        </w:rPr>
        <w:t>2</w:t>
      </w:r>
      <w:r>
        <w:rPr>
          <w:noProof/>
          <w:lang w:eastAsia="de-DE"/>
        </w:rPr>
        <w:t xml:space="preserve">-eq. </w:t>
      </w:r>
      <w:r>
        <w:rPr>
          <w:rFonts w:eastAsia="Times New Roman" w:cs="Tahoma"/>
          <w:noProof/>
        </w:rPr>
        <w:t>Finland is one of six EU Member States which show net debits in this preliminary accounting exercise. Reported n</w:t>
      </w:r>
      <w:r>
        <w:rPr>
          <w:noProof/>
          <w:lang w:eastAsia="de-DE"/>
        </w:rPr>
        <w:t xml:space="preserve">et removals decrease since 2014, while accounted net debits show a decreasing trend over the four-year period. </w:t>
      </w:r>
      <w:r>
        <w:rPr>
          <w:noProof/>
        </w:rPr>
        <w:t xml:space="preserve">In this </w:t>
      </w:r>
      <w:r>
        <w:rPr>
          <w:rFonts w:eastAsia="Times New Roman" w:cs="Tahoma"/>
          <w:noProof/>
          <w:color w:val="000000"/>
        </w:rPr>
        <w:t>preliminary simulated accounting exercise</w:t>
      </w:r>
      <w:r>
        <w:rPr>
          <w:noProof/>
        </w:rPr>
        <w:t xml:space="preserve"> potential credits by Forest Management of, on average, -17.5</w:t>
      </w:r>
      <w:r>
        <w:rPr>
          <w:rFonts w:eastAsia="Times New Roman" w:cs="Tahoma"/>
          <w:noProof/>
          <w:color w:val="000000"/>
        </w:rPr>
        <w:t xml:space="preserve"> Mt CO</w:t>
      </w:r>
      <w:r>
        <w:rPr>
          <w:noProof/>
          <w:vertAlign w:val="subscript"/>
          <w:lang w:eastAsia="de-DE"/>
        </w:rPr>
        <w:t>2</w:t>
      </w:r>
      <w:r>
        <w:rPr>
          <w:rFonts w:eastAsia="Times New Roman" w:cs="Tahoma"/>
          <w:noProof/>
          <w:color w:val="000000"/>
        </w:rPr>
        <w:t>-eq per year</w:t>
      </w:r>
      <w:r>
        <w:rPr>
          <w:noProof/>
        </w:rPr>
        <w:t xml:space="preserve"> are capped </w:t>
      </w:r>
      <w:r>
        <w:rPr>
          <w:rFonts w:eastAsia="Times New Roman" w:cs="Tahoma"/>
          <w:noProof/>
          <w:color w:val="000000"/>
        </w:rPr>
        <w:t>to -2.5 Mt CO</w:t>
      </w:r>
      <w:r>
        <w:rPr>
          <w:noProof/>
          <w:vertAlign w:val="subscript"/>
          <w:lang w:eastAsia="de-DE"/>
        </w:rPr>
        <w:t>2</w:t>
      </w:r>
      <w:r>
        <w:rPr>
          <w:rFonts w:eastAsia="Times New Roman" w:cs="Tahoma"/>
          <w:noProof/>
          <w:color w:val="000000"/>
        </w:rPr>
        <w:t>-eq per year. Finland is one of eight EU Member States which exceed the cap of 3.5% from emissions of the base year (1990).</w:t>
      </w:r>
    </w:p>
    <w:p>
      <w:pPr>
        <w:jc w:val="both"/>
        <w:rPr>
          <w:noProof/>
          <w:lang w:eastAsia="de-DE"/>
        </w:rPr>
      </w:pPr>
    </w:p>
    <w:p>
      <w:pPr>
        <w:pStyle w:val="IntenseQuote"/>
        <w:rPr>
          <w:noProof/>
          <w:lang w:eastAsia="de-DE"/>
        </w:rPr>
      </w:pPr>
    </w:p>
    <w:p>
      <w:pPr>
        <w:rPr>
          <w:noProof/>
          <w:sz w:val="20"/>
          <w:szCs w:val="20"/>
        </w:rPr>
        <w:sectPr>
          <w:headerReference w:type="even" r:id="rId52"/>
          <w:headerReference w:type="default" r:id="rId53"/>
          <w:footerReference w:type="even" r:id="rId54"/>
          <w:footerReference w:type="default" r:id="rId55"/>
          <w:headerReference w:type="first" r:id="rId56"/>
          <w:footerReference w:type="first" r:id="rId57"/>
          <w:pgSz w:w="11906" w:h="16838"/>
          <w:pgMar w:top="1417" w:right="1417" w:bottom="1417" w:left="1417" w:header="708" w:footer="708" w:gutter="0"/>
          <w:cols w:space="708"/>
          <w:docGrid w:linePitch="360"/>
        </w:sectPr>
      </w:pPr>
    </w:p>
    <w:p>
      <w:pPr>
        <w:pStyle w:val="Title"/>
        <w:rPr>
          <w:noProof/>
        </w:rPr>
      </w:pPr>
      <w:bookmarkStart w:id="14" w:name="_Toc527023267"/>
      <w:bookmarkStart w:id="15" w:name="_Toc527446453"/>
      <w:bookmarkStart w:id="16" w:name="_Toc527447510"/>
      <w:r>
        <w:rPr>
          <w:noProof/>
        </w:rPr>
        <w:t>Country fact sheet: France</w:t>
      </w:r>
      <w:bookmarkEnd w:id="14"/>
      <w:bookmarkEnd w:id="15"/>
      <w:bookmarkEnd w:id="16"/>
    </w:p>
    <w:p>
      <w:pPr>
        <w:pStyle w:val="Heading1"/>
        <w:rPr>
          <w:noProof/>
        </w:rPr>
      </w:pPr>
      <w:r>
        <w:rPr>
          <w:noProof/>
        </w:rPr>
        <w:t xml:space="preserve">1. Total greenhouse gas emissions </w:t>
      </w:r>
    </w:p>
    <w:p>
      <w:pPr>
        <w:pStyle w:val="Caption"/>
        <w:keepNext/>
        <w:rPr>
          <w:noProof/>
          <w:sz w:val="22"/>
          <w:szCs w:val="22"/>
        </w:rPr>
      </w:pPr>
      <w:r>
        <w:rPr>
          <w:noProof/>
          <w:sz w:val="22"/>
          <w:szCs w:val="22"/>
          <w:lang w:eastAsia="en-GB"/>
        </w:rPr>
        <w:drawing>
          <wp:inline distT="0" distB="0" distL="0" distR="0">
            <wp:extent cx="5747657" cy="2868177"/>
            <wp:effectExtent l="0" t="0" r="5715" b="889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50070" cy="2869381"/>
                    </a:xfrm>
                    <a:prstGeom prst="rect">
                      <a:avLst/>
                    </a:prstGeom>
                    <a:noFill/>
                  </pic:spPr>
                </pic:pic>
              </a:graphicData>
            </a:graphic>
          </wp:inline>
        </w:drawing>
      </w:r>
    </w:p>
    <w:p>
      <w:pPr>
        <w:pStyle w:val="Caption"/>
        <w:keepNext/>
        <w:rPr>
          <w:noProof/>
          <w:sz w:val="22"/>
          <w:szCs w:val="22"/>
        </w:rPr>
      </w:pPr>
      <w:r>
        <w:rPr>
          <w:noProof/>
          <w:sz w:val="22"/>
          <w:szCs w:val="22"/>
        </w:rPr>
        <w:t>Figure 1: Left hand side: Total greenhouse gas emissions</w:t>
      </w:r>
      <w:r>
        <w:rPr>
          <w:noProof/>
          <w:sz w:val="22"/>
          <w:szCs w:val="22"/>
          <w:vertAlign w:val="superscript"/>
        </w:rPr>
        <w:footnoteReference w:id="21"/>
      </w:r>
      <w:r>
        <w:rPr>
          <w:noProof/>
          <w:sz w:val="22"/>
          <w:szCs w:val="22"/>
        </w:rPr>
        <w:t xml:space="preserve"> 1990-2017 (index 1990 = 100 %). Right hand side: Total greenhouse gas emissions by sector</w:t>
      </w:r>
      <w:r>
        <w:rPr>
          <w:noProof/>
          <w:sz w:val="22"/>
          <w:szCs w:val="22"/>
          <w:vertAlign w:val="superscript"/>
        </w:rPr>
        <w:footnoteReference w:id="22"/>
      </w:r>
      <w:r>
        <w:rPr>
          <w:noProof/>
          <w:sz w:val="22"/>
          <w:szCs w:val="22"/>
        </w:rPr>
        <w:t xml:space="preserve"> – historical emissions 1990-2016, projections 2017-2030 (Mt CO</w:t>
      </w:r>
      <w:r>
        <w:rPr>
          <w:noProof/>
          <w:sz w:val="22"/>
          <w:szCs w:val="22"/>
          <w:vertAlign w:val="subscript"/>
        </w:rPr>
        <w:t>2</w:t>
      </w:r>
      <w:r>
        <w:rPr>
          <w:noProof/>
          <w:sz w:val="22"/>
          <w:szCs w:val="22"/>
        </w:rPr>
        <w:t>-eq.).</w:t>
      </w:r>
    </w:p>
    <w:p>
      <w:pPr>
        <w:pStyle w:val="Caption"/>
        <w:keepNext/>
        <w:rPr>
          <w:noProof/>
          <w:sz w:val="22"/>
          <w:szCs w:val="22"/>
        </w:rPr>
      </w:pPr>
      <w:r>
        <w:rPr>
          <w:noProof/>
          <w:lang w:eastAsia="en-GB"/>
        </w:rPr>
        <w:drawing>
          <wp:inline distT="0" distB="0" distL="0" distR="0">
            <wp:extent cx="3067049" cy="1804988"/>
            <wp:effectExtent l="0" t="0" r="19685" b="24130"/>
            <wp:docPr id="262" name="Chart 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rPr>
          <w:noProof/>
        </w:rPr>
      </w:pPr>
      <w:r>
        <w:rPr>
          <w:b/>
          <w:bCs/>
          <w:noProof/>
          <w:color w:val="4F81BD" w:themeColor="accent1"/>
        </w:rPr>
        <w:t xml:space="preserve">Figure </w:t>
      </w:r>
      <w:r>
        <w:rPr>
          <w:b/>
          <w:bCs/>
          <w:noProof/>
          <w:color w:val="4F81BD" w:themeColor="accent1"/>
        </w:rPr>
        <w:fldChar w:fldCharType="begin"/>
      </w:r>
      <w:r>
        <w:rPr>
          <w:b/>
          <w:bCs/>
          <w:noProof/>
          <w:color w:val="4F81BD" w:themeColor="accent1"/>
        </w:rPr>
        <w:instrText xml:space="preserve"> SEQ Figure \* ARABIC </w:instrText>
      </w:r>
      <w:r>
        <w:rPr>
          <w:b/>
          <w:bCs/>
          <w:noProof/>
          <w:color w:val="4F81BD" w:themeColor="accent1"/>
        </w:rPr>
        <w:fldChar w:fldCharType="separate"/>
      </w:r>
      <w:r>
        <w:rPr>
          <w:b/>
          <w:bCs/>
          <w:noProof/>
          <w:color w:val="4F81BD" w:themeColor="accent1"/>
        </w:rPr>
        <w:t>2</w:t>
      </w:r>
      <w:r>
        <w:rPr>
          <w:b/>
          <w:bCs/>
          <w:noProof/>
          <w:color w:val="4F81BD" w:themeColor="accent1"/>
        </w:rPr>
        <w:fldChar w:fldCharType="end"/>
      </w:r>
      <w:r>
        <w:rPr>
          <w:b/>
          <w:bCs/>
          <w:noProof/>
          <w:color w:val="4F81BD" w:themeColor="accent1"/>
        </w:rPr>
        <w:t>: Share of emissions covered by the ETS and the ESD (2016).</w:t>
      </w:r>
      <w:r>
        <w:rPr>
          <w:b/>
          <w:bCs/>
          <w:noProof/>
          <w:color w:val="4F81BD" w:themeColor="accent1"/>
          <w:vertAlign w:val="superscript"/>
        </w:rPr>
        <w:footnoteReference w:id="23"/>
      </w:r>
    </w:p>
    <w:p>
      <w:pPr>
        <w:pStyle w:val="Heading1"/>
        <w:rPr>
          <w:noProof/>
          <w:lang w:val="fr-BE"/>
        </w:rPr>
      </w:pPr>
      <w:r>
        <w:rPr>
          <w:noProof/>
          <w:lang w:val="fr-BE"/>
        </w:rPr>
        <w:t>2. ETS emissions</w:t>
      </w:r>
    </w:p>
    <w:p>
      <w:pPr>
        <w:pStyle w:val="Caption"/>
        <w:keepNext/>
        <w:rPr>
          <w:noProof/>
          <w:lang w:val="fr-BE"/>
        </w:rPr>
      </w:pPr>
      <w:r>
        <w:rPr>
          <w:noProof/>
          <w:lang w:eastAsia="en-GB"/>
        </w:rPr>
        <w:drawing>
          <wp:inline distT="0" distB="0" distL="0" distR="0">
            <wp:extent cx="5723906" cy="2766866"/>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727645" cy="2768674"/>
                    </a:xfrm>
                    <a:prstGeom prst="rect">
                      <a:avLst/>
                    </a:prstGeom>
                    <a:noFill/>
                  </pic:spPr>
                </pic:pic>
              </a:graphicData>
            </a:graphic>
          </wp:inline>
        </w:drawing>
      </w:r>
    </w:p>
    <w:p>
      <w:pPr>
        <w:pStyle w:val="Caption"/>
        <w:keepNext/>
        <w:rPr>
          <w:noProof/>
          <w:sz w:val="22"/>
          <w:szCs w:val="22"/>
        </w:rPr>
      </w:pPr>
      <w:r>
        <w:rPr>
          <w:noProof/>
          <w:sz w:val="22"/>
          <w:szCs w:val="22"/>
        </w:rPr>
        <w:t>Figure 3:</w:t>
      </w:r>
      <w:r>
        <w:rPr>
          <w:noProof/>
        </w:rPr>
        <w:t xml:space="preserve"> </w:t>
      </w:r>
      <w:r>
        <w:rPr>
          <w:noProof/>
          <w:sz w:val="22"/>
          <w:szCs w:val="22"/>
        </w:rPr>
        <w:t>ETS emissions (Mt CO</w:t>
      </w:r>
      <w:r>
        <w:rPr>
          <w:noProof/>
          <w:sz w:val="22"/>
          <w:szCs w:val="22"/>
          <w:vertAlign w:val="subscript"/>
        </w:rPr>
        <w:t>2</w:t>
      </w:r>
      <w:r>
        <w:rPr>
          <w:noProof/>
          <w:sz w:val="22"/>
          <w:szCs w:val="22"/>
        </w:rPr>
        <w:t>-eq.).</w:t>
      </w:r>
      <w:r>
        <w:rPr>
          <w:noProof/>
          <w:sz w:val="22"/>
          <w:szCs w:val="22"/>
          <w:vertAlign w:val="superscript"/>
          <w:lang w:val="fr-BE"/>
        </w:rPr>
        <w:footnoteReference w:id="24"/>
      </w:r>
    </w:p>
    <w:p>
      <w:pPr>
        <w:keepNext/>
        <w:rPr>
          <w:noProof/>
        </w:rPr>
      </w:pPr>
    </w:p>
    <w:p>
      <w:pPr>
        <w:pStyle w:val="Heading1"/>
        <w:rPr>
          <w:noProof/>
        </w:rPr>
      </w:pPr>
      <w:r>
        <w:rPr>
          <w:noProof/>
        </w:rPr>
        <w:t>3. Emissions in Effort Sharing sectors</w:t>
      </w:r>
    </w:p>
    <w:p>
      <w:pPr>
        <w:pStyle w:val="Caption"/>
        <w:keepNext/>
        <w:rPr>
          <w:noProof/>
        </w:rPr>
      </w:pPr>
      <w:r>
        <w:rPr>
          <w:noProof/>
          <w:lang w:eastAsia="en-GB"/>
        </w:rPr>
        <w:drawing>
          <wp:inline distT="0" distB="0" distL="0" distR="0">
            <wp:extent cx="5723906" cy="2233709"/>
            <wp:effectExtent l="0" t="0" r="0"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728106" cy="2235348"/>
                    </a:xfrm>
                    <a:prstGeom prst="rect">
                      <a:avLst/>
                    </a:prstGeom>
                    <a:noFill/>
                  </pic:spPr>
                </pic:pic>
              </a:graphicData>
            </a:graphic>
          </wp:inline>
        </w:drawing>
      </w:r>
    </w:p>
    <w:p>
      <w:pPr>
        <w:pStyle w:val="Caption"/>
        <w:keepNext/>
        <w:rPr>
          <w:rFonts w:asciiTheme="majorHAnsi" w:eastAsiaTheme="majorEastAsia" w:hAnsiTheme="majorHAnsi" w:cstheme="majorBidi"/>
          <w:b w:val="0"/>
          <w:bCs w:val="0"/>
          <w:noProof/>
          <w:color w:val="365F91" w:themeColor="accent1" w:themeShade="BF"/>
          <w:sz w:val="28"/>
          <w:szCs w:val="28"/>
        </w:rPr>
      </w:pPr>
      <w:r>
        <w:rPr>
          <w:noProof/>
          <w:sz w:val="22"/>
          <w:szCs w:val="22"/>
        </w:rPr>
        <w:t>Figure 4:</w:t>
      </w:r>
      <w:r>
        <w:rPr>
          <w:noProof/>
          <w:sz w:val="20"/>
          <w:szCs w:val="20"/>
        </w:rPr>
        <w:t xml:space="preserve"> </w:t>
      </w:r>
      <w:r>
        <w:rPr>
          <w:noProof/>
          <w:sz w:val="22"/>
          <w:szCs w:val="22"/>
        </w:rPr>
        <w:t>Left hand side: Emissions, annual emission allocations (AEAs) and accumulated surplus/ deficit of AEAs under the Effort Sharing Decision 2013-2020 (Mt CO</w:t>
      </w:r>
      <w:r>
        <w:rPr>
          <w:noProof/>
          <w:sz w:val="22"/>
          <w:szCs w:val="22"/>
          <w:vertAlign w:val="subscript"/>
        </w:rPr>
        <w:t>2</w:t>
      </w:r>
      <w:r>
        <w:rPr>
          <w:noProof/>
          <w:sz w:val="22"/>
          <w:szCs w:val="22"/>
        </w:rPr>
        <w:t>-eq.). Right hand side: Emissions and targets under the Effort Sharing Decision/ Effort Sharing Regulation 2017, 2020 and 2030 as percentage change from 2005.</w:t>
      </w:r>
    </w:p>
    <w:p>
      <w:pPr>
        <w:rPr>
          <w:rFonts w:asciiTheme="majorHAnsi" w:eastAsiaTheme="majorEastAsia" w:hAnsiTheme="majorHAnsi" w:cstheme="majorBidi"/>
          <w:noProof/>
          <w:color w:val="365F91" w:themeColor="accent1" w:themeShade="BF"/>
          <w:sz w:val="28"/>
          <w:szCs w:val="28"/>
        </w:rPr>
      </w:pPr>
      <w:r>
        <w:rPr>
          <w:noProof/>
        </w:rPr>
        <w:br w:type="page"/>
      </w:r>
    </w:p>
    <w:p>
      <w:pPr>
        <w:pStyle w:val="Heading1"/>
        <w:rPr>
          <w:noProof/>
        </w:rPr>
      </w:pPr>
      <w:r>
        <w:rPr>
          <w:noProof/>
        </w:rPr>
        <w:t>4. Land use, land use change and forestry</w:t>
      </w:r>
    </w:p>
    <w:p>
      <w:pPr>
        <w:rPr>
          <w:noProof/>
        </w:rPr>
      </w:pPr>
      <w:r>
        <w:rPr>
          <w:noProof/>
          <w:lang w:eastAsia="en-GB"/>
        </w:rPr>
        <w:drawing>
          <wp:inline distT="0" distB="0" distL="0" distR="0">
            <wp:extent cx="5760000" cy="203877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2">
                      <a:extLst>
                        <a:ext uri="{28A0092B-C50C-407E-A947-70E740481C1C}">
                          <a14:useLocalDpi xmlns:a14="http://schemas.microsoft.com/office/drawing/2010/main" val="0"/>
                        </a:ext>
                      </a:extLst>
                    </a:blip>
                    <a:srcRect t="1" b="76318"/>
                    <a:stretch/>
                  </pic:blipFill>
                  <pic:spPr bwMode="auto">
                    <a:xfrm>
                      <a:off x="0" y="0"/>
                      <a:ext cx="5760000" cy="2038772"/>
                    </a:xfrm>
                    <a:prstGeom prst="rect">
                      <a:avLst/>
                    </a:prstGeom>
                    <a:noFill/>
                    <a:ln>
                      <a:noFill/>
                    </a:ln>
                    <a:extLst>
                      <a:ext uri="{53640926-AAD7-44D8-BBD7-CCE9431645EC}">
                        <a14:shadowObscured xmlns:a14="http://schemas.microsoft.com/office/drawing/2010/main"/>
                      </a:ext>
                    </a:extLst>
                  </pic:spPr>
                </pic:pic>
              </a:graphicData>
            </a:graphic>
          </wp:inline>
        </w:drawing>
      </w:r>
    </w:p>
    <w:p>
      <w:pPr>
        <w:pStyle w:val="Caption"/>
        <w:keepNext/>
        <w:rPr>
          <w:noProof/>
          <w:sz w:val="22"/>
          <w:szCs w:val="22"/>
        </w:rPr>
      </w:pPr>
      <w:r>
        <w:rPr>
          <w:noProof/>
          <w:sz w:val="22"/>
          <w:szCs w:val="22"/>
        </w:rPr>
        <w:t>Figure 5: Reported and accounted emissions and removals from LULUCF (Mt CO</w:t>
      </w:r>
      <w:r>
        <w:rPr>
          <w:noProof/>
          <w:sz w:val="22"/>
          <w:szCs w:val="22"/>
          <w:vertAlign w:val="subscript"/>
        </w:rPr>
        <w:t>2</w:t>
      </w:r>
      <w:r>
        <w:rPr>
          <w:noProof/>
          <w:sz w:val="22"/>
          <w:szCs w:val="22"/>
        </w:rPr>
        <w:t>-eq.)</w:t>
      </w:r>
      <w:r>
        <w:rPr>
          <w:noProof/>
          <w:vertAlign w:val="superscript"/>
        </w:rPr>
        <w:footnoteReference w:id="25"/>
      </w:r>
    </w:p>
    <w:p>
      <w:pPr>
        <w:jc w:val="both"/>
        <w:rPr>
          <w:noProof/>
          <w:lang w:eastAsia="de-DE"/>
        </w:rPr>
      </w:pPr>
      <w:r>
        <w:rPr>
          <w:noProof/>
        </w:rPr>
        <w:t xml:space="preserve">Reported quantities </w:t>
      </w:r>
      <w:r>
        <w:rPr>
          <w:noProof/>
          <w:lang w:eastAsia="de-DE"/>
        </w:rPr>
        <w:t>under the Kyoto Protocol for France show net removals of, on average, -53.0 Mt CO</w:t>
      </w:r>
      <w:r>
        <w:rPr>
          <w:noProof/>
          <w:vertAlign w:val="subscript"/>
          <w:lang w:eastAsia="de-DE"/>
        </w:rPr>
        <w:t>2</w:t>
      </w:r>
      <w:r>
        <w:rPr>
          <w:noProof/>
          <w:lang w:eastAsia="de-DE"/>
        </w:rPr>
        <w:t>-eq for the period 2013 to 2016. In this regard France contributes with 13.8% to the annual average sink of -384.4 Mt CO</w:t>
      </w:r>
      <w:r>
        <w:rPr>
          <w:noProof/>
          <w:vertAlign w:val="subscript"/>
          <w:lang w:eastAsia="de-DE"/>
        </w:rPr>
        <w:t>2</w:t>
      </w:r>
      <w:r>
        <w:rPr>
          <w:noProof/>
          <w:lang w:eastAsia="de-DE"/>
        </w:rPr>
        <w:t>-eq of the EU-28. Accounting for the same period depicts net credits of, on average, -7.3 Mt CO</w:t>
      </w:r>
      <w:r>
        <w:rPr>
          <w:noProof/>
          <w:vertAlign w:val="subscript"/>
          <w:lang w:eastAsia="de-DE"/>
        </w:rPr>
        <w:t>2</w:t>
      </w:r>
      <w:r>
        <w:rPr>
          <w:noProof/>
          <w:lang w:eastAsia="de-DE"/>
        </w:rPr>
        <w:t>-eq, which corresponds to 6.4% of the EU-28 accounted sink of -115.7 Mt CO</w:t>
      </w:r>
      <w:r>
        <w:rPr>
          <w:noProof/>
          <w:vertAlign w:val="subscript"/>
          <w:lang w:eastAsia="de-DE"/>
        </w:rPr>
        <w:t>2</w:t>
      </w:r>
      <w:r>
        <w:rPr>
          <w:noProof/>
          <w:lang w:eastAsia="de-DE"/>
        </w:rPr>
        <w:t xml:space="preserve">-eq. Reported net removals and accounted net credits show a decreasing trend since 2014. </w:t>
      </w:r>
    </w:p>
    <w:p>
      <w:pPr>
        <w:jc w:val="both"/>
        <w:rPr>
          <w:noProof/>
          <w:lang w:eastAsia="de-DE"/>
        </w:rPr>
      </w:pPr>
    </w:p>
    <w:p>
      <w:pPr>
        <w:rPr>
          <w:noProof/>
        </w:rPr>
      </w:pPr>
    </w:p>
    <w:sectPr>
      <w:headerReference w:type="even" r:id="rId63"/>
      <w:headerReference w:type="default" r:id="rId64"/>
      <w:footerReference w:type="even" r:id="rId65"/>
      <w:footerReference w:type="default" r:id="rId66"/>
      <w:headerReference w:type="first" r:id="rId67"/>
      <w:footerReference w:type="first" r:id="rId6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3567016"/>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27</w:t>
        </w:r>
        <w:r>
          <w:rPr>
            <w:noProof/>
          </w:rPr>
          <w:fldChar w:fldCharType="end"/>
        </w:r>
      </w:p>
    </w:sdtContent>
  </w:sdt>
  <w:p>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3904669"/>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30</w:t>
        </w:r>
        <w:r>
          <w:rPr>
            <w:noProof/>
          </w:rPr>
          <w:fldChar w:fldCharType="end"/>
        </w:r>
      </w:p>
    </w:sdtContent>
  </w:sdt>
  <w:p>
    <w:pPr>
      <w:pStyle w:val="Foote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438692"/>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33</w:t>
        </w:r>
        <w:r>
          <w:rPr>
            <w:noProof/>
          </w:rPr>
          <w:fldChar w:fldCharType="end"/>
        </w:r>
      </w:p>
    </w:sdtContent>
  </w:sdt>
  <w:p>
    <w:pPr>
      <w:pStyle w:val="Foote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5045997"/>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19</w:t>
        </w:r>
        <w:r>
          <w:rPr>
            <w:noProof/>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45071073"/>
      <w:docPartObj>
        <w:docPartGallery w:val="Page Numbers (Bottom of Page)"/>
        <w:docPartUnique/>
      </w:docPartObj>
    </w:sdtPr>
    <w:sdtEndPr>
      <w:rPr>
        <w:noProof/>
      </w:rPr>
    </w:sdtEndPr>
    <w:sdtContent>
      <w:p>
        <w:pPr>
          <w:pStyle w:val="Footer"/>
          <w:jc w:val="center"/>
        </w:pPr>
        <w:r>
          <w:fldChar w:fldCharType="begin"/>
        </w:r>
        <w:r>
          <w:instrText xml:space="preserve"> PAGE   \* MERGEFORMAT </w:instrText>
        </w:r>
        <w:r>
          <w:fldChar w:fldCharType="separate"/>
        </w:r>
        <w:r>
          <w:rPr>
            <w:noProof/>
          </w:rPr>
          <w:t>24</w:t>
        </w:r>
        <w:r>
          <w:rPr>
            <w:noProof/>
          </w:rPr>
          <w:fldChar w:fldCharType="end"/>
        </w:r>
      </w:p>
    </w:sdtContent>
  </w:sdt>
  <w:p>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id="1">
    <w:p>
      <w:pPr>
        <w:pStyle w:val="FootnoteText"/>
      </w:pPr>
      <w:r>
        <w:rPr>
          <w:vertAlign w:val="superscript"/>
        </w:rPr>
        <w:footnoteRef/>
      </w:r>
      <w:r>
        <w:t xml:space="preserve"> National total, including international aviation. </w:t>
      </w:r>
    </w:p>
  </w:footnote>
  <w:footnote w:id="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6">
    <w:p>
      <w:pPr>
        <w:pStyle w:val="FootnoteText"/>
      </w:pPr>
      <w:r>
        <w:rPr>
          <w:vertAlign w:val="superscript"/>
        </w:rPr>
        <w:footnoteRef/>
      </w:r>
      <w:r>
        <w:t xml:space="preserve"> National total, including international aviation. </w:t>
      </w:r>
    </w:p>
  </w:footnote>
  <w:footnote w:id="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1">
    <w:p>
      <w:pPr>
        <w:pStyle w:val="FootnoteText"/>
      </w:pPr>
      <w:r>
        <w:rPr>
          <w:vertAlign w:val="superscript"/>
        </w:rPr>
        <w:footnoteRef/>
      </w:r>
      <w:r>
        <w:t xml:space="preserve"> National total, including international aviation. </w:t>
      </w:r>
    </w:p>
  </w:footnote>
  <w:footnote w:id="1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1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16">
    <w:p>
      <w:pPr>
        <w:pStyle w:val="FootnoteText"/>
      </w:pPr>
      <w:r>
        <w:rPr>
          <w:vertAlign w:val="superscript"/>
        </w:rPr>
        <w:footnoteRef/>
      </w:r>
      <w:r>
        <w:t xml:space="preserve"> National total, including international aviation. </w:t>
      </w:r>
    </w:p>
  </w:footnote>
  <w:footnote w:id="17">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18">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19">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0">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 w:id="21">
    <w:p>
      <w:pPr>
        <w:pStyle w:val="FootnoteText"/>
      </w:pPr>
      <w:r>
        <w:rPr>
          <w:vertAlign w:val="superscript"/>
        </w:rPr>
        <w:footnoteRef/>
      </w:r>
      <w:r>
        <w:t xml:space="preserve"> National total, including international aviation. </w:t>
      </w:r>
    </w:p>
  </w:footnote>
  <w:footnote w:id="22">
    <w:p>
      <w:pPr>
        <w:pStyle w:val="FootnoteText"/>
      </w:pPr>
      <w:r>
        <w:rPr>
          <w:vertAlign w:val="superscript"/>
        </w:rPr>
        <w:footnoteRef/>
      </w:r>
      <w:r>
        <w:t xml:space="preserve"> The sectors in the figure correspond to the following IPCC sectors: Energy supply: 1A1, 1B and 1C. Manufacturing industries: 1A2. Industrial processes and product use: 2. Transport: 1A3. Other energy use: 1A4, 1A5 and 6. Agriculture: 3. Waste: 5. International aviation: memo item.</w:t>
      </w:r>
    </w:p>
  </w:footnote>
  <w:footnote w:id="23">
    <w:p>
      <w:pPr>
        <w:pStyle w:val="FootnoteText"/>
      </w:pPr>
      <w:r>
        <w:rPr>
          <w:vertAlign w:val="superscript"/>
        </w:rPr>
        <w:footnoteRef/>
      </w:r>
      <w:r>
        <w:t xml:space="preserve"> Excluding international aviation, CO</w:t>
      </w:r>
      <w:r>
        <w:rPr>
          <w:vertAlign w:val="subscript"/>
        </w:rPr>
        <w:t>2</w:t>
      </w:r>
      <w:r>
        <w:t xml:space="preserve"> from domestic aviation and NF</w:t>
      </w:r>
      <w:r>
        <w:rPr>
          <w:vertAlign w:val="subscript"/>
        </w:rPr>
        <w:t>3</w:t>
      </w:r>
      <w:r>
        <w:t xml:space="preserve">. </w:t>
      </w:r>
    </w:p>
  </w:footnote>
  <w:footnote w:id="24">
    <w:p>
      <w:pPr>
        <w:pStyle w:val="FootnoteText"/>
      </w:pPr>
      <w:r>
        <w:rPr>
          <w:vertAlign w:val="superscript"/>
        </w:rPr>
        <w:footnoteRef/>
      </w:r>
      <w:r>
        <w:t xml:space="preserve"> The scope of ETS was extended from 2013. To reflect the current scope of ETS, estimates made by EEA are included in the figures from 2005 to 2012.  The estimates cover only emissions from stationary installations.  </w:t>
      </w:r>
    </w:p>
  </w:footnote>
  <w:footnote w:id="25">
    <w:p>
      <w:pPr>
        <w:pStyle w:val="FootnoteText"/>
      </w:pPr>
      <w:r>
        <w:rPr>
          <w:vertAlign w:val="superscript"/>
        </w:rPr>
        <w:footnoteRef/>
      </w:r>
      <w:r>
        <w:rPr>
          <w:vertAlign w:val="superscript"/>
        </w:rPr>
        <w:t xml:space="preserve"> </w:t>
      </w:r>
      <w:r>
        <w:t xml:space="preserve">The differences between reported and accounted emissions from LULUCF under the Kyoto Protocol are described in part 1b.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Estonia</w:t>
    </w:r>
  </w:p>
  <w:p>
    <w:pPr>
      <w:pStyle w:val="Header"/>
      <w:jc w:val="center"/>
    </w:pPr>
  </w:p>
  <w:p>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Finland</w:t>
    </w:r>
  </w:p>
  <w:p>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France</w:t>
    </w:r>
  </w:p>
  <w:p>
    <w:pPr>
      <w:pStyle w:val="Header"/>
      <w:jc w:val="center"/>
    </w:pPr>
  </w:p>
  <w:p>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Czech Republic</w:t>
    </w:r>
  </w:p>
  <w:p>
    <w:pPr>
      <w:pStyle w:val="Header"/>
      <w:jc w:val="center"/>
    </w:pPr>
  </w:p>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jc w:val="right"/>
    </w:pPr>
    <w:r>
      <w:t>Denmark</w:t>
    </w:r>
  </w:p>
  <w:p>
    <w:pPr>
      <w:pStyle w:val="Header"/>
      <w:jc w:val="center"/>
    </w:pPr>
  </w:p>
  <w:p>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revisionView w:markup="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Accompanying the document"/>
    <w:docVar w:name="LW_CORRIGENDUM" w:val="&lt;UNUSED&gt;"/>
    <w:docVar w:name="LW_COVERPAGE_EXISTS" w:val="True"/>
    <w:docVar w:name="LW_COVERPAGE_GUID" w:val="2C79D510-B11E-49F4-96C8-0BECCD9F4CC8"/>
    <w:docVar w:name="LW_COVERPAGE_TYPE" w:val="1"/>
    <w:docVar w:name="LW_CROSSREFERENCE" w:val="{COM(2018) 716 final}"/>
    <w:docVar w:name="LW_DocType" w:val="NORMAL"/>
    <w:docVar w:name="LW_EMISSION" w:val="26.10.2018"/>
    <w:docVar w:name="LW_EMISSION_ISODATE" w:val="2018-10-26"/>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EU and the Paris Climate Agreement: Taking stock of progress at Katowice COP"/>
    <w:docVar w:name="LW_PART_NBR" w:val="2"/>
    <w:docVar w:name="LW_PART_NBR_TOTAL" w:val="6"/>
    <w:docVar w:name="LW_REF.INST.NEW" w:val="SWD"/>
    <w:docVar w:name="LW_REF.INST.NEW_ADOPTED" w:val="final"/>
    <w:docVar w:name="LW_REF.INST.NEW_TEXT" w:val="(2018) 45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Technical information"/>
    <w:docVar w:name="LW_TYPE.DOC.CP" w:val="COMMISSION STAFF WORKING DOCUMENT"/>
    <w:docVar w:name="LW_TYPEACTEPRINCIPAL.CP" w:val="Report from the European Commission to the European Parliament and the Council"/>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Pr>
      <w:b/>
      <w:bCs/>
      <w:i/>
      <w:iCs/>
      <w:color w:val="4F81BD" w:themeColor="accent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styleId="FootnoteReference">
    <w:name w:val="footnote reference"/>
    <w:basedOn w:val="DefaultParagraphFont"/>
    <w:uiPriority w:val="99"/>
    <w:semiHidden/>
    <w:unhideWhenUsed/>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
      <w:bCs/>
      <w:color w:val="365F91" w:themeColor="accent1" w:themeShade="BF"/>
      <w:sz w:val="28"/>
      <w:szCs w:val="28"/>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basedOn w:val="Normal"/>
    <w:link w:val="FootnoteTextChar"/>
    <w:uiPriority w:val="99"/>
    <w:unhideWhenUsed/>
    <w:qFormat/>
    <w:pPr>
      <w:spacing w:after="0" w:line="240" w:lineRule="auto"/>
    </w:pPr>
    <w:rPr>
      <w:sz w:val="20"/>
      <w:szCs w:val="20"/>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uiPriority w:val="99"/>
    <w:qFormat/>
    <w:rPr>
      <w:sz w:val="20"/>
      <w:szCs w:val="20"/>
    </w:rPr>
  </w:style>
  <w:style w:type="paragraph" w:styleId="Footer">
    <w:name w:val="footer"/>
    <w:basedOn w:val="Normal"/>
    <w:link w:val="FooterChar"/>
    <w:uiPriority w:val="99"/>
    <w:unhideWhenUsed/>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har">
    <w:name w:val="Footer Char"/>
    <w:basedOn w:val="DefaultParagraphFont"/>
    <w:link w:val="Footer"/>
    <w:uiPriority w:val="99"/>
    <w:rPr>
      <w:rFonts w:ascii="Times New Roman" w:hAnsi="Times New Roman" w:cs="Times New Roman"/>
      <w:sz w:val="24"/>
    </w:rPr>
  </w:style>
  <w:style w:type="paragraph" w:styleId="Header">
    <w:name w:val="header"/>
    <w:basedOn w:val="Normal"/>
    <w:link w:val="HeaderChar"/>
    <w:uiPriority w:val="99"/>
    <w:unhideWhenUsed/>
    <w:pPr>
      <w:tabs>
        <w:tab w:val="center" w:pos="4535"/>
        <w:tab w:val="right" w:pos="9071"/>
      </w:tabs>
      <w:spacing w:after="120" w:line="240" w:lineRule="auto"/>
      <w:jc w:val="both"/>
    </w:pPr>
    <w:rPr>
      <w:rFonts w:ascii="Times New Roman" w:hAnsi="Times New Roman" w:cs="Times New Roman"/>
      <w:sz w:val="24"/>
    </w:rPr>
  </w:style>
  <w:style w:type="character" w:customStyle="1" w:styleId="HeaderChar">
    <w:name w:val="Header Char"/>
    <w:basedOn w:val="DefaultParagraphFont"/>
    <w:link w:val="Header"/>
    <w:uiPriority w:val="99"/>
    <w:rPr>
      <w:rFonts w:ascii="Times New Roman" w:hAnsi="Times New Roman" w:cs="Times New Roman"/>
      <w:sz w:val="24"/>
    </w:rPr>
  </w:style>
  <w:style w:type="paragraph" w:styleId="Caption">
    <w:name w:val="caption"/>
    <w:basedOn w:val="Normal"/>
    <w:next w:val="Normal"/>
    <w:uiPriority w:val="35"/>
    <w:unhideWhenUsed/>
    <w:qFormat/>
    <w:pPr>
      <w:spacing w:line="240" w:lineRule="auto"/>
    </w:pPr>
    <w:rPr>
      <w:b/>
      <w:bCs/>
      <w:color w:val="4F81BD" w:themeColor="accent1"/>
      <w:sz w:val="18"/>
      <w:szCs w:val="18"/>
    </w:rPr>
  </w:style>
  <w:style w:type="character" w:customStyle="1" w:styleId="TitleChar">
    <w:name w:val="Title Char"/>
    <w:basedOn w:val="DefaultParagraphFont"/>
    <w:link w:val="Title"/>
    <w:uiPriority w:val="10"/>
    <w:rPr>
      <w:rFonts w:asciiTheme="majorHAnsi" w:eastAsiaTheme="majorEastAsia" w:hAnsiTheme="majorHAnsi" w:cstheme="majorBidi"/>
      <w:color w:val="17365D" w:themeColor="text2" w:themeShade="BF"/>
      <w:spacing w:val="5"/>
      <w:kern w:val="28"/>
      <w:sz w:val="52"/>
      <w:szCs w:val="52"/>
    </w:rPr>
  </w:style>
  <w:style w:type="paragraph" w:styleId="Title">
    <w:name w:val="Title"/>
    <w:basedOn w:val="Normal"/>
    <w:next w:val="Normal"/>
    <w:link w:val="TitleChar"/>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1">
    <w:name w:val="Title Char1"/>
    <w:basedOn w:val="DefaultParagraphFont"/>
    <w:uiPriority w:val="10"/>
    <w:rPr>
      <w:rFonts w:asciiTheme="majorHAnsi" w:eastAsiaTheme="majorEastAsia" w:hAnsiTheme="majorHAnsi" w:cstheme="majorBidi"/>
      <w:color w:val="17365D" w:themeColor="text2" w:themeShade="BF"/>
      <w:spacing w:val="5"/>
      <w:kern w:val="28"/>
      <w:sz w:val="52"/>
      <w:szCs w:val="52"/>
    </w:rPr>
  </w:style>
  <w:style w:type="character" w:customStyle="1" w:styleId="IntenseQuoteChar">
    <w:name w:val="Intense Quote Char"/>
    <w:basedOn w:val="DefaultParagraphFont"/>
    <w:link w:val="IntenseQuote"/>
    <w:uiPriority w:val="30"/>
    <w:rPr>
      <w:b/>
      <w:bCs/>
      <w:i/>
      <w:iCs/>
      <w:color w:val="4F81BD" w:themeColor="accent1"/>
    </w:rPr>
  </w:style>
  <w:style w:type="paragraph" w:styleId="IntenseQuote">
    <w:name w:val="Intense Quote"/>
    <w:basedOn w:val="Normal"/>
    <w:next w:val="Normal"/>
    <w:link w:val="IntenseQuoteChar"/>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IntenseQuoteChar1">
    <w:name w:val="Intense Quote Char1"/>
    <w:basedOn w:val="DefaultParagraphFont"/>
    <w:uiPriority w:val="30"/>
    <w:rPr>
      <w:b/>
      <w:bCs/>
      <w:i/>
      <w:iCs/>
      <w:color w:val="4F81BD" w:themeColor="accent1"/>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TitleChar"/>
    <w:link w:val="FooterCoverPage"/>
    <w:rPr>
      <w:rFonts w:ascii="Times New Roman" w:eastAsiaTheme="majorEastAsia" w:hAnsi="Times New Roman" w:cs="Times New Roman"/>
      <w:color w:val="17365D" w:themeColor="text2" w:themeShade="BF"/>
      <w:spacing w:val="5"/>
      <w:kern w:val="28"/>
      <w:sz w:val="24"/>
      <w:szCs w:val="5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TitleChar"/>
    <w:link w:val="FooterSensitivity"/>
    <w:rPr>
      <w:rFonts w:ascii="Times New Roman" w:eastAsiaTheme="majorEastAsia" w:hAnsi="Times New Roman" w:cs="Times New Roman"/>
      <w:b/>
      <w:color w:val="17365D" w:themeColor="text2" w:themeShade="BF"/>
      <w:spacing w:val="5"/>
      <w:kern w:val="28"/>
      <w:sz w:val="32"/>
      <w:szCs w:val="5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TitleChar"/>
    <w:link w:val="HeaderCoverPage"/>
    <w:rPr>
      <w:rFonts w:ascii="Times New Roman" w:eastAsiaTheme="majorEastAsia" w:hAnsi="Times New Roman" w:cs="Times New Roman"/>
      <w:color w:val="17365D" w:themeColor="text2" w:themeShade="BF"/>
      <w:spacing w:val="5"/>
      <w:kern w:val="28"/>
      <w:sz w:val="24"/>
      <w:szCs w:val="5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TitleChar"/>
    <w:link w:val="HeaderSensitivity"/>
    <w:rPr>
      <w:rFonts w:ascii="Times New Roman" w:eastAsiaTheme="majorEastAsia" w:hAnsi="Times New Roman" w:cs="Times New Roman"/>
      <w:b/>
      <w:color w:val="17365D" w:themeColor="text2" w:themeShade="BF"/>
      <w:spacing w:val="5"/>
      <w:kern w:val="28"/>
      <w:sz w:val="32"/>
      <w:szCs w:val="52"/>
    </w:rPr>
  </w:style>
  <w:style w:type="character" w:styleId="FootnoteReference">
    <w:name w:val="footnote reference"/>
    <w:basedOn w:val="DefaultParagraphFont"/>
    <w:uiPriority w:val="99"/>
    <w:semiHidden/>
    <w:unhideWhenUsed/>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png"/><Relationship Id="rId26" Type="http://schemas.openxmlformats.org/officeDocument/2006/relationships/chart" Target="charts/chart2.xml"/><Relationship Id="rId39" Type="http://schemas.openxmlformats.org/officeDocument/2006/relationships/image" Target="media/image12.png"/><Relationship Id="rId21" Type="http://schemas.openxmlformats.org/officeDocument/2006/relationships/footer" Target="footer4.xml"/><Relationship Id="rId34" Type="http://schemas.openxmlformats.org/officeDocument/2006/relationships/header" Target="header9.xml"/><Relationship Id="rId42" Type="http://schemas.openxmlformats.org/officeDocument/2006/relationships/header" Target="header11.xml"/><Relationship Id="rId47" Type="http://schemas.openxmlformats.org/officeDocument/2006/relationships/image" Target="media/image14.png"/><Relationship Id="rId50" Type="http://schemas.openxmlformats.org/officeDocument/2006/relationships/image" Target="media/image16.png"/><Relationship Id="rId55" Type="http://schemas.openxmlformats.org/officeDocument/2006/relationships/footer" Target="footer14.xml"/><Relationship Id="rId63" Type="http://schemas.openxmlformats.org/officeDocument/2006/relationships/header" Target="header16.xml"/><Relationship Id="rId68" Type="http://schemas.openxmlformats.org/officeDocument/2006/relationships/footer" Target="footer18.xml"/><Relationship Id="rId7" Type="http://schemas.openxmlformats.org/officeDocument/2006/relationships/image" Target="media/image1.emf"/><Relationship Id="rId2" Type="http://schemas.microsoft.com/office/2007/relationships/stylesWithEffects" Target="stylesWithEffects.xml"/><Relationship Id="rId16" Type="http://schemas.openxmlformats.org/officeDocument/2006/relationships/image" Target="media/image3.png"/><Relationship Id="rId29" Type="http://schemas.openxmlformats.org/officeDocument/2006/relationships/image" Target="media/image9.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oter" Target="footer6.xml"/><Relationship Id="rId32" Type="http://schemas.openxmlformats.org/officeDocument/2006/relationships/footer" Target="footer7.xml"/><Relationship Id="rId37" Type="http://schemas.openxmlformats.org/officeDocument/2006/relationships/chart" Target="charts/chart3.xml"/><Relationship Id="rId40" Type="http://schemas.openxmlformats.org/officeDocument/2006/relationships/image" Target="media/image13.png"/><Relationship Id="rId45" Type="http://schemas.openxmlformats.org/officeDocument/2006/relationships/header" Target="header12.xml"/><Relationship Id="rId53" Type="http://schemas.openxmlformats.org/officeDocument/2006/relationships/header" Target="header14.xml"/><Relationship Id="rId58" Type="http://schemas.openxmlformats.org/officeDocument/2006/relationships/image" Target="media/image18.png"/><Relationship Id="rId66" Type="http://schemas.openxmlformats.org/officeDocument/2006/relationships/footer" Target="footer17.xml"/><Relationship Id="rId5" Type="http://schemas.openxmlformats.org/officeDocument/2006/relationships/footnotes" Target="footnotes.xml"/><Relationship Id="rId15" Type="http://schemas.openxmlformats.org/officeDocument/2006/relationships/chart" Target="charts/chart1.xml"/><Relationship Id="rId23" Type="http://schemas.openxmlformats.org/officeDocument/2006/relationships/header" Target="header6.xml"/><Relationship Id="rId28" Type="http://schemas.openxmlformats.org/officeDocument/2006/relationships/image" Target="media/image8.png"/><Relationship Id="rId36" Type="http://schemas.openxmlformats.org/officeDocument/2006/relationships/image" Target="media/image10.png"/><Relationship Id="rId49" Type="http://schemas.openxmlformats.org/officeDocument/2006/relationships/image" Target="media/image15.png"/><Relationship Id="rId57" Type="http://schemas.openxmlformats.org/officeDocument/2006/relationships/footer" Target="footer15.xml"/><Relationship Id="rId61" Type="http://schemas.openxmlformats.org/officeDocument/2006/relationships/image" Target="media/image20.png"/><Relationship Id="rId10" Type="http://schemas.openxmlformats.org/officeDocument/2006/relationships/footer" Target="footer1.xml"/><Relationship Id="rId19" Type="http://schemas.openxmlformats.org/officeDocument/2006/relationships/header" Target="header4.xml"/><Relationship Id="rId31" Type="http://schemas.openxmlformats.org/officeDocument/2006/relationships/header" Target="header8.xml"/><Relationship Id="rId44" Type="http://schemas.openxmlformats.org/officeDocument/2006/relationships/footer" Target="footer11.xml"/><Relationship Id="rId52" Type="http://schemas.openxmlformats.org/officeDocument/2006/relationships/header" Target="header13.xml"/><Relationship Id="rId60" Type="http://schemas.openxmlformats.org/officeDocument/2006/relationships/image" Target="media/image19.png"/><Relationship Id="rId65" Type="http://schemas.openxmlformats.org/officeDocument/2006/relationships/footer" Target="footer16.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oter" Target="footer5.xml"/><Relationship Id="rId27" Type="http://schemas.openxmlformats.org/officeDocument/2006/relationships/image" Target="media/image7.png"/><Relationship Id="rId30" Type="http://schemas.openxmlformats.org/officeDocument/2006/relationships/header" Target="header7.xml"/><Relationship Id="rId35" Type="http://schemas.openxmlformats.org/officeDocument/2006/relationships/footer" Target="footer9.xml"/><Relationship Id="rId43" Type="http://schemas.openxmlformats.org/officeDocument/2006/relationships/footer" Target="footer10.xml"/><Relationship Id="rId48" Type="http://schemas.openxmlformats.org/officeDocument/2006/relationships/chart" Target="charts/chart4.xml"/><Relationship Id="rId56" Type="http://schemas.openxmlformats.org/officeDocument/2006/relationships/header" Target="header15.xml"/><Relationship Id="rId64" Type="http://schemas.openxmlformats.org/officeDocument/2006/relationships/header" Target="header17.xml"/><Relationship Id="rId69"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image" Target="media/image17.png"/><Relationship Id="rId3" Type="http://schemas.openxmlformats.org/officeDocument/2006/relationships/settings" Target="setting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image" Target="media/image6.png"/><Relationship Id="rId33" Type="http://schemas.openxmlformats.org/officeDocument/2006/relationships/footer" Target="footer8.xml"/><Relationship Id="rId38" Type="http://schemas.openxmlformats.org/officeDocument/2006/relationships/image" Target="media/image11.png"/><Relationship Id="rId46" Type="http://schemas.openxmlformats.org/officeDocument/2006/relationships/footer" Target="footer12.xml"/><Relationship Id="rId59" Type="http://schemas.openxmlformats.org/officeDocument/2006/relationships/chart" Target="charts/chart5.xml"/><Relationship Id="rId67" Type="http://schemas.openxmlformats.org/officeDocument/2006/relationships/header" Target="header18.xml"/><Relationship Id="rId20" Type="http://schemas.openxmlformats.org/officeDocument/2006/relationships/header" Target="header5.xml"/><Relationship Id="rId41" Type="http://schemas.openxmlformats.org/officeDocument/2006/relationships/header" Target="header10.xml"/><Relationship Id="rId54" Type="http://schemas.openxmlformats.org/officeDocument/2006/relationships/footer" Target="footer13.xml"/><Relationship Id="rId62" Type="http://schemas.openxmlformats.org/officeDocument/2006/relationships/image" Target="media/image21.png"/><Relationship Id="rId70" Type="http://schemas.openxmlformats.org/officeDocument/2006/relationships/theme" Target="theme/theme1.xm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FE43-4E02-AA5C-E25F83605A8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Czech Republic</c:v>
                </c:pt>
                <c:pt idx="1">
                  <c:v>EU 28</c:v>
                </c:pt>
              </c:strCache>
            </c:strRef>
          </c:cat>
          <c:val>
            <c:numRef>
              <c:f>'ETS ESD share by MS'!$B$9:$B$10</c:f>
              <c:numCache>
                <c:formatCode>0%</c:formatCode>
                <c:ptCount val="2"/>
                <c:pt idx="0">
                  <c:v>0.48195971982651153</c:v>
                </c:pt>
                <c:pt idx="1">
                  <c:v>0.5971521941557083</c:v>
                </c:pt>
              </c:numCache>
            </c:numRef>
          </c:val>
          <c:extLst xmlns:c16r2="http://schemas.microsoft.com/office/drawing/2015/06/chart">
            <c:ext xmlns:c16="http://schemas.microsoft.com/office/drawing/2014/chart" uri="{C3380CC4-5D6E-409C-BE32-E72D297353CC}">
              <c16:uniqueId val="{00000002-FE43-4E02-AA5C-E25F83605A8A}"/>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FE43-4E02-AA5C-E25F83605A8A}"/>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Czech Republic</c:v>
                </c:pt>
                <c:pt idx="1">
                  <c:v>EU 28</c:v>
                </c:pt>
              </c:strCache>
            </c:strRef>
          </c:cat>
          <c:val>
            <c:numRef>
              <c:f>'ETS ESD share by MS'!$C$9:$C$10</c:f>
              <c:numCache>
                <c:formatCode>0%</c:formatCode>
                <c:ptCount val="2"/>
                <c:pt idx="0">
                  <c:v>0.51804028017348835</c:v>
                </c:pt>
                <c:pt idx="1">
                  <c:v>0.40284780584429175</c:v>
                </c:pt>
              </c:numCache>
            </c:numRef>
          </c:val>
          <c:extLst xmlns:c16r2="http://schemas.microsoft.com/office/drawing/2015/06/chart">
            <c:ext xmlns:c16="http://schemas.microsoft.com/office/drawing/2014/chart" uri="{C3380CC4-5D6E-409C-BE32-E72D297353CC}">
              <c16:uniqueId val="{00000005-FE43-4E02-AA5C-E25F83605A8A}"/>
            </c:ext>
          </c:extLst>
        </c:ser>
        <c:dLbls>
          <c:dLblPos val="ctr"/>
          <c:showLegendKey val="0"/>
          <c:showVal val="1"/>
          <c:showCatName val="0"/>
          <c:showSerName val="0"/>
          <c:showPercent val="0"/>
          <c:showBubbleSize val="0"/>
        </c:dLbls>
        <c:gapWidth val="98"/>
        <c:overlap val="100"/>
        <c:axId val="59099392"/>
        <c:axId val="83177472"/>
      </c:barChart>
      <c:catAx>
        <c:axId val="59099392"/>
        <c:scaling>
          <c:orientation val="minMax"/>
        </c:scaling>
        <c:delete val="0"/>
        <c:axPos val="b"/>
        <c:numFmt formatCode="General" sourceLinked="0"/>
        <c:majorTickMark val="out"/>
        <c:minorTickMark val="none"/>
        <c:tickLblPos val="nextTo"/>
        <c:crossAx val="83177472"/>
        <c:crosses val="autoZero"/>
        <c:auto val="1"/>
        <c:lblAlgn val="ctr"/>
        <c:lblOffset val="100"/>
        <c:noMultiLvlLbl val="0"/>
      </c:catAx>
      <c:valAx>
        <c:axId val="83177472"/>
        <c:scaling>
          <c:orientation val="minMax"/>
        </c:scaling>
        <c:delete val="0"/>
        <c:axPos val="l"/>
        <c:majorGridlines/>
        <c:numFmt formatCode="0%" sourceLinked="1"/>
        <c:majorTickMark val="out"/>
        <c:minorTickMark val="none"/>
        <c:tickLblPos val="nextTo"/>
        <c:crossAx val="59099392"/>
        <c:crosses val="autoZero"/>
        <c:crossBetween val="between"/>
        <c:majorUnit val="0.2"/>
      </c:valAx>
    </c:plotArea>
    <c:legend>
      <c:legendPos val="r"/>
      <c:layout/>
      <c:overlay val="0"/>
    </c:legend>
    <c:plotVisOnly val="1"/>
    <c:dispBlanksAs val="gap"/>
    <c:showDLblsOverMax val="0"/>
  </c:chart>
  <c:txPr>
    <a:bodyPr/>
    <a:lstStyle/>
    <a:p>
      <a:pPr>
        <a:defRPr sz="800"/>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BB83-4E6E-866C-78F5F0E21BAD}"/>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Denmark</c:v>
                </c:pt>
                <c:pt idx="1">
                  <c:v>EU 28</c:v>
                </c:pt>
              </c:strCache>
            </c:strRef>
          </c:cat>
          <c:val>
            <c:numRef>
              <c:f>'ETS ESD share by MS'!$B$9:$B$10</c:f>
              <c:numCache>
                <c:formatCode>0%</c:formatCode>
                <c:ptCount val="2"/>
                <c:pt idx="0">
                  <c:v>0.65795352278394525</c:v>
                </c:pt>
                <c:pt idx="1">
                  <c:v>0.5971521941557083</c:v>
                </c:pt>
              </c:numCache>
            </c:numRef>
          </c:val>
          <c:extLst xmlns:c16r2="http://schemas.microsoft.com/office/drawing/2015/06/chart">
            <c:ext xmlns:c16="http://schemas.microsoft.com/office/drawing/2014/chart" uri="{C3380CC4-5D6E-409C-BE32-E72D297353CC}">
              <c16:uniqueId val="{00000002-BB83-4E6E-866C-78F5F0E21BAD}"/>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BB83-4E6E-866C-78F5F0E21BAD}"/>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Denmark</c:v>
                </c:pt>
                <c:pt idx="1">
                  <c:v>EU 28</c:v>
                </c:pt>
              </c:strCache>
            </c:strRef>
          </c:cat>
          <c:val>
            <c:numRef>
              <c:f>'ETS ESD share by MS'!$C$9:$C$10</c:f>
              <c:numCache>
                <c:formatCode>0%</c:formatCode>
                <c:ptCount val="2"/>
                <c:pt idx="0">
                  <c:v>0.34204647721605463</c:v>
                </c:pt>
                <c:pt idx="1">
                  <c:v>0.40284780584429175</c:v>
                </c:pt>
              </c:numCache>
            </c:numRef>
          </c:val>
          <c:extLst xmlns:c16r2="http://schemas.microsoft.com/office/drawing/2015/06/chart">
            <c:ext xmlns:c16="http://schemas.microsoft.com/office/drawing/2014/chart" uri="{C3380CC4-5D6E-409C-BE32-E72D297353CC}">
              <c16:uniqueId val="{00000005-BB83-4E6E-866C-78F5F0E21BAD}"/>
            </c:ext>
          </c:extLst>
        </c:ser>
        <c:dLbls>
          <c:dLblPos val="ctr"/>
          <c:showLegendKey val="0"/>
          <c:showVal val="1"/>
          <c:showCatName val="0"/>
          <c:showSerName val="0"/>
          <c:showPercent val="0"/>
          <c:showBubbleSize val="0"/>
        </c:dLbls>
        <c:gapWidth val="98"/>
        <c:overlap val="100"/>
        <c:axId val="83632512"/>
        <c:axId val="83634048"/>
      </c:barChart>
      <c:catAx>
        <c:axId val="83632512"/>
        <c:scaling>
          <c:orientation val="minMax"/>
        </c:scaling>
        <c:delete val="0"/>
        <c:axPos val="b"/>
        <c:numFmt formatCode="General" sourceLinked="0"/>
        <c:majorTickMark val="out"/>
        <c:minorTickMark val="none"/>
        <c:tickLblPos val="nextTo"/>
        <c:crossAx val="83634048"/>
        <c:crosses val="autoZero"/>
        <c:auto val="1"/>
        <c:lblAlgn val="ctr"/>
        <c:lblOffset val="100"/>
        <c:noMultiLvlLbl val="0"/>
      </c:catAx>
      <c:valAx>
        <c:axId val="83634048"/>
        <c:scaling>
          <c:orientation val="minMax"/>
        </c:scaling>
        <c:delete val="0"/>
        <c:axPos val="l"/>
        <c:majorGridlines/>
        <c:numFmt formatCode="0%" sourceLinked="1"/>
        <c:majorTickMark val="out"/>
        <c:minorTickMark val="none"/>
        <c:tickLblPos val="nextTo"/>
        <c:crossAx val="83632512"/>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F65F-46FA-899E-6C35A1DBDB48}"/>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Estonia</c:v>
                </c:pt>
                <c:pt idx="1">
                  <c:v>EU 28</c:v>
                </c:pt>
              </c:strCache>
            </c:strRef>
          </c:cat>
          <c:val>
            <c:numRef>
              <c:f>'ETS ESD share by MS'!$B$9:$B$10</c:f>
              <c:numCache>
                <c:formatCode>0%</c:formatCode>
                <c:ptCount val="2"/>
                <c:pt idx="0">
                  <c:v>0.31618420456488711</c:v>
                </c:pt>
                <c:pt idx="1">
                  <c:v>0.5971521941557083</c:v>
                </c:pt>
              </c:numCache>
            </c:numRef>
          </c:val>
          <c:extLst xmlns:c16r2="http://schemas.microsoft.com/office/drawing/2015/06/chart">
            <c:ext xmlns:c16="http://schemas.microsoft.com/office/drawing/2014/chart" uri="{C3380CC4-5D6E-409C-BE32-E72D297353CC}">
              <c16:uniqueId val="{00000002-F65F-46FA-899E-6C35A1DBDB48}"/>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F65F-46FA-899E-6C35A1DBDB48}"/>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Estonia</c:v>
                </c:pt>
                <c:pt idx="1">
                  <c:v>EU 28</c:v>
                </c:pt>
              </c:strCache>
            </c:strRef>
          </c:cat>
          <c:val>
            <c:numRef>
              <c:f>'ETS ESD share by MS'!$C$9:$C$10</c:f>
              <c:numCache>
                <c:formatCode>0%</c:formatCode>
                <c:ptCount val="2"/>
                <c:pt idx="0">
                  <c:v>0.68381579543511284</c:v>
                </c:pt>
                <c:pt idx="1">
                  <c:v>0.40284780584429175</c:v>
                </c:pt>
              </c:numCache>
            </c:numRef>
          </c:val>
          <c:extLst xmlns:c16r2="http://schemas.microsoft.com/office/drawing/2015/06/chart">
            <c:ext xmlns:c16="http://schemas.microsoft.com/office/drawing/2014/chart" uri="{C3380CC4-5D6E-409C-BE32-E72D297353CC}">
              <c16:uniqueId val="{00000005-F65F-46FA-899E-6C35A1DBDB48}"/>
            </c:ext>
          </c:extLst>
        </c:ser>
        <c:dLbls>
          <c:dLblPos val="ctr"/>
          <c:showLegendKey val="0"/>
          <c:showVal val="1"/>
          <c:showCatName val="0"/>
          <c:showSerName val="0"/>
          <c:showPercent val="0"/>
          <c:showBubbleSize val="0"/>
        </c:dLbls>
        <c:gapWidth val="98"/>
        <c:overlap val="100"/>
        <c:axId val="83753984"/>
        <c:axId val="84087552"/>
      </c:barChart>
      <c:catAx>
        <c:axId val="83753984"/>
        <c:scaling>
          <c:orientation val="minMax"/>
        </c:scaling>
        <c:delete val="0"/>
        <c:axPos val="b"/>
        <c:numFmt formatCode="General" sourceLinked="0"/>
        <c:majorTickMark val="out"/>
        <c:minorTickMark val="none"/>
        <c:tickLblPos val="nextTo"/>
        <c:crossAx val="84087552"/>
        <c:crosses val="autoZero"/>
        <c:auto val="1"/>
        <c:lblAlgn val="ctr"/>
        <c:lblOffset val="100"/>
        <c:noMultiLvlLbl val="0"/>
      </c:catAx>
      <c:valAx>
        <c:axId val="84087552"/>
        <c:scaling>
          <c:orientation val="minMax"/>
        </c:scaling>
        <c:delete val="0"/>
        <c:axPos val="l"/>
        <c:majorGridlines/>
        <c:numFmt formatCode="0%" sourceLinked="1"/>
        <c:majorTickMark val="out"/>
        <c:minorTickMark val="none"/>
        <c:tickLblPos val="nextTo"/>
        <c:crossAx val="83753984"/>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E6D1-4E34-A28C-A61C87A03631}"/>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Finland</c:v>
                </c:pt>
                <c:pt idx="1">
                  <c:v>EU 28</c:v>
                </c:pt>
              </c:strCache>
            </c:strRef>
          </c:cat>
          <c:val>
            <c:numRef>
              <c:f>'ETS ESD share by MS'!$B$9:$B$10</c:f>
              <c:numCache>
                <c:formatCode>0%</c:formatCode>
                <c:ptCount val="2"/>
                <c:pt idx="0">
                  <c:v>0.53509493736442026</c:v>
                </c:pt>
                <c:pt idx="1">
                  <c:v>0.5971521941557083</c:v>
                </c:pt>
              </c:numCache>
            </c:numRef>
          </c:val>
          <c:extLst xmlns:c16r2="http://schemas.microsoft.com/office/drawing/2015/06/chart">
            <c:ext xmlns:c16="http://schemas.microsoft.com/office/drawing/2014/chart" uri="{C3380CC4-5D6E-409C-BE32-E72D297353CC}">
              <c16:uniqueId val="{00000002-E6D1-4E34-A28C-A61C87A03631}"/>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E6D1-4E34-A28C-A61C87A03631}"/>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Finland</c:v>
                </c:pt>
                <c:pt idx="1">
                  <c:v>EU 28</c:v>
                </c:pt>
              </c:strCache>
            </c:strRef>
          </c:cat>
          <c:val>
            <c:numRef>
              <c:f>'ETS ESD share by MS'!$C$9:$C$10</c:f>
              <c:numCache>
                <c:formatCode>0%</c:formatCode>
                <c:ptCount val="2"/>
                <c:pt idx="0">
                  <c:v>0.46490506263557979</c:v>
                </c:pt>
                <c:pt idx="1">
                  <c:v>0.40284780584429175</c:v>
                </c:pt>
              </c:numCache>
            </c:numRef>
          </c:val>
          <c:extLst xmlns:c16r2="http://schemas.microsoft.com/office/drawing/2015/06/chart">
            <c:ext xmlns:c16="http://schemas.microsoft.com/office/drawing/2014/chart" uri="{C3380CC4-5D6E-409C-BE32-E72D297353CC}">
              <c16:uniqueId val="{00000005-E6D1-4E34-A28C-A61C87A03631}"/>
            </c:ext>
          </c:extLst>
        </c:ser>
        <c:dLbls>
          <c:dLblPos val="ctr"/>
          <c:showLegendKey val="0"/>
          <c:showVal val="1"/>
          <c:showCatName val="0"/>
          <c:showSerName val="0"/>
          <c:showPercent val="0"/>
          <c:showBubbleSize val="0"/>
        </c:dLbls>
        <c:gapWidth val="98"/>
        <c:overlap val="100"/>
        <c:axId val="84543744"/>
        <c:axId val="84549632"/>
      </c:barChart>
      <c:catAx>
        <c:axId val="84543744"/>
        <c:scaling>
          <c:orientation val="minMax"/>
        </c:scaling>
        <c:delete val="0"/>
        <c:axPos val="b"/>
        <c:numFmt formatCode="General" sourceLinked="0"/>
        <c:majorTickMark val="out"/>
        <c:minorTickMark val="none"/>
        <c:tickLblPos val="nextTo"/>
        <c:crossAx val="84549632"/>
        <c:crosses val="autoZero"/>
        <c:auto val="1"/>
        <c:lblAlgn val="ctr"/>
        <c:lblOffset val="100"/>
        <c:noMultiLvlLbl val="0"/>
      </c:catAx>
      <c:valAx>
        <c:axId val="84549632"/>
        <c:scaling>
          <c:orientation val="minMax"/>
        </c:scaling>
        <c:delete val="0"/>
        <c:axPos val="l"/>
        <c:majorGridlines/>
        <c:numFmt formatCode="0%" sourceLinked="1"/>
        <c:majorTickMark val="out"/>
        <c:minorTickMark val="none"/>
        <c:tickLblPos val="nextTo"/>
        <c:crossAx val="84543744"/>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110116631104565"/>
          <c:y val="9.7173644245369076E-2"/>
          <c:w val="0.69446994125734285"/>
          <c:h val="0.73774828965310979"/>
        </c:manualLayout>
      </c:layout>
      <c:barChart>
        <c:barDir val="col"/>
        <c:grouping val="percentStacked"/>
        <c:varyColors val="0"/>
        <c:ser>
          <c:idx val="0"/>
          <c:order val="0"/>
          <c:tx>
            <c:strRef>
              <c:f>'ETS ESD share by MS'!$B$8</c:f>
              <c:strCache>
                <c:ptCount val="1"/>
                <c:pt idx="0">
                  <c:v>ESD</c:v>
                </c:pt>
              </c:strCache>
            </c:strRef>
          </c:tx>
          <c:invertIfNegative val="0"/>
          <c:dPt>
            <c:idx val="1"/>
            <c:invertIfNegative val="0"/>
            <c:bubble3D val="0"/>
            <c:spPr>
              <a:solidFill>
                <a:schemeClr val="accent1">
                  <a:lumMod val="60000"/>
                  <a:lumOff val="40000"/>
                </a:schemeClr>
              </a:solidFill>
            </c:spPr>
            <c:extLst xmlns:c16r2="http://schemas.microsoft.com/office/drawing/2015/06/chart">
              <c:ext xmlns:c16="http://schemas.microsoft.com/office/drawing/2014/chart" uri="{C3380CC4-5D6E-409C-BE32-E72D297353CC}">
                <c16:uniqueId val="{00000001-D844-4E10-99B7-FC94109A1D88}"/>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France</c:v>
                </c:pt>
                <c:pt idx="1">
                  <c:v>EU 28</c:v>
                </c:pt>
              </c:strCache>
            </c:strRef>
          </c:cat>
          <c:val>
            <c:numRef>
              <c:f>'ETS ESD share by MS'!$B$9:$B$10</c:f>
              <c:numCache>
                <c:formatCode>0%</c:formatCode>
                <c:ptCount val="2"/>
                <c:pt idx="0">
                  <c:v>0.77603080963745064</c:v>
                </c:pt>
                <c:pt idx="1">
                  <c:v>0.5971521941557083</c:v>
                </c:pt>
              </c:numCache>
            </c:numRef>
          </c:val>
          <c:extLst xmlns:c16r2="http://schemas.microsoft.com/office/drawing/2015/06/chart">
            <c:ext xmlns:c16="http://schemas.microsoft.com/office/drawing/2014/chart" uri="{C3380CC4-5D6E-409C-BE32-E72D297353CC}">
              <c16:uniqueId val="{00000002-D844-4E10-99B7-FC94109A1D88}"/>
            </c:ext>
          </c:extLst>
        </c:ser>
        <c:ser>
          <c:idx val="1"/>
          <c:order val="1"/>
          <c:tx>
            <c:strRef>
              <c:f>'ETS ESD share by MS'!$C$8</c:f>
              <c:strCache>
                <c:ptCount val="1"/>
                <c:pt idx="0">
                  <c:v>ETS</c:v>
                </c:pt>
              </c:strCache>
            </c:strRef>
          </c:tx>
          <c:invertIfNegative val="0"/>
          <c:dPt>
            <c:idx val="1"/>
            <c:invertIfNegative val="0"/>
            <c:bubble3D val="0"/>
            <c:spPr>
              <a:solidFill>
                <a:schemeClr val="accent2">
                  <a:lumMod val="60000"/>
                  <a:lumOff val="40000"/>
                </a:schemeClr>
              </a:solidFill>
            </c:spPr>
            <c:extLst xmlns:c16r2="http://schemas.microsoft.com/office/drawing/2015/06/chart">
              <c:ext xmlns:c16="http://schemas.microsoft.com/office/drawing/2014/chart" uri="{C3380CC4-5D6E-409C-BE32-E72D297353CC}">
                <c16:uniqueId val="{00000004-D844-4E10-99B7-FC94109A1D88}"/>
              </c:ext>
            </c:extLst>
          </c:dPt>
          <c:dLbls>
            <c:spPr>
              <a:noFill/>
              <a:ln>
                <a:noFill/>
              </a:ln>
              <a:effectLst/>
            </c:sp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'ETS ESD share by MS'!$A$9:$A$10</c:f>
              <c:strCache>
                <c:ptCount val="2"/>
                <c:pt idx="0">
                  <c:v>France</c:v>
                </c:pt>
                <c:pt idx="1">
                  <c:v>EU 28</c:v>
                </c:pt>
              </c:strCache>
            </c:strRef>
          </c:cat>
          <c:val>
            <c:numRef>
              <c:f>'ETS ESD share by MS'!$C$9:$C$10</c:f>
              <c:numCache>
                <c:formatCode>0%</c:formatCode>
                <c:ptCount val="2"/>
                <c:pt idx="0">
                  <c:v>0.22396919036254934</c:v>
                </c:pt>
                <c:pt idx="1">
                  <c:v>0.40284780584429175</c:v>
                </c:pt>
              </c:numCache>
            </c:numRef>
          </c:val>
          <c:extLst xmlns:c16r2="http://schemas.microsoft.com/office/drawing/2015/06/chart">
            <c:ext xmlns:c16="http://schemas.microsoft.com/office/drawing/2014/chart" uri="{C3380CC4-5D6E-409C-BE32-E72D297353CC}">
              <c16:uniqueId val="{00000005-D844-4E10-99B7-FC94109A1D88}"/>
            </c:ext>
          </c:extLst>
        </c:ser>
        <c:dLbls>
          <c:dLblPos val="ctr"/>
          <c:showLegendKey val="0"/>
          <c:showVal val="1"/>
          <c:showCatName val="0"/>
          <c:showSerName val="0"/>
          <c:showPercent val="0"/>
          <c:showBubbleSize val="0"/>
        </c:dLbls>
        <c:gapWidth val="98"/>
        <c:overlap val="100"/>
        <c:axId val="84657280"/>
        <c:axId val="84658816"/>
      </c:barChart>
      <c:catAx>
        <c:axId val="84657280"/>
        <c:scaling>
          <c:orientation val="minMax"/>
        </c:scaling>
        <c:delete val="0"/>
        <c:axPos val="b"/>
        <c:numFmt formatCode="General" sourceLinked="0"/>
        <c:majorTickMark val="out"/>
        <c:minorTickMark val="none"/>
        <c:tickLblPos val="nextTo"/>
        <c:crossAx val="84658816"/>
        <c:crosses val="autoZero"/>
        <c:auto val="1"/>
        <c:lblAlgn val="ctr"/>
        <c:lblOffset val="100"/>
        <c:noMultiLvlLbl val="0"/>
      </c:catAx>
      <c:valAx>
        <c:axId val="84658816"/>
        <c:scaling>
          <c:orientation val="minMax"/>
        </c:scaling>
        <c:delete val="0"/>
        <c:axPos val="l"/>
        <c:majorGridlines/>
        <c:numFmt formatCode="0%" sourceLinked="1"/>
        <c:majorTickMark val="out"/>
        <c:minorTickMark val="none"/>
        <c:tickLblPos val="nextTo"/>
        <c:crossAx val="84657280"/>
        <c:crosses val="autoZero"/>
        <c:crossBetween val="between"/>
        <c:majorUnit val="0.2"/>
      </c:valAx>
    </c:plotArea>
    <c:legend>
      <c:legendPos val="r"/>
      <c:overlay val="0"/>
    </c:legend>
    <c:plotVisOnly val="1"/>
    <c:dispBlanksAs val="gap"/>
    <c:showDLblsOverMax val="0"/>
  </c:chart>
  <c:txPr>
    <a:bodyPr/>
    <a:lstStyle/>
    <a:p>
      <a:pPr>
        <a:defRPr sz="800"/>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Normal.dotm</Template>
  <TotalTime>3</TotalTime>
  <Pages>14</Pages>
  <Words>1280</Words>
  <Characters>6773</Characters>
  <Application>Microsoft Office Word</Application>
  <DocSecurity>0</DocSecurity>
  <Lines>169</Lines>
  <Paragraphs>67</Paragraphs>
  <ScaleCrop>false</ScaleCrop>
  <Manager/>
  <Company/>
  <LinksUpToDate>false</LinksUpToDate>
  <CharactersWithSpaces>7986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DIGIT/C6</cp:lastModifiedBy>
  <cp:revision>18</cp:revision>
  <dcterms:created xsi:type="dcterms:W3CDTF">2018-10-16T15:27:00Z</dcterms:created>
  <dcterms:modified xsi:type="dcterms:W3CDTF">2018-10-26T10:13:00Z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Part">
    <vt:lpwstr>2</vt:lpwstr>
  </property>
  <property fmtid="{D5CDD505-2E9C-101B-9397-08002B2CF9AE}" pid="4" name="Total parts">
    <vt:lpwstr>6</vt:lpwstr>
  </property>
  <property fmtid="{D5CDD505-2E9C-101B-9397-08002B2CF9AE}" pid="5" name="DocStatus">
    <vt:lpwstr>Green</vt:lpwstr>
  </property>
  <property fmtid="{D5CDD505-2E9C-101B-9397-08002B2CF9AE}" pid="6" name="Created using">
    <vt:lpwstr>LW 6.0.1, Build 20180503</vt:lpwstr>
  </property>
  <property fmtid="{D5CDD505-2E9C-101B-9397-08002B2CF9AE}" pid="7" name="Last edited using">
    <vt:lpwstr>LW 6.0.1, Build 20180503</vt:lpwstr>
  </property>
</Properties>
</file>