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Style w:val="IntenseEmphasis"/>
          <w:noProof/>
          <w:sz w:val="28"/>
        </w:rPr>
      </w:pPr>
      <w:bookmarkStart w:id="0" w:name="_Toc523734008"/>
      <w:bookmarkStart w:id="1" w:name="_Toc527023257"/>
      <w:bookmarkStart w:id="2" w:name="LW_BM_COVERPAGE"/>
      <w:r>
        <w:rPr>
          <w:rStyle w:val="IntenseEmphasis"/>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EA96EAB-85F7-4FE2-BC82-6388AF1C1A58" style="width:450.75pt;height:415.5pt">
            <v:imagedata r:id="rId9" o:title=""/>
          </v:shape>
        </w:pict>
      </w:r>
    </w:p>
    <w:bookmarkEnd w:id="2"/>
    <w:p>
      <w:pPr>
        <w:rPr>
          <w:rStyle w:val="IntenseEmphasis"/>
          <w:noProof/>
          <w:sz w:val="28"/>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Style w:val="IntenseEmphasis"/>
          <w:noProof/>
          <w:sz w:val="28"/>
        </w:rPr>
      </w:pPr>
      <w:bookmarkStart w:id="3" w:name="_GoBack"/>
      <w:bookmarkEnd w:id="3"/>
      <w:r>
        <w:rPr>
          <w:rStyle w:val="IntenseEmphasis"/>
          <w:noProof/>
          <w:sz w:val="28"/>
        </w:rPr>
        <w:lastRenderedPageBreak/>
        <w:t>Contents</w:t>
      </w:r>
    </w:p>
    <w:p>
      <w:pPr>
        <w:pStyle w:val="TOC1"/>
        <w:rPr>
          <w:rFonts w:eastAsiaTheme="minorEastAsia"/>
          <w:b w:val="0"/>
          <w:lang w:eastAsia="en-GB"/>
        </w:rPr>
      </w:pPr>
      <w:r>
        <w:rPr>
          <w:i/>
        </w:rPr>
        <w:t>Part 1: Country fact sheets</w:t>
      </w:r>
      <w:r>
        <w:rPr>
          <w:webHidden/>
        </w:rPr>
        <w:tab/>
        <w:t>3</w:t>
      </w:r>
    </w:p>
    <w:p>
      <w:pPr>
        <w:pStyle w:val="TOC2"/>
        <w:tabs>
          <w:tab w:val="right" w:leader="dot" w:pos="9062"/>
        </w:tabs>
        <w:rPr>
          <w:noProof/>
        </w:rPr>
      </w:pPr>
      <w:r>
        <w:rPr>
          <w:noProof/>
        </w:rPr>
        <w:t>Country fact sheet: Austria</w:t>
      </w:r>
      <w:r>
        <w:rPr>
          <w:noProof/>
          <w:webHidden/>
        </w:rPr>
        <w:tab/>
        <w:t>4</w:t>
      </w:r>
    </w:p>
    <w:p>
      <w:pPr>
        <w:pStyle w:val="TOC2"/>
        <w:tabs>
          <w:tab w:val="right" w:leader="dot" w:pos="9062"/>
        </w:tabs>
        <w:rPr>
          <w:noProof/>
        </w:rPr>
      </w:pPr>
      <w:r>
        <w:rPr>
          <w:noProof/>
        </w:rPr>
        <w:t>Country fact sheet: Belgium</w:t>
      </w:r>
      <w:r>
        <w:rPr>
          <w:noProof/>
          <w:webHidden/>
        </w:rPr>
        <w:tab/>
        <w:t>7</w:t>
      </w:r>
    </w:p>
    <w:p>
      <w:pPr>
        <w:pStyle w:val="TOC2"/>
        <w:tabs>
          <w:tab w:val="right" w:leader="dot" w:pos="9062"/>
        </w:tabs>
        <w:rPr>
          <w:noProof/>
        </w:rPr>
      </w:pPr>
      <w:r>
        <w:rPr>
          <w:noProof/>
        </w:rPr>
        <w:t>Country fact sheet: Bulgaria</w:t>
      </w:r>
      <w:r>
        <w:rPr>
          <w:noProof/>
          <w:webHidden/>
        </w:rPr>
        <w:tab/>
        <w:t>10</w:t>
      </w:r>
    </w:p>
    <w:p>
      <w:pPr>
        <w:pStyle w:val="TOC2"/>
        <w:tabs>
          <w:tab w:val="right" w:leader="dot" w:pos="9062"/>
        </w:tabs>
        <w:rPr>
          <w:noProof/>
        </w:rPr>
      </w:pPr>
      <w:r>
        <w:rPr>
          <w:noProof/>
        </w:rPr>
        <w:t>Country fact sheet: Croatia</w:t>
      </w:r>
      <w:r>
        <w:rPr>
          <w:noProof/>
          <w:webHidden/>
        </w:rPr>
        <w:tab/>
        <w:t>13</w:t>
      </w:r>
    </w:p>
    <w:p>
      <w:pPr>
        <w:pStyle w:val="TOC2"/>
        <w:tabs>
          <w:tab w:val="right" w:leader="dot" w:pos="9062"/>
        </w:tabs>
        <w:rPr>
          <w:noProof/>
        </w:rPr>
      </w:pPr>
      <w:r>
        <w:rPr>
          <w:noProof/>
        </w:rPr>
        <w:t>Country fact sheet: Cyprus</w:t>
      </w:r>
      <w:r>
        <w:rPr>
          <w:noProof/>
          <w:webHidden/>
        </w:rPr>
        <w:tab/>
        <w:t>16</w:t>
      </w:r>
    </w:p>
    <w:p>
      <w:pPr>
        <w:pStyle w:val="TOC2"/>
        <w:tabs>
          <w:tab w:val="right" w:leader="dot" w:pos="9062"/>
        </w:tabs>
        <w:rPr>
          <w:noProof/>
        </w:rPr>
      </w:pPr>
      <w:r>
        <w:rPr>
          <w:noProof/>
        </w:rPr>
        <w:t>Country fact sheet: Czech Republic</w:t>
      </w:r>
      <w:r>
        <w:rPr>
          <w:noProof/>
          <w:webHidden/>
        </w:rPr>
        <w:tab/>
        <w:t>19</w:t>
      </w:r>
    </w:p>
    <w:p>
      <w:pPr>
        <w:pStyle w:val="TOC2"/>
        <w:tabs>
          <w:tab w:val="right" w:leader="dot" w:pos="9062"/>
        </w:tabs>
        <w:rPr>
          <w:noProof/>
        </w:rPr>
      </w:pPr>
      <w:r>
        <w:rPr>
          <w:noProof/>
        </w:rPr>
        <w:t>Country fact sheet: Denmark</w:t>
      </w:r>
      <w:r>
        <w:rPr>
          <w:noProof/>
          <w:webHidden/>
        </w:rPr>
        <w:tab/>
        <w:t>22</w:t>
      </w:r>
    </w:p>
    <w:p>
      <w:pPr>
        <w:pStyle w:val="TOC2"/>
        <w:tabs>
          <w:tab w:val="right" w:leader="dot" w:pos="9062"/>
        </w:tabs>
        <w:rPr>
          <w:noProof/>
        </w:rPr>
      </w:pPr>
      <w:r>
        <w:rPr>
          <w:noProof/>
        </w:rPr>
        <w:t>Country fact sheet: Estonia</w:t>
      </w:r>
      <w:r>
        <w:rPr>
          <w:noProof/>
          <w:webHidden/>
        </w:rPr>
        <w:tab/>
        <w:t>25</w:t>
      </w:r>
    </w:p>
    <w:p>
      <w:pPr>
        <w:pStyle w:val="TOC2"/>
        <w:tabs>
          <w:tab w:val="right" w:leader="dot" w:pos="9062"/>
        </w:tabs>
        <w:rPr>
          <w:noProof/>
        </w:rPr>
      </w:pPr>
      <w:r>
        <w:rPr>
          <w:noProof/>
        </w:rPr>
        <w:t>Country fact sheet: Finland</w:t>
      </w:r>
      <w:r>
        <w:rPr>
          <w:noProof/>
          <w:webHidden/>
        </w:rPr>
        <w:tab/>
        <w:t>28</w:t>
      </w:r>
    </w:p>
    <w:p>
      <w:pPr>
        <w:pStyle w:val="TOC2"/>
        <w:tabs>
          <w:tab w:val="right" w:leader="dot" w:pos="9062"/>
        </w:tabs>
        <w:rPr>
          <w:noProof/>
        </w:rPr>
      </w:pPr>
      <w:r>
        <w:rPr>
          <w:noProof/>
        </w:rPr>
        <w:t>Country fact sheet: France</w:t>
      </w:r>
      <w:r>
        <w:rPr>
          <w:noProof/>
          <w:webHidden/>
        </w:rPr>
        <w:tab/>
        <w:t>31</w:t>
      </w:r>
    </w:p>
    <w:p>
      <w:pPr>
        <w:pStyle w:val="TOC2"/>
        <w:tabs>
          <w:tab w:val="right" w:leader="dot" w:pos="9062"/>
        </w:tabs>
        <w:rPr>
          <w:noProof/>
        </w:rPr>
      </w:pPr>
      <w:r>
        <w:rPr>
          <w:noProof/>
        </w:rPr>
        <w:t>Country fact sheet: Germany</w:t>
      </w:r>
      <w:r>
        <w:rPr>
          <w:noProof/>
          <w:webHidden/>
        </w:rPr>
        <w:tab/>
        <w:t>34</w:t>
      </w:r>
    </w:p>
    <w:p>
      <w:pPr>
        <w:pStyle w:val="TOC2"/>
        <w:tabs>
          <w:tab w:val="right" w:leader="dot" w:pos="9062"/>
        </w:tabs>
        <w:rPr>
          <w:noProof/>
        </w:rPr>
      </w:pPr>
      <w:r>
        <w:rPr>
          <w:noProof/>
        </w:rPr>
        <w:t>Country fact sheet: Greece</w:t>
      </w:r>
      <w:r>
        <w:rPr>
          <w:noProof/>
          <w:webHidden/>
        </w:rPr>
        <w:tab/>
        <w:t>37</w:t>
      </w:r>
    </w:p>
    <w:p>
      <w:pPr>
        <w:pStyle w:val="TOC2"/>
        <w:tabs>
          <w:tab w:val="right" w:leader="dot" w:pos="9062"/>
        </w:tabs>
        <w:rPr>
          <w:noProof/>
        </w:rPr>
      </w:pPr>
      <w:r>
        <w:rPr>
          <w:noProof/>
        </w:rPr>
        <w:t>Country fact sheet: Hungary</w:t>
      </w:r>
      <w:r>
        <w:rPr>
          <w:noProof/>
          <w:webHidden/>
        </w:rPr>
        <w:tab/>
        <w:t>40</w:t>
      </w:r>
    </w:p>
    <w:p>
      <w:pPr>
        <w:pStyle w:val="TOC2"/>
        <w:tabs>
          <w:tab w:val="right" w:leader="dot" w:pos="9062"/>
        </w:tabs>
        <w:rPr>
          <w:noProof/>
        </w:rPr>
      </w:pPr>
      <w:r>
        <w:rPr>
          <w:noProof/>
        </w:rPr>
        <w:t>Country fact sheet: Ireland</w:t>
      </w:r>
      <w:r>
        <w:rPr>
          <w:noProof/>
          <w:webHidden/>
        </w:rPr>
        <w:tab/>
        <w:t>43</w:t>
      </w:r>
    </w:p>
    <w:p>
      <w:pPr>
        <w:pStyle w:val="TOC2"/>
        <w:tabs>
          <w:tab w:val="right" w:leader="dot" w:pos="9062"/>
        </w:tabs>
        <w:rPr>
          <w:noProof/>
        </w:rPr>
      </w:pPr>
      <w:r>
        <w:rPr>
          <w:noProof/>
        </w:rPr>
        <w:t>Country fact sheet: Italy</w:t>
      </w:r>
      <w:r>
        <w:rPr>
          <w:noProof/>
          <w:webHidden/>
        </w:rPr>
        <w:tab/>
        <w:t>46</w:t>
      </w:r>
    </w:p>
    <w:p>
      <w:pPr>
        <w:pStyle w:val="TOC2"/>
        <w:tabs>
          <w:tab w:val="right" w:leader="dot" w:pos="9062"/>
        </w:tabs>
        <w:rPr>
          <w:noProof/>
        </w:rPr>
      </w:pPr>
      <w:r>
        <w:rPr>
          <w:noProof/>
        </w:rPr>
        <w:t>Country fact sheet: Latvia</w:t>
      </w:r>
      <w:r>
        <w:rPr>
          <w:noProof/>
          <w:webHidden/>
        </w:rPr>
        <w:tab/>
        <w:t>49</w:t>
      </w:r>
    </w:p>
    <w:p>
      <w:pPr>
        <w:pStyle w:val="TOC2"/>
        <w:tabs>
          <w:tab w:val="right" w:leader="dot" w:pos="9062"/>
        </w:tabs>
        <w:rPr>
          <w:noProof/>
        </w:rPr>
      </w:pPr>
      <w:r>
        <w:rPr>
          <w:noProof/>
        </w:rPr>
        <w:t>Country fact sheet: Lithuania</w:t>
      </w:r>
      <w:r>
        <w:rPr>
          <w:noProof/>
          <w:webHidden/>
        </w:rPr>
        <w:tab/>
        <w:t>52</w:t>
      </w:r>
    </w:p>
    <w:p>
      <w:pPr>
        <w:pStyle w:val="TOC2"/>
        <w:tabs>
          <w:tab w:val="right" w:leader="dot" w:pos="9062"/>
        </w:tabs>
        <w:rPr>
          <w:noProof/>
        </w:rPr>
      </w:pPr>
      <w:r>
        <w:rPr>
          <w:noProof/>
        </w:rPr>
        <w:t>Country fact sheet: Luxembourg</w:t>
      </w:r>
      <w:r>
        <w:rPr>
          <w:noProof/>
          <w:webHidden/>
        </w:rPr>
        <w:tab/>
        <w:t>55</w:t>
      </w:r>
    </w:p>
    <w:p>
      <w:pPr>
        <w:pStyle w:val="TOC2"/>
        <w:tabs>
          <w:tab w:val="right" w:leader="dot" w:pos="9062"/>
        </w:tabs>
        <w:rPr>
          <w:noProof/>
        </w:rPr>
      </w:pPr>
      <w:r>
        <w:rPr>
          <w:noProof/>
        </w:rPr>
        <w:t>Country fact sheet: Malta</w:t>
      </w:r>
      <w:r>
        <w:rPr>
          <w:noProof/>
          <w:webHidden/>
        </w:rPr>
        <w:tab/>
        <w:t>58</w:t>
      </w:r>
    </w:p>
    <w:p>
      <w:pPr>
        <w:pStyle w:val="TOC2"/>
        <w:tabs>
          <w:tab w:val="right" w:leader="dot" w:pos="9062"/>
        </w:tabs>
        <w:rPr>
          <w:noProof/>
        </w:rPr>
      </w:pPr>
      <w:r>
        <w:rPr>
          <w:noProof/>
        </w:rPr>
        <w:t>Country fact sheet: Netherlands</w:t>
      </w:r>
      <w:r>
        <w:rPr>
          <w:noProof/>
          <w:webHidden/>
        </w:rPr>
        <w:tab/>
        <w:t>61</w:t>
      </w:r>
    </w:p>
    <w:p>
      <w:pPr>
        <w:pStyle w:val="TOC2"/>
        <w:tabs>
          <w:tab w:val="right" w:leader="dot" w:pos="9062"/>
        </w:tabs>
        <w:rPr>
          <w:noProof/>
        </w:rPr>
      </w:pPr>
      <w:r>
        <w:rPr>
          <w:noProof/>
        </w:rPr>
        <w:t>Country fact sheet: Poland</w:t>
      </w:r>
      <w:r>
        <w:rPr>
          <w:noProof/>
          <w:webHidden/>
        </w:rPr>
        <w:tab/>
        <w:t>64</w:t>
      </w:r>
    </w:p>
    <w:p>
      <w:pPr>
        <w:pStyle w:val="TOC2"/>
        <w:tabs>
          <w:tab w:val="right" w:leader="dot" w:pos="9062"/>
        </w:tabs>
        <w:rPr>
          <w:noProof/>
        </w:rPr>
      </w:pPr>
      <w:r>
        <w:rPr>
          <w:noProof/>
        </w:rPr>
        <w:t>Country fact sheet: Portugal</w:t>
      </w:r>
      <w:r>
        <w:rPr>
          <w:noProof/>
          <w:webHidden/>
        </w:rPr>
        <w:tab/>
        <w:t>67</w:t>
      </w:r>
    </w:p>
    <w:p>
      <w:pPr>
        <w:pStyle w:val="TOC2"/>
        <w:tabs>
          <w:tab w:val="right" w:leader="dot" w:pos="9062"/>
        </w:tabs>
        <w:rPr>
          <w:noProof/>
        </w:rPr>
      </w:pPr>
      <w:r>
        <w:rPr>
          <w:noProof/>
        </w:rPr>
        <w:t>Country fact sheet: Romania</w:t>
      </w:r>
      <w:r>
        <w:rPr>
          <w:noProof/>
          <w:webHidden/>
        </w:rPr>
        <w:tab/>
        <w:t>70</w:t>
      </w:r>
    </w:p>
    <w:p>
      <w:pPr>
        <w:pStyle w:val="TOC2"/>
        <w:tabs>
          <w:tab w:val="right" w:leader="dot" w:pos="9062"/>
        </w:tabs>
        <w:rPr>
          <w:noProof/>
        </w:rPr>
      </w:pPr>
      <w:r>
        <w:rPr>
          <w:noProof/>
        </w:rPr>
        <w:t>Country fact sheet: Slovakia</w:t>
      </w:r>
      <w:r>
        <w:rPr>
          <w:noProof/>
          <w:webHidden/>
        </w:rPr>
        <w:tab/>
        <w:t>73</w:t>
      </w:r>
    </w:p>
    <w:p>
      <w:pPr>
        <w:pStyle w:val="TOC2"/>
        <w:tabs>
          <w:tab w:val="right" w:leader="dot" w:pos="9062"/>
        </w:tabs>
        <w:rPr>
          <w:noProof/>
        </w:rPr>
      </w:pPr>
      <w:r>
        <w:rPr>
          <w:noProof/>
        </w:rPr>
        <w:t>Country fact sheet: Slovenia</w:t>
      </w:r>
      <w:r>
        <w:rPr>
          <w:noProof/>
          <w:webHidden/>
        </w:rPr>
        <w:tab/>
        <w:t>76</w:t>
      </w:r>
    </w:p>
    <w:p>
      <w:pPr>
        <w:pStyle w:val="TOC2"/>
        <w:tabs>
          <w:tab w:val="right" w:leader="dot" w:pos="9062"/>
        </w:tabs>
        <w:rPr>
          <w:noProof/>
        </w:rPr>
      </w:pPr>
      <w:r>
        <w:rPr>
          <w:noProof/>
        </w:rPr>
        <w:t>Country fact sheet: Spain</w:t>
      </w:r>
      <w:r>
        <w:rPr>
          <w:noProof/>
          <w:webHidden/>
        </w:rPr>
        <w:tab/>
        <w:t>79</w:t>
      </w:r>
    </w:p>
    <w:p>
      <w:pPr>
        <w:pStyle w:val="TOC2"/>
        <w:tabs>
          <w:tab w:val="right" w:leader="dot" w:pos="9062"/>
        </w:tabs>
        <w:rPr>
          <w:noProof/>
        </w:rPr>
      </w:pPr>
      <w:r>
        <w:rPr>
          <w:noProof/>
        </w:rPr>
        <w:t>Country fact sheet: Sweden</w:t>
      </w:r>
      <w:r>
        <w:rPr>
          <w:noProof/>
          <w:webHidden/>
        </w:rPr>
        <w:tab/>
        <w:t>82</w:t>
      </w:r>
    </w:p>
    <w:p>
      <w:pPr>
        <w:pStyle w:val="TOC2"/>
        <w:tabs>
          <w:tab w:val="right" w:leader="dot" w:pos="9062"/>
        </w:tabs>
        <w:rPr>
          <w:noProof/>
        </w:rPr>
      </w:pPr>
      <w:r>
        <w:rPr>
          <w:noProof/>
        </w:rPr>
        <w:t>Country fact sheet: United Kingdom</w:t>
      </w:r>
      <w:r>
        <w:rPr>
          <w:noProof/>
          <w:webHidden/>
        </w:rPr>
        <w:tab/>
        <w:t>85</w:t>
      </w:r>
    </w:p>
    <w:p>
      <w:pPr>
        <w:pStyle w:val="TOC2"/>
        <w:tabs>
          <w:tab w:val="right" w:leader="dot" w:pos="9062"/>
        </w:tabs>
        <w:rPr>
          <w:noProof/>
        </w:rPr>
      </w:pPr>
      <w:r>
        <w:rPr>
          <w:noProof/>
          <w:lang w:eastAsia="de-DE"/>
        </w:rPr>
        <w:t>Data sources for country fact sheets</w:t>
      </w:r>
      <w:r>
        <w:rPr>
          <w:noProof/>
          <w:webHidden/>
        </w:rPr>
        <w:tab/>
        <w:t>88</w:t>
      </w:r>
    </w:p>
    <w:p>
      <w:pPr>
        <w:pStyle w:val="TOC2"/>
        <w:tabs>
          <w:tab w:val="right" w:leader="dot" w:pos="9062"/>
        </w:tabs>
        <w:rPr>
          <w:noProof/>
        </w:rPr>
      </w:pPr>
      <w:r>
        <w:rPr>
          <w:noProof/>
        </w:rPr>
        <w:t>Part 1B: Explanatory text on land use land use change and forestry – reported and accounted emissions under the Kyoto protocol</w:t>
      </w:r>
      <w:r>
        <w:rPr>
          <w:noProof/>
          <w:webHidden/>
        </w:rPr>
        <w:tab/>
        <w:t>89</w:t>
      </w:r>
    </w:p>
    <w:p>
      <w:pPr>
        <w:pStyle w:val="TOC1"/>
        <w:rPr>
          <w:rFonts w:eastAsiaTheme="minorEastAsia"/>
          <w:b w:val="0"/>
          <w:lang w:eastAsia="en-GB"/>
        </w:rPr>
      </w:pPr>
      <w:r>
        <w:rPr>
          <w:i/>
        </w:rPr>
        <w:t>Part 2: Other technical information</w:t>
      </w:r>
      <w:r>
        <w:rPr>
          <w:webHidden/>
        </w:rPr>
        <w:tab/>
        <w:t>90</w:t>
      </w:r>
    </w:p>
    <w:p>
      <w:pPr>
        <w:pStyle w:val="TOC2"/>
        <w:tabs>
          <w:tab w:val="right" w:leader="dot" w:pos="9062"/>
        </w:tabs>
        <w:rPr>
          <w:noProof/>
        </w:rPr>
      </w:pPr>
      <w:r>
        <w:rPr>
          <w:noProof/>
        </w:rPr>
        <w:t>1. Overview of EU climate targets</w:t>
      </w:r>
      <w:r>
        <w:rPr>
          <w:noProof/>
          <w:webHidden/>
        </w:rPr>
        <w:tab/>
        <w:t>91</w:t>
      </w:r>
    </w:p>
    <w:p>
      <w:pPr>
        <w:pStyle w:val="TOC2"/>
        <w:tabs>
          <w:tab w:val="right" w:leader="dot" w:pos="9062"/>
        </w:tabs>
        <w:rPr>
          <w:noProof/>
        </w:rPr>
      </w:pPr>
      <w:r>
        <w:rPr>
          <w:noProof/>
        </w:rPr>
        <w:t>2. Greenhouse gas emissions covered by the Kyoto Protocol and the EU Climate and Energy package</w:t>
      </w:r>
      <w:r>
        <w:rPr>
          <w:noProof/>
          <w:webHidden/>
        </w:rPr>
        <w:tab/>
        <w:t>95</w:t>
      </w:r>
    </w:p>
    <w:p>
      <w:pPr>
        <w:pStyle w:val="TOC2"/>
        <w:tabs>
          <w:tab w:val="right" w:leader="dot" w:pos="9062"/>
        </w:tabs>
        <w:rPr>
          <w:noProof/>
        </w:rPr>
      </w:pPr>
      <w:r>
        <w:rPr>
          <w:noProof/>
        </w:rPr>
        <w:t>3. EU greenhouse gas emissions by sector</w:t>
      </w:r>
      <w:r>
        <w:rPr>
          <w:noProof/>
          <w:webHidden/>
        </w:rPr>
        <w:tab/>
        <w:t>96</w:t>
      </w:r>
    </w:p>
    <w:p>
      <w:pPr>
        <w:pStyle w:val="TOC2"/>
        <w:tabs>
          <w:tab w:val="right" w:leader="dot" w:pos="9062"/>
        </w:tabs>
        <w:rPr>
          <w:noProof/>
        </w:rPr>
      </w:pPr>
      <w:r>
        <w:rPr>
          <w:rFonts w:eastAsia="Calibri"/>
          <w:noProof/>
        </w:rPr>
        <w:t>4. Greenhouse gas intensity in the EU and its Member States</w:t>
      </w:r>
      <w:r>
        <w:rPr>
          <w:noProof/>
          <w:webHidden/>
        </w:rPr>
        <w:tab/>
        <w:t>98</w:t>
      </w:r>
    </w:p>
    <w:p>
      <w:pPr>
        <w:pStyle w:val="TOC2"/>
        <w:tabs>
          <w:tab w:val="right" w:leader="dot" w:pos="9062"/>
        </w:tabs>
        <w:rPr>
          <w:noProof/>
        </w:rPr>
      </w:pPr>
      <w:r>
        <w:rPr>
          <w:noProof/>
        </w:rPr>
        <w:t>5. Greenhouse gas emissions per capita in the EU and its Member States</w:t>
      </w:r>
      <w:r>
        <w:rPr>
          <w:noProof/>
          <w:webHidden/>
        </w:rPr>
        <w:tab/>
        <w:t>99</w:t>
      </w:r>
    </w:p>
    <w:p>
      <w:pPr>
        <w:pStyle w:val="TOC2"/>
        <w:tabs>
          <w:tab w:val="right" w:leader="dot" w:pos="9062"/>
        </w:tabs>
        <w:rPr>
          <w:noProof/>
        </w:rPr>
      </w:pPr>
      <w:r>
        <w:rPr>
          <w:rFonts w:eastAsia="Calibri"/>
          <w:noProof/>
        </w:rPr>
        <w:t>6. EU ETS emissions</w:t>
      </w:r>
      <w:r>
        <w:rPr>
          <w:noProof/>
          <w:webHidden/>
        </w:rPr>
        <w:tab/>
        <w:t>100</w:t>
      </w:r>
    </w:p>
    <w:p>
      <w:pPr>
        <w:pStyle w:val="TOC2"/>
        <w:tabs>
          <w:tab w:val="right" w:leader="dot" w:pos="9062"/>
        </w:tabs>
        <w:rPr>
          <w:noProof/>
        </w:rPr>
      </w:pPr>
      <w:r>
        <w:rPr>
          <w:noProof/>
        </w:rPr>
        <w:t>7. Emissions covered by the effort-sharing legislation</w:t>
      </w:r>
      <w:r>
        <w:rPr>
          <w:noProof/>
          <w:webHidden/>
        </w:rPr>
        <w:tab/>
        <w:t>101</w:t>
      </w:r>
    </w:p>
    <w:p>
      <w:pPr>
        <w:pStyle w:val="TOC2"/>
        <w:tabs>
          <w:tab w:val="right" w:leader="dot" w:pos="9062"/>
        </w:tabs>
        <w:rPr>
          <w:noProof/>
        </w:rPr>
      </w:pPr>
      <w:r>
        <w:rPr>
          <w:noProof/>
        </w:rPr>
        <w:t>8. Use of revenues from auctioning of ETS allowances</w:t>
      </w:r>
      <w:r>
        <w:rPr>
          <w:noProof/>
          <w:webHidden/>
        </w:rPr>
        <w:tab/>
        <w:t>107</w:t>
      </w:r>
    </w:p>
    <w:p>
      <w:pPr>
        <w:rPr>
          <w:rFonts w:asciiTheme="majorHAnsi" w:eastAsiaTheme="majorEastAsia" w:hAnsiTheme="majorHAnsi" w:cstheme="majorBidi"/>
          <w:b/>
          <w:bCs/>
          <w:i/>
          <w:noProof/>
          <w:color w:val="4F81BD" w:themeColor="accent1"/>
          <w:sz w:val="40"/>
          <w:szCs w:val="26"/>
        </w:rPr>
      </w:pPr>
      <w:r>
        <w:rPr>
          <w:i/>
          <w:noProof/>
          <w:sz w:val="40"/>
        </w:rPr>
        <w:br w:type="page"/>
      </w:r>
    </w:p>
    <w:p>
      <w:pPr>
        <w:pStyle w:val="Heading2"/>
        <w:rPr>
          <w:i/>
          <w:noProof/>
          <w:sz w:val="56"/>
        </w:rPr>
      </w:pPr>
      <w:bookmarkStart w:id="4" w:name="_Toc527447500"/>
    </w:p>
    <w:p>
      <w:pPr>
        <w:pStyle w:val="Heading2"/>
        <w:rPr>
          <w:i/>
          <w:noProof/>
          <w:sz w:val="56"/>
        </w:rPr>
      </w:pPr>
    </w:p>
    <w:p>
      <w:pPr>
        <w:pStyle w:val="Heading2"/>
        <w:rPr>
          <w:i/>
          <w:noProof/>
          <w:sz w:val="56"/>
        </w:rPr>
      </w:pPr>
    </w:p>
    <w:p>
      <w:pPr>
        <w:pStyle w:val="Heading2"/>
        <w:rPr>
          <w:i/>
          <w:noProof/>
          <w:sz w:val="56"/>
        </w:rPr>
      </w:pPr>
    </w:p>
    <w:p>
      <w:pPr>
        <w:pStyle w:val="Heading2"/>
        <w:rPr>
          <w:i/>
          <w:noProof/>
          <w:sz w:val="56"/>
        </w:rPr>
      </w:pPr>
    </w:p>
    <w:p>
      <w:pPr>
        <w:pStyle w:val="Heading2"/>
        <w:rPr>
          <w:i/>
          <w:noProof/>
          <w:sz w:val="56"/>
        </w:rPr>
      </w:pPr>
      <w:r>
        <w:rPr>
          <w:i/>
          <w:noProof/>
          <w:sz w:val="56"/>
        </w:rPr>
        <w:t>Part 1: Country fact sheets</w:t>
      </w:r>
      <w:bookmarkEnd w:id="0"/>
      <w:bookmarkEnd w:id="1"/>
      <w:bookmarkEnd w:id="4"/>
    </w:p>
    <w:p>
      <w:pPr>
        <w:rPr>
          <w:rFonts w:asciiTheme="majorHAnsi" w:eastAsiaTheme="majorEastAsia" w:hAnsiTheme="majorHAnsi" w:cstheme="majorBidi"/>
          <w:noProof/>
          <w:color w:val="17365D" w:themeColor="text2" w:themeShade="BF"/>
          <w:spacing w:val="5"/>
          <w:kern w:val="28"/>
          <w:sz w:val="52"/>
          <w:szCs w:val="52"/>
        </w:rPr>
      </w:pPr>
      <w:bookmarkStart w:id="5" w:name="country_fact_sheets"/>
      <w:bookmarkStart w:id="6" w:name="_Toc527023258"/>
      <w:bookmarkStart w:id="7" w:name="_Toc527446444"/>
      <w:bookmarkEnd w:id="5"/>
      <w:r>
        <w:rPr>
          <w:noProof/>
        </w:rPr>
        <w:br w:type="page"/>
      </w:r>
    </w:p>
    <w:p>
      <w:pPr>
        <w:pStyle w:val="Title"/>
        <w:rPr>
          <w:noProof/>
        </w:rPr>
      </w:pPr>
      <w:bookmarkStart w:id="8" w:name="_Toc527447501"/>
      <w:r>
        <w:rPr>
          <w:noProof/>
        </w:rPr>
        <w:t>Country fact sheet: Austria</w:t>
      </w:r>
      <w:bookmarkEnd w:id="6"/>
      <w:bookmarkEnd w:id="7"/>
      <w:bookmarkEnd w:id="8"/>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627076" cy="288894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135" cy="2890005"/>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
      </w:r>
      <w:r>
        <w:rPr>
          <w:noProof/>
          <w:sz w:val="22"/>
          <w:szCs w:val="22"/>
        </w:rPr>
        <w:t xml:space="preserve"> 1990-2017 (index 1990 = 100 %). Right hand side: Total greenhouse gas emissions by sector</w:t>
      </w:r>
      <w:r>
        <w:rPr>
          <w:noProof/>
          <w:sz w:val="22"/>
          <w:szCs w:val="22"/>
          <w:vertAlign w:val="superscript"/>
        </w:rPr>
        <w:footnoteReference w:id="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rPr>
          <w:noProof/>
        </w:rPr>
      </w:pPr>
    </w:p>
    <w:p>
      <w:pPr>
        <w:rPr>
          <w:noProof/>
        </w:rPr>
      </w:pPr>
      <w:r>
        <w:rPr>
          <w:noProof/>
          <w:lang w:eastAsia="en-GB"/>
        </w:rPr>
        <w:drawing>
          <wp:inline distT="0" distB="0" distL="0" distR="0">
            <wp:extent cx="3067049" cy="1804988"/>
            <wp:effectExtent l="0" t="0" r="19685"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Caption"/>
        <w:keepNext/>
        <w:rPr>
          <w:noProof/>
          <w:sz w:val="22"/>
          <w:szCs w:val="22"/>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2</w:t>
      </w:r>
      <w:r>
        <w:rPr>
          <w:noProof/>
          <w:sz w:val="22"/>
          <w:szCs w:val="22"/>
        </w:rPr>
        <w:fldChar w:fldCharType="end"/>
      </w:r>
      <w:r>
        <w:rPr>
          <w:noProof/>
          <w:sz w:val="22"/>
          <w:szCs w:val="22"/>
        </w:rPr>
        <w:t>: Share of emissions covered by the ETS and the ESD (2016).</w:t>
      </w:r>
      <w:r>
        <w:rPr>
          <w:noProof/>
          <w:sz w:val="22"/>
          <w:szCs w:val="22"/>
          <w:vertAlign w:val="superscript"/>
        </w:rPr>
        <w:footnoteReference w:id="3"/>
      </w:r>
    </w:p>
    <w:p>
      <w:pPr>
        <w:rPr>
          <w:noProof/>
        </w:rPr>
      </w:pPr>
    </w:p>
    <w:p>
      <w:pPr>
        <w:pStyle w:val="Heading1"/>
        <w:rPr>
          <w:noProof/>
          <w:lang w:val="fr-BE"/>
        </w:rPr>
      </w:pPr>
      <w:r>
        <w:rPr>
          <w:noProof/>
          <w:lang w:val="fr-BE"/>
        </w:rPr>
        <w:t>4. ETS emissions</w:t>
      </w:r>
    </w:p>
    <w:p>
      <w:pPr>
        <w:rPr>
          <w:noProof/>
          <w:lang w:val="fr-BE"/>
        </w:rPr>
      </w:pPr>
    </w:p>
    <w:p>
      <w:pPr>
        <w:pStyle w:val="Caption"/>
        <w:keepNext/>
        <w:rPr>
          <w:noProof/>
          <w:lang w:val="fr-BE"/>
        </w:rPr>
      </w:pPr>
      <w:r>
        <w:rPr>
          <w:noProof/>
          <w:lang w:eastAsia="en-GB"/>
        </w:rPr>
        <w:drawing>
          <wp:inline distT="0" distB="0" distL="0" distR="0">
            <wp:extent cx="5746750" cy="2777908"/>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0387" cy="2779666"/>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4"/>
      </w:r>
      <w:r>
        <w:rPr>
          <w:noProof/>
          <w:sz w:val="22"/>
          <w:szCs w:val="22"/>
          <w:vertAlign w:val="superscript"/>
        </w:rPr>
        <w:t xml:space="preserve"> </w:t>
      </w:r>
    </w:p>
    <w:p>
      <w:pPr>
        <w:pStyle w:val="Heading1"/>
        <w:rPr>
          <w:noProof/>
        </w:rPr>
      </w:pPr>
      <w:r>
        <w:rPr>
          <w:noProof/>
        </w:rPr>
        <w:t>3. Emissions in Effort Sharing sectors</w:t>
      </w:r>
    </w:p>
    <w:p>
      <w:pPr>
        <w:rPr>
          <w:noProof/>
        </w:rPr>
      </w:pPr>
    </w:p>
    <w:p>
      <w:pPr>
        <w:pStyle w:val="Caption"/>
        <w:keepNext/>
        <w:rPr>
          <w:noProof/>
        </w:rPr>
      </w:pPr>
      <w:r>
        <w:rPr>
          <w:noProof/>
          <w:lang w:eastAsia="en-GB"/>
        </w:rPr>
        <w:drawing>
          <wp:inline distT="0" distB="0" distL="0" distR="0">
            <wp:extent cx="5748793" cy="2193116"/>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7934" cy="2196603"/>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1355" cy="20364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036445"/>
                    </a:xfrm>
                    <a:prstGeom prst="rect">
                      <a:avLst/>
                    </a:prstGeom>
                    <a:noFill/>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5"/>
      </w:r>
    </w:p>
    <w:p>
      <w:pPr>
        <w:jc w:val="both"/>
        <w:rPr>
          <w:noProof/>
          <w:lang w:eastAsia="de-DE"/>
        </w:rPr>
      </w:pPr>
      <w:r>
        <w:rPr>
          <w:noProof/>
        </w:rPr>
        <w:t xml:space="preserve">Reported quantities </w:t>
      </w:r>
      <w:r>
        <w:rPr>
          <w:noProof/>
          <w:lang w:eastAsia="de-DE"/>
        </w:rPr>
        <w:t>under the Kyoto Protocol for Austria show net removals of, on average, -5.0 Mt CO</w:t>
      </w:r>
      <w:r>
        <w:rPr>
          <w:noProof/>
          <w:vertAlign w:val="subscript"/>
          <w:lang w:eastAsia="de-DE"/>
        </w:rPr>
        <w:t>2</w:t>
      </w:r>
      <w:r>
        <w:rPr>
          <w:noProof/>
          <w:lang w:eastAsia="de-DE"/>
        </w:rPr>
        <w:t>-eq for the period 2013 to 2016. In this regard Austria contributes with 1.3% to the annual average sink of -384.4 Mt CO</w:t>
      </w:r>
      <w:r>
        <w:rPr>
          <w:noProof/>
          <w:vertAlign w:val="subscript"/>
          <w:lang w:eastAsia="de-DE"/>
        </w:rPr>
        <w:t>2</w:t>
      </w:r>
      <w:r>
        <w:rPr>
          <w:noProof/>
          <w:lang w:eastAsia="de-DE"/>
        </w:rPr>
        <w:t>-eq of the EU-28. Accounting for the same period depicts net credits of, on average, -4.3 Mt CO</w:t>
      </w:r>
      <w:r>
        <w:rPr>
          <w:noProof/>
          <w:vertAlign w:val="subscript"/>
          <w:lang w:eastAsia="de-DE"/>
        </w:rPr>
        <w:t>2</w:t>
      </w:r>
      <w:r>
        <w:rPr>
          <w:noProof/>
          <w:lang w:eastAsia="de-DE"/>
        </w:rPr>
        <w:t>-eq, which corresponds to 3.7% of the EU-28 accounted sink of -115.7 Mt CO</w:t>
      </w:r>
      <w:r>
        <w:rPr>
          <w:noProof/>
          <w:vertAlign w:val="subscript"/>
          <w:lang w:eastAsia="de-DE"/>
        </w:rPr>
        <w:t>2</w:t>
      </w:r>
      <w:r>
        <w:rPr>
          <w:noProof/>
          <w:lang w:eastAsia="de-DE"/>
        </w:rPr>
        <w:t xml:space="preserve">-eq. Reported net removals are highest for 2014 and decreased slightly over the following years, while accounted net credits show no notable trend. </w:t>
      </w:r>
      <w:r>
        <w:rPr>
          <w:rFonts w:eastAsia="Times New Roman" w:cs="Tahoma"/>
          <w:noProof/>
          <w:color w:val="000000"/>
        </w:rPr>
        <w:t>I</w:t>
      </w:r>
      <w:r>
        <w:rPr>
          <w:noProof/>
        </w:rPr>
        <w:t xml:space="preserve">n this </w:t>
      </w:r>
      <w:r>
        <w:rPr>
          <w:rFonts w:eastAsia="Times New Roman" w:cs="Tahoma"/>
          <w:noProof/>
          <w:color w:val="000000"/>
        </w:rPr>
        <w:t>preliminary simulated accounting exercise</w:t>
      </w:r>
      <w:r>
        <w:rPr>
          <w:noProof/>
        </w:rPr>
        <w:t xml:space="preserve"> potential credits by Forest Management of, on average, -</w:t>
      </w:r>
      <w:r>
        <w:rPr>
          <w:rFonts w:eastAsia="Times New Roman" w:cs="Tahoma"/>
          <w:noProof/>
          <w:color w:val="000000"/>
        </w:rPr>
        <w:t>2.8 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-2.7 Mt CO</w:t>
      </w:r>
      <w:r>
        <w:rPr>
          <w:noProof/>
          <w:vertAlign w:val="subscript"/>
          <w:lang w:eastAsia="de-DE"/>
        </w:rPr>
        <w:t>2</w:t>
      </w:r>
      <w:r>
        <w:rPr>
          <w:rFonts w:eastAsia="Times New Roman" w:cs="Tahoma"/>
          <w:noProof/>
          <w:color w:val="000000"/>
        </w:rPr>
        <w:t>-eq per year. Austria is one of eight EU Member States which exceed the cap of 3.5% from emissions of the base year (1990).</w:t>
      </w:r>
    </w:p>
    <w:p>
      <w:pPr>
        <w:jc w:val="both"/>
        <w:rPr>
          <w:noProof/>
          <w:lang w:eastAsia="de-DE"/>
        </w:rPr>
      </w:pPr>
    </w:p>
    <w:p>
      <w:pPr>
        <w:pStyle w:val="IntenseQuote"/>
        <w:rPr>
          <w:noProof/>
          <w:lang w:eastAsia="de-DE"/>
        </w:rPr>
      </w:pPr>
    </w:p>
    <w:p>
      <w:pPr>
        <w:rPr>
          <w:noProof/>
          <w:sz w:val="20"/>
          <w:szCs w:val="20"/>
        </w:rPr>
        <w:sectPr>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pPr>
    </w:p>
    <w:p>
      <w:pPr>
        <w:pStyle w:val="Title"/>
        <w:rPr>
          <w:noProof/>
        </w:rPr>
      </w:pPr>
      <w:bookmarkStart w:id="9" w:name="_Toc527023259"/>
      <w:bookmarkStart w:id="10" w:name="_Toc527446445"/>
      <w:bookmarkStart w:id="11" w:name="_Toc527447502"/>
      <w:r>
        <w:rPr>
          <w:noProof/>
        </w:rPr>
        <w:t>Country fact sheet: Belgium</w:t>
      </w:r>
      <w:bookmarkEnd w:id="9"/>
      <w:bookmarkEnd w:id="10"/>
      <w:bookmarkEnd w:id="11"/>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593950" cy="2871939"/>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3112" cy="2881777"/>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6"/>
      </w:r>
      <w:r>
        <w:rPr>
          <w:noProof/>
          <w:sz w:val="22"/>
          <w:szCs w:val="22"/>
        </w:rPr>
        <w:t xml:space="preserve"> 1990-2017 (index 1990 = 100 %). Right hand side: Total greenhouse gas emissions by sector</w:t>
      </w:r>
      <w:r>
        <w:rPr>
          <w:noProof/>
          <w:sz w:val="22"/>
          <w:szCs w:val="22"/>
          <w:vertAlign w:val="superscript"/>
        </w:rPr>
        <w:footnoteReference w:id="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8"/>
      </w:r>
    </w:p>
    <w:p>
      <w:pPr>
        <w:pStyle w:val="Heading1"/>
        <w:rPr>
          <w:noProof/>
          <w:lang w:val="fr-BE"/>
        </w:rPr>
      </w:pPr>
      <w:r>
        <w:rPr>
          <w:noProof/>
          <w:lang w:val="fr-BE"/>
        </w:rPr>
        <w:t>4. ETS emissions</w:t>
      </w:r>
    </w:p>
    <w:p>
      <w:pPr>
        <w:rPr>
          <w:noProof/>
          <w:lang w:val="fr-BE"/>
        </w:rPr>
      </w:pPr>
    </w:p>
    <w:p>
      <w:pPr>
        <w:pStyle w:val="Caption"/>
        <w:keepNext/>
        <w:rPr>
          <w:noProof/>
          <w:lang w:val="fr-BE"/>
        </w:rPr>
      </w:pPr>
      <w:r>
        <w:rPr>
          <w:noProof/>
          <w:lang w:eastAsia="en-GB"/>
        </w:rPr>
        <w:drawing>
          <wp:inline distT="0" distB="0" distL="0" distR="0">
            <wp:extent cx="5471769" cy="264498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075" cy="2644167"/>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9"/>
      </w:r>
    </w:p>
    <w:p>
      <w:pPr>
        <w:pStyle w:val="Heading1"/>
        <w:rPr>
          <w:noProof/>
        </w:rPr>
      </w:pPr>
      <w:r>
        <w:rPr>
          <w:noProof/>
        </w:rPr>
        <w:t>3. Emissions in Effort Sharing sectors</w:t>
      </w:r>
    </w:p>
    <w:p>
      <w:pPr>
        <w:pStyle w:val="Caption"/>
        <w:keepNext/>
        <w:rPr>
          <w:noProof/>
          <w:lang w:eastAsia="en-GB"/>
        </w:rPr>
      </w:pPr>
    </w:p>
    <w:p>
      <w:pPr>
        <w:rPr>
          <w:noProof/>
          <w:lang w:eastAsia="en-GB"/>
        </w:rPr>
      </w:pPr>
      <w:r>
        <w:rPr>
          <w:noProof/>
          <w:lang w:eastAsia="en-GB"/>
        </w:rPr>
        <w:drawing>
          <wp:inline distT="0" distB="0" distL="0" distR="0">
            <wp:extent cx="5803128" cy="2226365"/>
            <wp:effectExtent l="0" t="0" r="762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108" cy="2229043"/>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1355" cy="2048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2048510"/>
                    </a:xfrm>
                    <a:prstGeom prst="rect">
                      <a:avLst/>
                    </a:prstGeom>
                    <a:noFill/>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0"/>
      </w:r>
    </w:p>
    <w:p>
      <w:pPr>
        <w:jc w:val="both"/>
        <w:rPr>
          <w:noProof/>
        </w:rPr>
      </w:pPr>
      <w:r>
        <w:rPr>
          <w:noProof/>
        </w:rPr>
        <w:t xml:space="preserve">Reported quantities </w:t>
      </w:r>
      <w:r>
        <w:rPr>
          <w:noProof/>
          <w:lang w:eastAsia="de-DE"/>
        </w:rPr>
        <w:t>under the Kyoto Protocol for Belgium show net removals of, on average, -1.7 Mt CO</w:t>
      </w:r>
      <w:r>
        <w:rPr>
          <w:noProof/>
          <w:vertAlign w:val="subscript"/>
          <w:lang w:eastAsia="de-DE"/>
        </w:rPr>
        <w:t>2</w:t>
      </w:r>
      <w:r>
        <w:rPr>
          <w:noProof/>
          <w:lang w:eastAsia="de-DE"/>
        </w:rPr>
        <w:t>-eq for the period 2013 to 2016. In this regard Belgium contributes with 0.4% to the annual average sink of -384.4 Mt CO</w:t>
      </w:r>
      <w:r>
        <w:rPr>
          <w:noProof/>
          <w:vertAlign w:val="subscript"/>
          <w:lang w:eastAsia="de-DE"/>
        </w:rPr>
        <w:t>2</w:t>
      </w:r>
      <w:r>
        <w:rPr>
          <w:noProof/>
          <w:lang w:eastAsia="de-DE"/>
        </w:rPr>
        <w:t>-eq of the EU-28. Accounting for the same period depicts net debits of, on average, 0.8 Mt CO</w:t>
      </w:r>
      <w:r>
        <w:rPr>
          <w:noProof/>
          <w:vertAlign w:val="subscript"/>
          <w:lang w:eastAsia="de-DE"/>
        </w:rPr>
        <w:t>2</w:t>
      </w:r>
      <w:r>
        <w:rPr>
          <w:noProof/>
          <w:lang w:eastAsia="de-DE"/>
        </w:rPr>
        <w:t>-eq, which corresponds to a negative contribution of -0.7% of the EU-28 accounted sink of -115.7 Mt CO</w:t>
      </w:r>
      <w:r>
        <w:rPr>
          <w:noProof/>
          <w:vertAlign w:val="subscript"/>
          <w:lang w:eastAsia="de-DE"/>
        </w:rPr>
        <w:t>2</w:t>
      </w:r>
      <w:r>
        <w:rPr>
          <w:noProof/>
          <w:lang w:eastAsia="de-DE"/>
        </w:rPr>
        <w:t xml:space="preserve">-eq. </w:t>
      </w:r>
      <w:r>
        <w:rPr>
          <w:rFonts w:eastAsia="Times New Roman" w:cs="Tahoma"/>
          <w:noProof/>
        </w:rPr>
        <w:t>Belgium is one of six EU Member States which show net debits in this preliminary accounting exercise. R</w:t>
      </w:r>
      <w:r>
        <w:rPr>
          <w:noProof/>
          <w:lang w:eastAsia="de-DE"/>
        </w:rPr>
        <w:t>eported net removals show no notable trend, while accounted net debits depict slight decreases.</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pPr>
    </w:p>
    <w:p>
      <w:pPr>
        <w:pStyle w:val="Title"/>
        <w:rPr>
          <w:noProof/>
        </w:rPr>
      </w:pPr>
      <w:bookmarkStart w:id="12" w:name="_Toc527023260"/>
      <w:bookmarkStart w:id="13" w:name="_Toc527446446"/>
      <w:bookmarkStart w:id="14" w:name="_Toc527447503"/>
      <w:r>
        <w:rPr>
          <w:noProof/>
        </w:rPr>
        <w:t>Country fact sheet: Bulgaria</w:t>
      </w:r>
      <w:bookmarkEnd w:id="12"/>
      <w:bookmarkEnd w:id="13"/>
      <w:bookmarkEnd w:id="14"/>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635603" cy="2893325"/>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4853" cy="2898074"/>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1"/>
      </w:r>
      <w:r>
        <w:rPr>
          <w:noProof/>
          <w:sz w:val="22"/>
          <w:szCs w:val="22"/>
        </w:rPr>
        <w:t xml:space="preserve"> 1990-2017 (index 1990 = 100 %). Right hand side: Total greenhouse gas emissions by sector</w:t>
      </w:r>
      <w:r>
        <w:rPr>
          <w:noProof/>
          <w:sz w:val="22"/>
          <w:szCs w:val="22"/>
          <w:vertAlign w:val="superscript"/>
        </w:rPr>
        <w:footnoteReference w:id="1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683910" cy="275274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2150" cy="2751894"/>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4"/>
      </w:r>
      <w:r>
        <w:rPr>
          <w:noProof/>
          <w:sz w:val="22"/>
          <w:szCs w:val="22"/>
        </w:rPr>
        <w:t xml:space="preserve"> </w:t>
      </w:r>
    </w:p>
    <w:p>
      <w:pPr>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11547" cy="2228886"/>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4981" cy="2230226"/>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376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b="76318"/>
                    <a:stretch/>
                  </pic:blipFill>
                  <pic:spPr bwMode="auto">
                    <a:xfrm>
                      <a:off x="0" y="0"/>
                      <a:ext cx="5760000" cy="203760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5"/>
      </w:r>
    </w:p>
    <w:p>
      <w:pPr>
        <w:jc w:val="both"/>
        <w:rPr>
          <w:noProof/>
          <w:lang w:eastAsia="de-DE"/>
        </w:rPr>
      </w:pPr>
      <w:r>
        <w:rPr>
          <w:noProof/>
        </w:rPr>
        <w:t xml:space="preserve">Reported quantities </w:t>
      </w:r>
      <w:r>
        <w:rPr>
          <w:noProof/>
          <w:lang w:eastAsia="de-DE"/>
        </w:rPr>
        <w:t>under the Kyoto Protocol for Bulgaria show net removals of, on average, -7.1 Mt CO</w:t>
      </w:r>
      <w:r>
        <w:rPr>
          <w:noProof/>
          <w:vertAlign w:val="subscript"/>
          <w:lang w:eastAsia="de-DE"/>
        </w:rPr>
        <w:t>2</w:t>
      </w:r>
      <w:r>
        <w:rPr>
          <w:noProof/>
          <w:lang w:eastAsia="de-DE"/>
        </w:rPr>
        <w:t>-eq for the period 2013 to 2016. In this regard Bulgaria contributes with 1.9% to the annual average sink of -384.4 Mt CO</w:t>
      </w:r>
      <w:r>
        <w:rPr>
          <w:noProof/>
          <w:vertAlign w:val="subscript"/>
          <w:lang w:eastAsia="de-DE"/>
        </w:rPr>
        <w:t>2</w:t>
      </w:r>
      <w:r>
        <w:rPr>
          <w:noProof/>
          <w:lang w:eastAsia="de-DE"/>
        </w:rPr>
        <w:t>-eq of the EU-28. Accounting for the same period depicts net debits of, on average, 0.8 Mt CO</w:t>
      </w:r>
      <w:r>
        <w:rPr>
          <w:noProof/>
          <w:vertAlign w:val="subscript"/>
          <w:lang w:eastAsia="de-DE"/>
        </w:rPr>
        <w:t>2</w:t>
      </w:r>
      <w:r>
        <w:rPr>
          <w:noProof/>
          <w:lang w:eastAsia="de-DE"/>
        </w:rPr>
        <w:t>-eq, which corresponds to a negative contribution of -0.7% of the EU-28 accounted sink of -115.7 Mt CO</w:t>
      </w:r>
      <w:r>
        <w:rPr>
          <w:noProof/>
          <w:vertAlign w:val="subscript"/>
          <w:lang w:eastAsia="de-DE"/>
        </w:rPr>
        <w:t>2</w:t>
      </w:r>
      <w:r>
        <w:rPr>
          <w:noProof/>
          <w:lang w:eastAsia="de-DE"/>
        </w:rPr>
        <w:t xml:space="preserve">-eq. </w:t>
      </w:r>
      <w:r>
        <w:rPr>
          <w:rFonts w:eastAsia="Times New Roman" w:cs="Tahoma"/>
          <w:noProof/>
        </w:rPr>
        <w:t>Bulgaria is one of six EU Member States which show net debits in this preliminary accounting exercise. R</w:t>
      </w:r>
      <w:r>
        <w:rPr>
          <w:noProof/>
          <w:lang w:eastAsia="de-DE"/>
        </w:rPr>
        <w:t>eported net removals show minor variations with no trend, while accounted net debits depict the same variation with slight decreasing tendencies.</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60"/>
        </w:sectPr>
      </w:pPr>
    </w:p>
    <w:p>
      <w:pPr>
        <w:pStyle w:val="Title"/>
        <w:rPr>
          <w:noProof/>
        </w:rPr>
      </w:pPr>
      <w:bookmarkStart w:id="15" w:name="_Toc527023261"/>
      <w:bookmarkStart w:id="16" w:name="_Toc527446447"/>
      <w:bookmarkStart w:id="17" w:name="_Toc527447504"/>
      <w:r>
        <w:rPr>
          <w:noProof/>
        </w:rPr>
        <w:t>Country fact sheet: Croatia</w:t>
      </w:r>
      <w:bookmarkEnd w:id="15"/>
      <w:bookmarkEnd w:id="16"/>
      <w:bookmarkEnd w:id="17"/>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554639" cy="2851758"/>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4737" cy="2851808"/>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6"/>
      </w:r>
      <w:r>
        <w:rPr>
          <w:noProof/>
          <w:sz w:val="22"/>
          <w:szCs w:val="22"/>
        </w:rPr>
        <w:t xml:space="preserve"> 1990-2017 (index 1990 = 100 %). Right hand side: Total greenhouse gas emissions by sector</w:t>
      </w:r>
      <w:r>
        <w:rPr>
          <w:noProof/>
          <w:sz w:val="22"/>
          <w:szCs w:val="22"/>
          <w:vertAlign w:val="superscript"/>
        </w:rPr>
        <w:footnoteReference w:id="1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Caption"/>
        <w:keepNext/>
        <w:rPr>
          <w:noProof/>
          <w:sz w:val="22"/>
          <w:szCs w:val="22"/>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2</w:t>
      </w:r>
      <w:r>
        <w:rPr>
          <w:noProof/>
          <w:sz w:val="22"/>
          <w:szCs w:val="22"/>
        </w:rPr>
        <w:fldChar w:fldCharType="end"/>
      </w:r>
      <w:r>
        <w:rPr>
          <w:noProof/>
          <w:sz w:val="22"/>
          <w:szCs w:val="22"/>
        </w:rPr>
        <w:t>: Share of emissions covered by the ETS and the ESD (2016).</w:t>
      </w:r>
      <w:r>
        <w:rPr>
          <w:noProof/>
          <w:sz w:val="22"/>
          <w:szCs w:val="22"/>
          <w:vertAlign w:val="superscript"/>
        </w:rPr>
        <w:footnoteReference w:id="18"/>
      </w:r>
    </w:p>
    <w:p>
      <w:pPr>
        <w:rPr>
          <w:b/>
          <w:bCs/>
          <w:noProof/>
          <w:color w:val="4F81BD" w:themeColor="accent1"/>
        </w:rPr>
      </w:pPr>
      <w:r>
        <w:rPr>
          <w:noProof/>
        </w:rPr>
        <w:br w:type="page"/>
      </w:r>
    </w:p>
    <w:p>
      <w:pPr>
        <w:pStyle w:val="Heading1"/>
        <w:rPr>
          <w:noProof/>
          <w:lang w:val="fr-BE"/>
        </w:rPr>
      </w:pPr>
      <w:r>
        <w:rPr>
          <w:noProof/>
          <w:lang w:val="fr-BE"/>
        </w:rPr>
        <w:t>2. ETS emissions</w:t>
      </w:r>
    </w:p>
    <w:p>
      <w:pPr>
        <w:pStyle w:val="Caption"/>
        <w:keepNext/>
        <w:rPr>
          <w:noProof/>
        </w:rPr>
      </w:pPr>
      <w:r>
        <w:rPr>
          <w:noProof/>
          <w:lang w:eastAsia="en-GB"/>
        </w:rPr>
        <w:drawing>
          <wp:inline distT="0" distB="0" distL="0" distR="0">
            <wp:extent cx="5739722" cy="2779776"/>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7945" cy="2778915"/>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9"/>
      </w:r>
      <w:r>
        <w:rPr>
          <w:noProof/>
          <w:sz w:val="22"/>
          <w:szCs w:val="22"/>
          <w:vertAlign w:val="superscript"/>
        </w:rPr>
        <w:t xml:space="preserve"> </w:t>
      </w:r>
    </w:p>
    <w:p>
      <w:pPr>
        <w:keepNext/>
        <w:rPr>
          <w:noProof/>
        </w:rPr>
      </w:pPr>
    </w:p>
    <w:p>
      <w:pPr>
        <w:pStyle w:val="Heading1"/>
        <w:rPr>
          <w:noProof/>
        </w:rPr>
      </w:pPr>
      <w:r>
        <w:rPr>
          <w:noProof/>
        </w:rPr>
        <w:t>3. Emissions in Effort Sharing sectors</w:t>
      </w:r>
    </w:p>
    <w:p>
      <w:pPr>
        <w:rPr>
          <w:noProof/>
        </w:rPr>
      </w:pPr>
      <w:r>
        <w:rPr>
          <w:noProof/>
          <w:lang w:eastAsia="en-GB"/>
        </w:rPr>
        <w:drawing>
          <wp:inline distT="0" distB="0" distL="0" distR="0">
            <wp:extent cx="5716988" cy="22310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9546" cy="2232008"/>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387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76319"/>
                    <a:stretch/>
                  </pic:blipFill>
                  <pic:spPr bwMode="auto">
                    <a:xfrm>
                      <a:off x="0" y="0"/>
                      <a:ext cx="5760000" cy="2038773"/>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0"/>
      </w:r>
    </w:p>
    <w:p>
      <w:pPr>
        <w:jc w:val="both"/>
        <w:rPr>
          <w:noProof/>
          <w:lang w:eastAsia="de-DE"/>
        </w:rPr>
      </w:pPr>
      <w:r>
        <w:rPr>
          <w:noProof/>
        </w:rPr>
        <w:t xml:space="preserve">Reported quantities </w:t>
      </w:r>
      <w:r>
        <w:rPr>
          <w:noProof/>
          <w:lang w:eastAsia="de-DE"/>
        </w:rPr>
        <w:t>under the Kyoto Protocol for Croatia show net removals of, on average, -6.7 Mt CO</w:t>
      </w:r>
      <w:r>
        <w:rPr>
          <w:noProof/>
          <w:vertAlign w:val="subscript"/>
          <w:lang w:eastAsia="de-DE"/>
        </w:rPr>
        <w:t>2</w:t>
      </w:r>
      <w:r>
        <w:rPr>
          <w:noProof/>
          <w:lang w:eastAsia="de-DE"/>
        </w:rPr>
        <w:t>-eq for the period 2013 to 2016. In this regard Croatia contributes with 1.7% to the annual average sink of -384.4 Mt CO</w:t>
      </w:r>
      <w:r>
        <w:rPr>
          <w:noProof/>
          <w:vertAlign w:val="subscript"/>
          <w:lang w:eastAsia="de-DE"/>
        </w:rPr>
        <w:t>2</w:t>
      </w:r>
      <w:r>
        <w:rPr>
          <w:noProof/>
          <w:lang w:eastAsia="de-DE"/>
        </w:rPr>
        <w:t>-eq of the EU-28. Accounting for the same period depicts net credits of, on average, -1.1 Mt CO</w:t>
      </w:r>
      <w:r>
        <w:rPr>
          <w:noProof/>
          <w:vertAlign w:val="subscript"/>
          <w:lang w:eastAsia="de-DE"/>
        </w:rPr>
        <w:t>2</w:t>
      </w:r>
      <w:r>
        <w:rPr>
          <w:noProof/>
          <w:lang w:eastAsia="de-DE"/>
        </w:rPr>
        <w:t>-eq, which corresponds to 1.0% of the EU-28 accounted sink of -115.7 Mt CO</w:t>
      </w:r>
      <w:r>
        <w:rPr>
          <w:noProof/>
          <w:vertAlign w:val="subscript"/>
          <w:lang w:eastAsia="de-DE"/>
        </w:rPr>
        <w:t>2</w:t>
      </w:r>
      <w:r>
        <w:rPr>
          <w:noProof/>
          <w:lang w:eastAsia="de-DE"/>
        </w:rPr>
        <w:t xml:space="preserve">-eq. Reported net removals show a decrease between 2014 and 2015, while accounted net credits reveal an increase for 2016. </w:t>
      </w:r>
      <w:r>
        <w:rPr>
          <w:noProof/>
        </w:rPr>
        <w:t xml:space="preserve">In this </w:t>
      </w:r>
      <w:r>
        <w:rPr>
          <w:rFonts w:eastAsia="Times New Roman" w:cs="Tahoma"/>
          <w:noProof/>
          <w:color w:val="000000"/>
        </w:rPr>
        <w:t>preliminary simulated accounting exercise</w:t>
      </w:r>
      <w:r>
        <w:rPr>
          <w:noProof/>
        </w:rPr>
        <w:t xml:space="preserve"> potential credits by Forest Management of, on average, -1.3 </w:t>
      </w:r>
      <w:r>
        <w:rPr>
          <w:rFonts w:eastAsia="Times New Roman" w:cs="Tahoma"/>
          <w:noProof/>
          <w:color w:val="000000"/>
        </w:rPr>
        <w:t>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-1.1 Mt CO</w:t>
      </w:r>
      <w:r>
        <w:rPr>
          <w:noProof/>
          <w:vertAlign w:val="subscript"/>
          <w:lang w:eastAsia="de-DE"/>
        </w:rPr>
        <w:t>2</w:t>
      </w:r>
      <w:r>
        <w:rPr>
          <w:rFonts w:eastAsia="Times New Roman" w:cs="Tahoma"/>
          <w:noProof/>
          <w:color w:val="000000"/>
        </w:rPr>
        <w:t>-eq per year. Croatia is one of eight EU Member States which exceed the cap of 3.5% from emissions of the base year (1990).</w:t>
      </w:r>
    </w:p>
    <w:p>
      <w:pPr>
        <w:pStyle w:val="IntenseQuote"/>
        <w:rPr>
          <w:noProof/>
          <w:lang w:eastAsia="de-DE"/>
        </w:rPr>
      </w:pPr>
    </w:p>
    <w:p>
      <w:pPr>
        <w:rPr>
          <w:noProof/>
          <w:sz w:val="20"/>
          <w:szCs w:val="20"/>
        </w:rPr>
        <w:sectPr>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08"/>
          <w:docGrid w:linePitch="360"/>
        </w:sectPr>
      </w:pPr>
    </w:p>
    <w:p>
      <w:pPr>
        <w:pStyle w:val="Title"/>
        <w:rPr>
          <w:noProof/>
        </w:rPr>
      </w:pPr>
      <w:bookmarkStart w:id="18" w:name="_Toc527023262"/>
      <w:bookmarkStart w:id="19" w:name="_Toc527446448"/>
      <w:bookmarkStart w:id="20" w:name="_Toc527447505"/>
      <w:r>
        <w:rPr>
          <w:noProof/>
        </w:rPr>
        <w:t>Country fact sheet: Cyprus</w:t>
      </w:r>
      <w:bookmarkEnd w:id="18"/>
      <w:bookmarkEnd w:id="19"/>
      <w:bookmarkEnd w:id="20"/>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61356" cy="29578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7216" cy="2960895"/>
                    </a:xfrm>
                    <a:prstGeom prst="rect">
                      <a:avLst/>
                    </a:prstGeom>
                    <a:noFill/>
                  </pic:spPr>
                </pic:pic>
              </a:graphicData>
            </a:graphic>
          </wp:inline>
        </w:drawing>
      </w:r>
    </w:p>
    <w:p>
      <w:pPr>
        <w:rPr>
          <w:b/>
          <w:bCs/>
          <w:noProof/>
          <w:color w:val="4F81BD" w:themeColor="accent1"/>
        </w:rPr>
      </w:pPr>
      <w:r>
        <w:rPr>
          <w:b/>
          <w:bCs/>
          <w:noProof/>
          <w:color w:val="4F81BD" w:themeColor="accent1"/>
        </w:rPr>
        <w:t>Figure 1: Left hand side: Total greenhouse gas emissions</w:t>
      </w:r>
      <w:r>
        <w:rPr>
          <w:b/>
          <w:bCs/>
          <w:noProof/>
          <w:color w:val="4F81BD" w:themeColor="accent1"/>
          <w:vertAlign w:val="superscript"/>
        </w:rPr>
        <w:footnoteReference w:id="21"/>
      </w:r>
      <w:r>
        <w:rPr>
          <w:b/>
          <w:bCs/>
          <w:noProof/>
          <w:color w:val="4F81BD" w:themeColor="accent1"/>
        </w:rPr>
        <w:t xml:space="preserve"> 1990-2017 (index 1990 = 100 %). Right hand side: Total greenhouse gas emissions by sector</w:t>
      </w:r>
      <w:r>
        <w:rPr>
          <w:b/>
          <w:bCs/>
          <w:noProof/>
          <w:color w:val="4F81BD" w:themeColor="accent1"/>
          <w:vertAlign w:val="superscript"/>
        </w:rPr>
        <w:footnoteReference w:id="22"/>
      </w:r>
      <w:r>
        <w:rPr>
          <w:b/>
          <w:bCs/>
          <w:noProof/>
          <w:color w:val="4F81BD" w:themeColor="accent1"/>
        </w:rPr>
        <w:t xml:space="preserve"> – historical emissions 1990-2016, projections 2017-2030 (Mt CO</w:t>
      </w:r>
      <w:r>
        <w:rPr>
          <w:b/>
          <w:bCs/>
          <w:noProof/>
          <w:color w:val="4F81BD" w:themeColor="accent1"/>
          <w:vertAlign w:val="subscript"/>
        </w:rPr>
        <w:t>2</w:t>
      </w:r>
      <w:r>
        <w:rPr>
          <w:b/>
          <w:bCs/>
          <w:noProof/>
          <w:color w:val="4F81BD" w:themeColor="accent1"/>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3"/>
      </w:r>
    </w:p>
    <w:p>
      <w:pPr>
        <w:pStyle w:val="Heading1"/>
        <w:rPr>
          <w:noProof/>
          <w:lang w:val="fr-BE"/>
        </w:rPr>
      </w:pPr>
      <w:r>
        <w:rPr>
          <w:noProof/>
          <w:lang w:val="fr-BE"/>
        </w:rPr>
        <w:t>2. ETS emissions</w:t>
      </w:r>
    </w:p>
    <w:p>
      <w:pPr>
        <w:rPr>
          <w:noProof/>
          <w:lang w:val="fr-BE"/>
        </w:rPr>
      </w:pPr>
      <w:r>
        <w:rPr>
          <w:noProof/>
          <w:lang w:eastAsia="en-GB"/>
        </w:rPr>
        <w:drawing>
          <wp:inline distT="0" distB="0" distL="0" distR="0">
            <wp:extent cx="5674949" cy="27432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2033" cy="2741791"/>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4"/>
      </w:r>
      <w:r>
        <w:rPr>
          <w:noProof/>
          <w:sz w:val="22"/>
          <w:szCs w:val="22"/>
        </w:rPr>
        <w:t xml:space="preserve"> </w:t>
      </w:r>
    </w:p>
    <w:p>
      <w:pPr>
        <w:keepNext/>
        <w:rPr>
          <w:noProof/>
        </w:rPr>
      </w:pPr>
    </w:p>
    <w:p>
      <w:pPr>
        <w:pStyle w:val="Heading1"/>
        <w:rPr>
          <w:noProof/>
        </w:rPr>
      </w:pPr>
      <w:r>
        <w:rPr>
          <w:noProof/>
        </w:rPr>
        <w:t>3. Emissions in Effort Sharing sectors</w:t>
      </w:r>
    </w:p>
    <w:p>
      <w:pPr>
        <w:rPr>
          <w:noProof/>
        </w:rPr>
      </w:pPr>
      <w:r>
        <w:rPr>
          <w:noProof/>
          <w:lang w:eastAsia="en-GB"/>
        </w:rPr>
        <w:drawing>
          <wp:inline distT="0" distB="0" distL="0" distR="0">
            <wp:extent cx="5669280" cy="2162782"/>
            <wp:effectExtent l="0" t="0" r="76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1243" cy="2163531"/>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b/>
          <w:bCs/>
          <w:noProof/>
          <w:color w:val="365F91" w:themeColor="accent1" w:themeShade="BF"/>
          <w:sz w:val="28"/>
          <w:szCs w:val="28"/>
        </w:rPr>
      </w:pP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p>
    <w:p>
      <w:pPr>
        <w:rPr>
          <w:noProof/>
        </w:rPr>
      </w:pPr>
      <w:r>
        <w:rPr>
          <w:noProof/>
          <w:lang w:eastAsia="en-GB"/>
        </w:rPr>
        <w:drawing>
          <wp:inline distT="0" distB="0" distL="0" distR="0">
            <wp:extent cx="5760000" cy="204840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a:extLst>
                        <a:ext uri="{28A0092B-C50C-407E-A947-70E740481C1C}">
                          <a14:useLocalDpi xmlns:a14="http://schemas.microsoft.com/office/drawing/2010/main" val="0"/>
                        </a:ext>
                      </a:extLst>
                    </a:blip>
                    <a:srcRect t="-1" b="76216"/>
                    <a:stretch/>
                  </pic:blipFill>
                  <pic:spPr bwMode="auto">
                    <a:xfrm>
                      <a:off x="0" y="0"/>
                      <a:ext cx="5760000" cy="204840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5"/>
      </w:r>
    </w:p>
    <w:p>
      <w:pPr>
        <w:jc w:val="both"/>
        <w:rPr>
          <w:noProof/>
          <w:lang w:eastAsia="de-DE"/>
        </w:rPr>
      </w:pPr>
      <w:r>
        <w:rPr>
          <w:noProof/>
        </w:rPr>
        <w:t xml:space="preserve">Reported quantities </w:t>
      </w:r>
      <w:r>
        <w:rPr>
          <w:noProof/>
          <w:lang w:eastAsia="de-DE"/>
        </w:rPr>
        <w:t>under the Kyoto Protocol for Cyprus show net removals of, on average, -0.13 Mt CO</w:t>
      </w:r>
      <w:r>
        <w:rPr>
          <w:noProof/>
          <w:vertAlign w:val="subscript"/>
          <w:lang w:eastAsia="de-DE"/>
        </w:rPr>
        <w:t>2</w:t>
      </w:r>
      <w:r>
        <w:rPr>
          <w:noProof/>
          <w:lang w:eastAsia="de-DE"/>
        </w:rPr>
        <w:t>-eq for the period 2013 to 2016. In this regard Cyprus contributes with 0.03% to the annual average sink of -384.4 Mt CO</w:t>
      </w:r>
      <w:r>
        <w:rPr>
          <w:noProof/>
          <w:vertAlign w:val="subscript"/>
          <w:lang w:eastAsia="de-DE"/>
        </w:rPr>
        <w:t>2</w:t>
      </w:r>
      <w:r>
        <w:rPr>
          <w:noProof/>
          <w:lang w:eastAsia="de-DE"/>
        </w:rPr>
        <w:t>-eq of the EU-28. Accounting for the same period depicts net debits of, on average, 0.03 Mt CO</w:t>
      </w:r>
      <w:r>
        <w:rPr>
          <w:noProof/>
          <w:vertAlign w:val="subscript"/>
          <w:lang w:eastAsia="de-DE"/>
        </w:rPr>
        <w:t>2</w:t>
      </w:r>
      <w:r>
        <w:rPr>
          <w:noProof/>
          <w:lang w:eastAsia="de-DE"/>
        </w:rPr>
        <w:t>-eq, which corresponds to a negative contribution of -0.02% of the EU-28 accounted sink of -115.7 Mt CO</w:t>
      </w:r>
      <w:r>
        <w:rPr>
          <w:noProof/>
          <w:vertAlign w:val="subscript"/>
          <w:lang w:eastAsia="de-DE"/>
        </w:rPr>
        <w:t>2</w:t>
      </w:r>
      <w:r>
        <w:rPr>
          <w:noProof/>
          <w:lang w:eastAsia="de-DE"/>
        </w:rPr>
        <w:t xml:space="preserve">-eq. Cyprus </w:t>
      </w:r>
      <w:r>
        <w:rPr>
          <w:rFonts w:eastAsia="Times New Roman" w:cs="Tahoma"/>
          <w:noProof/>
        </w:rPr>
        <w:t>is one of six EU Member States which show net debits in this preliminary accounting exercise. Reported net removals were highly similar for 2013 to 2015 but decrease markedly for 2016. This pattern is replicated for accounted quantities with a net zero or very small net credits from 2013 to 2015 and net debits for 2016.</w:t>
      </w:r>
    </w:p>
    <w:p>
      <w:pPr>
        <w:jc w:val="both"/>
        <w:rPr>
          <w:noProof/>
          <w:lang w:eastAsia="de-DE"/>
        </w:rPr>
      </w:pPr>
    </w:p>
    <w:p>
      <w:pPr>
        <w:pStyle w:val="IntenseQuote"/>
        <w:ind w:left="0"/>
        <w:rPr>
          <w:i w:val="0"/>
          <w:noProof/>
          <w:sz w:val="56"/>
        </w:rPr>
      </w:pPr>
    </w:p>
    <w:sectPr>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60354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7274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014552"/>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18</w:t>
        </w:r>
        <w:r>
          <w:rPr>
            <w:noProof/>
          </w:rPr>
          <w:fldChar w:fldCharType="end"/>
        </w:r>
      </w:p>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14617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8057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National total, including international aviation. </w:t>
      </w:r>
    </w:p>
  </w:footnote>
  <w:footnote w:id="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6">
    <w:p>
      <w:pPr>
        <w:pStyle w:val="FootnoteText"/>
      </w:pPr>
      <w:r>
        <w:rPr>
          <w:vertAlign w:val="superscript"/>
        </w:rPr>
        <w:footnoteRef/>
      </w:r>
      <w:r>
        <w:t xml:space="preserve"> National total, including international aviation. </w:t>
      </w:r>
    </w:p>
  </w:footnote>
  <w:footnote w:id="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1">
    <w:p>
      <w:pPr>
        <w:pStyle w:val="FootnoteText"/>
      </w:pPr>
      <w:r>
        <w:rPr>
          <w:vertAlign w:val="superscript"/>
        </w:rPr>
        <w:footnoteRef/>
      </w:r>
      <w:r>
        <w:t xml:space="preserve"> National total, including international aviation. </w:t>
      </w:r>
    </w:p>
  </w:footnote>
  <w:footnote w:id="1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4">
    <w:p>
      <w:pPr>
        <w:pStyle w:val="FootnoteText"/>
      </w:pPr>
      <w:r>
        <w:rPr>
          <w:vertAlign w:val="superscript"/>
        </w:rPr>
        <w:footnoteRef/>
      </w:r>
      <w:r>
        <w:t xml:space="preserve"> The scope of ETS was extended from 2013. To reflect the current scope of ETS, estimates made by EEA are included in the figures from 2007 to 2012.  The estimates cover only emissions from stationary installations.  Bulgaria joined the EU ETS in 2007. </w:t>
      </w:r>
    </w:p>
  </w:footnote>
  <w:footnote w:id="1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6">
    <w:p>
      <w:pPr>
        <w:pStyle w:val="FootnoteText"/>
      </w:pPr>
      <w:r>
        <w:rPr>
          <w:vertAlign w:val="superscript"/>
        </w:rPr>
        <w:footnoteRef/>
      </w:r>
      <w:r>
        <w:t xml:space="preserve"> National total, including international aviation. </w:t>
      </w:r>
    </w:p>
  </w:footnote>
  <w:footnote w:id="1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9">
    <w:p>
      <w:pPr>
        <w:pStyle w:val="FootnoteText"/>
      </w:pPr>
      <w:r>
        <w:rPr>
          <w:vertAlign w:val="superscript"/>
        </w:rPr>
        <w:footnoteRef/>
      </w:r>
      <w:r>
        <w:rPr>
          <w:vertAlign w:val="superscript"/>
        </w:rPr>
        <w:t xml:space="preserve"> </w:t>
      </w:r>
      <w:r>
        <w:t xml:space="preserve">Croatia joined the ETS in 2013. </w:t>
      </w:r>
    </w:p>
  </w:footnote>
  <w:footnote w:id="2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1">
    <w:p>
      <w:pPr>
        <w:pStyle w:val="FootnoteText"/>
      </w:pPr>
      <w:r>
        <w:rPr>
          <w:vertAlign w:val="superscript"/>
        </w:rPr>
        <w:footnoteRef/>
      </w:r>
      <w:r>
        <w:t xml:space="preserve"> National total, including international aviation. </w:t>
      </w:r>
    </w:p>
  </w:footnote>
  <w:footnote w:id="2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Bulgaria</w:t>
    </w:r>
  </w:p>
  <w:p>
    <w:pPr>
      <w:pStyle w:val="Header"/>
      <w:jc w:val="cente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Croatia</w:t>
    </w:r>
  </w:p>
  <w:p>
    <w:pPr>
      <w:pStyle w:val="Header"/>
      <w:jc w:val="center"/>
    </w:pP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Cyprus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Belgium</w:t>
    </w:r>
  </w:p>
  <w:p>
    <w:pPr>
      <w:pStyle w:val="Header"/>
      <w:jc w:val="cente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C47BA"/>
    <w:multiLevelType w:val="hybridMultilevel"/>
    <w:tmpl w:val="E38E5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0356FD"/>
    <w:multiLevelType w:val="hybridMultilevel"/>
    <w:tmpl w:val="03C290FA"/>
    <w:lvl w:ilvl="0" w:tplc="69B6E9E0">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EA96EAB-85F7-4FE2-BC82-6388AF1C1A58"/>
    <w:docVar w:name="LW_COVERPAGE_TYPE" w:val="1"/>
    <w:docVar w:name="LW_CROSSREFERENCE" w:val="{COM(2018) 716 final}"/>
    <w:docVar w:name="LW_DocType" w:val="NORMAL"/>
    <w:docVar w:name="LW_EMISSION" w:val="26.10.2018"/>
    <w:docVar w:name="LW_EMISSION_ISODATE" w:val="2018-10-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 and the Paris Climate Agreement: Taking stock of progress at Katowice COP"/>
    <w:docVar w:name="LW_PART_NBR" w:val="1"/>
    <w:docVar w:name="LW_PART_NBR_TOTAL" w:val="6"/>
    <w:docVar w:name="LW_REF.INST.NEW" w:val="SWD"/>
    <w:docVar w:name="LW_REF.INST.NEW_ADOPTED" w:val="final"/>
    <w:docVar w:name="LW_REF.INST.NEW_TEXT" w:val="(2018) 4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echnical information "/>
    <w:docVar w:name="LW_TYPE.DOC.CP" w:val="COMMISSION STAFF WORKING DOCUMENT"/>
    <w:docVar w:name="LW_TYPEACTEPRINCIPAL.CP" w:val="Report from the European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character" w:styleId="Strong">
    <w:name w:val="Strong"/>
    <w:uiPriority w:val="22"/>
    <w:qFormat/>
    <w:rPr>
      <w:rFonts w:cs="Times New Roman"/>
      <w:b/>
      <w:bCs/>
      <w:shd w:val="clear" w:color="auto" w:fill="auto"/>
    </w:rPr>
  </w:style>
  <w:style w:type="paragraph" w:customStyle="1" w:styleId="Tableheading">
    <w:name w:val="Table heading"/>
    <w:basedOn w:val="Caption"/>
    <w:link w:val="TableheadingChar"/>
    <w:qFormat/>
    <w:pPr>
      <w:keepNext/>
    </w:pPr>
    <w:rPr>
      <w:color w:val="auto"/>
      <w:sz w:val="22"/>
      <w:szCs w:val="22"/>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ableheadingChar">
    <w:name w:val="Table heading Char"/>
    <w:basedOn w:val="DefaultParagraphFont"/>
    <w:link w:val="Tableheading"/>
    <w:rPr>
      <w:b/>
      <w:bC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tabs>
        <w:tab w:val="right" w:leader="dot" w:pos="9062"/>
      </w:tabs>
      <w:spacing w:after="100"/>
    </w:pPr>
    <w:rPr>
      <w:b/>
      <w:noProof/>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styleId="IntenseEmphasis">
    <w:name w:val="Intense Emphasis"/>
    <w:basedOn w:val="DefaultParagraphFont"/>
    <w:uiPriority w:val="21"/>
    <w:qFormat/>
    <w:rPr>
      <w:b/>
      <w:bCs/>
      <w:i/>
      <w:iCs/>
      <w:color w:val="4F81BD" w:themeColor="accent1"/>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color w:val="365F91" w:themeColor="accent1" w:themeShade="BF"/>
      <w:sz w:val="24"/>
      <w:szCs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color w:val="365F91" w:themeColor="accent1" w:themeShade="BF"/>
      <w:sz w:val="32"/>
      <w:szCs w:val="28"/>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color w:val="365F91" w:themeColor="accent1" w:themeShade="BF"/>
      <w:sz w:val="24"/>
      <w:szCs w:val="28"/>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color w:val="365F91" w:themeColor="accent1" w:themeShade="BF"/>
      <w:sz w:val="32"/>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u w:val="single"/>
    </w:rPr>
  </w:style>
  <w:style w:type="paragraph" w:customStyle="1" w:styleId="xl6694">
    <w:name w:val="xl6694"/>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5">
    <w:name w:val="xl6695"/>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6">
    <w:name w:val="xl669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7">
    <w:name w:val="xl669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8">
    <w:name w:val="xl669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9">
    <w:name w:val="xl6699"/>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0">
    <w:name w:val="xl6700"/>
    <w:basedOn w:val="Normal"/>
    <w:pPr>
      <w:pBdr>
        <w:top w:val="single" w:sz="4" w:space="0" w:color="95B3D7"/>
        <w:left w:val="single" w:sz="4" w:space="7" w:color="95B3D7"/>
        <w:bottom w:val="single" w:sz="4" w:space="0" w:color="95B3D7"/>
        <w:right w:val="single" w:sz="4" w:space="0" w:color="95B3D7"/>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1">
    <w:name w:val="xl6701"/>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2">
    <w:name w:val="xl6702"/>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3">
    <w:name w:val="xl6703"/>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4">
    <w:name w:val="xl6704"/>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5">
    <w:name w:val="xl6705"/>
    <w:basedOn w:val="Normal"/>
    <w:pPr>
      <w:pBdr>
        <w:top w:val="single" w:sz="4" w:space="0" w:color="95B3D7"/>
        <w:left w:val="single" w:sz="4" w:space="0" w:color="95B3D7"/>
        <w:bottom w:val="single" w:sz="4" w:space="0" w:color="95B3D7"/>
        <w:right w:val="single" w:sz="4" w:space="7" w:color="95B3D7"/>
      </w:pBdr>
      <w:shd w:val="clear" w:color="DCE6F1" w:fill="DCE6F1"/>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6">
    <w:name w:val="xl670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7">
    <w:name w:val="xl670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8">
    <w:name w:val="xl6708"/>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9">
    <w:name w:val="xl6709"/>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6710">
    <w:name w:val="xl6710"/>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1">
    <w:name w:val="xl6711"/>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2">
    <w:name w:val="xl6712"/>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3">
    <w:name w:val="xl6713"/>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4">
    <w:name w:val="xl6714"/>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15">
    <w:name w:val="xl6715"/>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6">
    <w:name w:val="xl6716"/>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7">
    <w:name w:val="xl6717"/>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718">
    <w:name w:val="xl671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styleId="TOC2">
    <w:name w:val="toc 2"/>
    <w:basedOn w:val="Normal"/>
    <w:next w:val="Normal"/>
    <w:autoRedefine/>
    <w:uiPriority w:val="39"/>
    <w:unhideWhenUsed/>
    <w:pPr>
      <w:spacing w:after="100"/>
      <w:ind w:left="220"/>
    </w:pPr>
    <w:rPr>
      <w:rFonts w:eastAsiaTheme="minorEastAsia"/>
      <w:lang w:eastAsia="en-GB"/>
    </w:rPr>
  </w:style>
  <w:style w:type="paragraph" w:styleId="TOC3">
    <w:name w:val="toc 3"/>
    <w:basedOn w:val="Normal"/>
    <w:next w:val="Normal"/>
    <w:autoRedefine/>
    <w:uiPriority w:val="39"/>
    <w:unhideWhenUsed/>
    <w:pPr>
      <w:spacing w:after="100"/>
      <w:ind w:left="440"/>
    </w:pPr>
    <w:rPr>
      <w:rFonts w:eastAsiaTheme="minorEastAsia"/>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styleId="FootnoteReference">
    <w:name w:val="footnote reference"/>
    <w:basedOn w:val="DefaultParagraphFont"/>
    <w:uiPriority w:val="99"/>
    <w:semiHidden/>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character" w:styleId="Strong">
    <w:name w:val="Strong"/>
    <w:uiPriority w:val="22"/>
    <w:qFormat/>
    <w:rPr>
      <w:rFonts w:cs="Times New Roman"/>
      <w:b/>
      <w:bCs/>
      <w:shd w:val="clear" w:color="auto" w:fill="auto"/>
    </w:rPr>
  </w:style>
  <w:style w:type="paragraph" w:customStyle="1" w:styleId="Tableheading">
    <w:name w:val="Table heading"/>
    <w:basedOn w:val="Caption"/>
    <w:link w:val="TableheadingChar"/>
    <w:qFormat/>
    <w:pPr>
      <w:keepNext/>
    </w:pPr>
    <w:rPr>
      <w:color w:val="auto"/>
      <w:sz w:val="22"/>
      <w:szCs w:val="22"/>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ableheadingChar">
    <w:name w:val="Table heading Char"/>
    <w:basedOn w:val="DefaultParagraphFont"/>
    <w:link w:val="Tableheading"/>
    <w:rPr>
      <w:b/>
      <w:bC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tabs>
        <w:tab w:val="right" w:leader="dot" w:pos="9062"/>
      </w:tabs>
      <w:spacing w:after="100"/>
    </w:pPr>
    <w:rPr>
      <w:b/>
      <w:noProof/>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styleId="IntenseEmphasis">
    <w:name w:val="Intense Emphasis"/>
    <w:basedOn w:val="DefaultParagraphFont"/>
    <w:uiPriority w:val="21"/>
    <w:qFormat/>
    <w:rPr>
      <w:b/>
      <w:bCs/>
      <w:i/>
      <w:iCs/>
      <w:color w:val="4F81BD" w:themeColor="accent1"/>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color w:val="365F91" w:themeColor="accent1" w:themeShade="BF"/>
      <w:sz w:val="24"/>
      <w:szCs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color w:val="365F91" w:themeColor="accent1" w:themeShade="BF"/>
      <w:sz w:val="32"/>
      <w:szCs w:val="28"/>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color w:val="365F91" w:themeColor="accent1" w:themeShade="BF"/>
      <w:sz w:val="24"/>
      <w:szCs w:val="28"/>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color w:val="365F91" w:themeColor="accent1" w:themeShade="BF"/>
      <w:sz w:val="32"/>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u w:val="single"/>
    </w:rPr>
  </w:style>
  <w:style w:type="paragraph" w:customStyle="1" w:styleId="xl6694">
    <w:name w:val="xl6694"/>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5">
    <w:name w:val="xl6695"/>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6">
    <w:name w:val="xl669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7">
    <w:name w:val="xl669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8">
    <w:name w:val="xl669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9">
    <w:name w:val="xl6699"/>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0">
    <w:name w:val="xl6700"/>
    <w:basedOn w:val="Normal"/>
    <w:pPr>
      <w:pBdr>
        <w:top w:val="single" w:sz="4" w:space="0" w:color="95B3D7"/>
        <w:left w:val="single" w:sz="4" w:space="7" w:color="95B3D7"/>
        <w:bottom w:val="single" w:sz="4" w:space="0" w:color="95B3D7"/>
        <w:right w:val="single" w:sz="4" w:space="0" w:color="95B3D7"/>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1">
    <w:name w:val="xl6701"/>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2">
    <w:name w:val="xl6702"/>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3">
    <w:name w:val="xl6703"/>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4">
    <w:name w:val="xl6704"/>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5">
    <w:name w:val="xl6705"/>
    <w:basedOn w:val="Normal"/>
    <w:pPr>
      <w:pBdr>
        <w:top w:val="single" w:sz="4" w:space="0" w:color="95B3D7"/>
        <w:left w:val="single" w:sz="4" w:space="0" w:color="95B3D7"/>
        <w:bottom w:val="single" w:sz="4" w:space="0" w:color="95B3D7"/>
        <w:right w:val="single" w:sz="4" w:space="7" w:color="95B3D7"/>
      </w:pBdr>
      <w:shd w:val="clear" w:color="DCE6F1" w:fill="DCE6F1"/>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6">
    <w:name w:val="xl670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7">
    <w:name w:val="xl670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8">
    <w:name w:val="xl6708"/>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9">
    <w:name w:val="xl6709"/>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6710">
    <w:name w:val="xl6710"/>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1">
    <w:name w:val="xl6711"/>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2">
    <w:name w:val="xl6712"/>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3">
    <w:name w:val="xl6713"/>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4">
    <w:name w:val="xl6714"/>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15">
    <w:name w:val="xl6715"/>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6">
    <w:name w:val="xl6716"/>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7">
    <w:name w:val="xl6717"/>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718">
    <w:name w:val="xl671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styleId="TOC2">
    <w:name w:val="toc 2"/>
    <w:basedOn w:val="Normal"/>
    <w:next w:val="Normal"/>
    <w:autoRedefine/>
    <w:uiPriority w:val="39"/>
    <w:unhideWhenUsed/>
    <w:pPr>
      <w:spacing w:after="100"/>
      <w:ind w:left="220"/>
    </w:pPr>
    <w:rPr>
      <w:rFonts w:eastAsiaTheme="minorEastAsia"/>
      <w:lang w:eastAsia="en-GB"/>
    </w:rPr>
  </w:style>
  <w:style w:type="paragraph" w:styleId="TOC3">
    <w:name w:val="toc 3"/>
    <w:basedOn w:val="Normal"/>
    <w:next w:val="Normal"/>
    <w:autoRedefine/>
    <w:uiPriority w:val="39"/>
    <w:unhideWhenUsed/>
    <w:pPr>
      <w:spacing w:after="100"/>
      <w:ind w:left="440"/>
    </w:pPr>
    <w:rPr>
      <w:rFonts w:eastAsiaTheme="minorEastAsia"/>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1323">
      <w:bodyDiv w:val="1"/>
      <w:marLeft w:val="0"/>
      <w:marRight w:val="0"/>
      <w:marTop w:val="0"/>
      <w:marBottom w:val="0"/>
      <w:divBdr>
        <w:top w:val="none" w:sz="0" w:space="0" w:color="auto"/>
        <w:left w:val="none" w:sz="0" w:space="0" w:color="auto"/>
        <w:bottom w:val="none" w:sz="0" w:space="0" w:color="auto"/>
        <w:right w:val="none" w:sz="0" w:space="0" w:color="auto"/>
      </w:divBdr>
    </w:div>
    <w:div w:id="134879073">
      <w:bodyDiv w:val="1"/>
      <w:marLeft w:val="0"/>
      <w:marRight w:val="0"/>
      <w:marTop w:val="0"/>
      <w:marBottom w:val="0"/>
      <w:divBdr>
        <w:top w:val="none" w:sz="0" w:space="0" w:color="auto"/>
        <w:left w:val="none" w:sz="0" w:space="0" w:color="auto"/>
        <w:bottom w:val="none" w:sz="0" w:space="0" w:color="auto"/>
        <w:right w:val="none" w:sz="0" w:space="0" w:color="auto"/>
      </w:divBdr>
    </w:div>
    <w:div w:id="249236819">
      <w:bodyDiv w:val="1"/>
      <w:marLeft w:val="0"/>
      <w:marRight w:val="0"/>
      <w:marTop w:val="0"/>
      <w:marBottom w:val="0"/>
      <w:divBdr>
        <w:top w:val="none" w:sz="0" w:space="0" w:color="auto"/>
        <w:left w:val="none" w:sz="0" w:space="0" w:color="auto"/>
        <w:bottom w:val="none" w:sz="0" w:space="0" w:color="auto"/>
        <w:right w:val="none" w:sz="0" w:space="0" w:color="auto"/>
      </w:divBdr>
    </w:div>
    <w:div w:id="264313272">
      <w:bodyDiv w:val="1"/>
      <w:marLeft w:val="0"/>
      <w:marRight w:val="0"/>
      <w:marTop w:val="0"/>
      <w:marBottom w:val="0"/>
      <w:divBdr>
        <w:top w:val="none" w:sz="0" w:space="0" w:color="auto"/>
        <w:left w:val="none" w:sz="0" w:space="0" w:color="auto"/>
        <w:bottom w:val="none" w:sz="0" w:space="0" w:color="auto"/>
        <w:right w:val="none" w:sz="0" w:space="0" w:color="auto"/>
      </w:divBdr>
    </w:div>
    <w:div w:id="292105510">
      <w:bodyDiv w:val="1"/>
      <w:marLeft w:val="0"/>
      <w:marRight w:val="0"/>
      <w:marTop w:val="0"/>
      <w:marBottom w:val="0"/>
      <w:divBdr>
        <w:top w:val="none" w:sz="0" w:space="0" w:color="auto"/>
        <w:left w:val="none" w:sz="0" w:space="0" w:color="auto"/>
        <w:bottom w:val="none" w:sz="0" w:space="0" w:color="auto"/>
        <w:right w:val="none" w:sz="0" w:space="0" w:color="auto"/>
      </w:divBdr>
    </w:div>
    <w:div w:id="306012932">
      <w:bodyDiv w:val="1"/>
      <w:marLeft w:val="0"/>
      <w:marRight w:val="0"/>
      <w:marTop w:val="0"/>
      <w:marBottom w:val="0"/>
      <w:divBdr>
        <w:top w:val="none" w:sz="0" w:space="0" w:color="auto"/>
        <w:left w:val="none" w:sz="0" w:space="0" w:color="auto"/>
        <w:bottom w:val="none" w:sz="0" w:space="0" w:color="auto"/>
        <w:right w:val="none" w:sz="0" w:space="0" w:color="auto"/>
      </w:divBdr>
    </w:div>
    <w:div w:id="323045313">
      <w:bodyDiv w:val="1"/>
      <w:marLeft w:val="0"/>
      <w:marRight w:val="0"/>
      <w:marTop w:val="0"/>
      <w:marBottom w:val="0"/>
      <w:divBdr>
        <w:top w:val="none" w:sz="0" w:space="0" w:color="auto"/>
        <w:left w:val="none" w:sz="0" w:space="0" w:color="auto"/>
        <w:bottom w:val="none" w:sz="0" w:space="0" w:color="auto"/>
        <w:right w:val="none" w:sz="0" w:space="0" w:color="auto"/>
      </w:divBdr>
    </w:div>
    <w:div w:id="325212704">
      <w:bodyDiv w:val="1"/>
      <w:marLeft w:val="0"/>
      <w:marRight w:val="0"/>
      <w:marTop w:val="0"/>
      <w:marBottom w:val="0"/>
      <w:divBdr>
        <w:top w:val="none" w:sz="0" w:space="0" w:color="auto"/>
        <w:left w:val="none" w:sz="0" w:space="0" w:color="auto"/>
        <w:bottom w:val="none" w:sz="0" w:space="0" w:color="auto"/>
        <w:right w:val="none" w:sz="0" w:space="0" w:color="auto"/>
      </w:divBdr>
    </w:div>
    <w:div w:id="346175698">
      <w:bodyDiv w:val="1"/>
      <w:marLeft w:val="0"/>
      <w:marRight w:val="0"/>
      <w:marTop w:val="0"/>
      <w:marBottom w:val="0"/>
      <w:divBdr>
        <w:top w:val="none" w:sz="0" w:space="0" w:color="auto"/>
        <w:left w:val="none" w:sz="0" w:space="0" w:color="auto"/>
        <w:bottom w:val="none" w:sz="0" w:space="0" w:color="auto"/>
        <w:right w:val="none" w:sz="0" w:space="0" w:color="auto"/>
      </w:divBdr>
    </w:div>
    <w:div w:id="454519226">
      <w:bodyDiv w:val="1"/>
      <w:marLeft w:val="0"/>
      <w:marRight w:val="0"/>
      <w:marTop w:val="0"/>
      <w:marBottom w:val="0"/>
      <w:divBdr>
        <w:top w:val="none" w:sz="0" w:space="0" w:color="auto"/>
        <w:left w:val="none" w:sz="0" w:space="0" w:color="auto"/>
        <w:bottom w:val="none" w:sz="0" w:space="0" w:color="auto"/>
        <w:right w:val="none" w:sz="0" w:space="0" w:color="auto"/>
      </w:divBdr>
    </w:div>
    <w:div w:id="500237674">
      <w:bodyDiv w:val="1"/>
      <w:marLeft w:val="0"/>
      <w:marRight w:val="0"/>
      <w:marTop w:val="0"/>
      <w:marBottom w:val="0"/>
      <w:divBdr>
        <w:top w:val="none" w:sz="0" w:space="0" w:color="auto"/>
        <w:left w:val="none" w:sz="0" w:space="0" w:color="auto"/>
        <w:bottom w:val="none" w:sz="0" w:space="0" w:color="auto"/>
        <w:right w:val="none" w:sz="0" w:space="0" w:color="auto"/>
      </w:divBdr>
    </w:div>
    <w:div w:id="520626311">
      <w:bodyDiv w:val="1"/>
      <w:marLeft w:val="0"/>
      <w:marRight w:val="0"/>
      <w:marTop w:val="0"/>
      <w:marBottom w:val="0"/>
      <w:divBdr>
        <w:top w:val="none" w:sz="0" w:space="0" w:color="auto"/>
        <w:left w:val="none" w:sz="0" w:space="0" w:color="auto"/>
        <w:bottom w:val="none" w:sz="0" w:space="0" w:color="auto"/>
        <w:right w:val="none" w:sz="0" w:space="0" w:color="auto"/>
      </w:divBdr>
    </w:div>
    <w:div w:id="556208236">
      <w:bodyDiv w:val="1"/>
      <w:marLeft w:val="0"/>
      <w:marRight w:val="0"/>
      <w:marTop w:val="0"/>
      <w:marBottom w:val="0"/>
      <w:divBdr>
        <w:top w:val="none" w:sz="0" w:space="0" w:color="auto"/>
        <w:left w:val="none" w:sz="0" w:space="0" w:color="auto"/>
        <w:bottom w:val="none" w:sz="0" w:space="0" w:color="auto"/>
        <w:right w:val="none" w:sz="0" w:space="0" w:color="auto"/>
      </w:divBdr>
    </w:div>
    <w:div w:id="607271832">
      <w:bodyDiv w:val="1"/>
      <w:marLeft w:val="0"/>
      <w:marRight w:val="0"/>
      <w:marTop w:val="0"/>
      <w:marBottom w:val="0"/>
      <w:divBdr>
        <w:top w:val="none" w:sz="0" w:space="0" w:color="auto"/>
        <w:left w:val="none" w:sz="0" w:space="0" w:color="auto"/>
        <w:bottom w:val="none" w:sz="0" w:space="0" w:color="auto"/>
        <w:right w:val="none" w:sz="0" w:space="0" w:color="auto"/>
      </w:divBdr>
    </w:div>
    <w:div w:id="938097851">
      <w:bodyDiv w:val="1"/>
      <w:marLeft w:val="0"/>
      <w:marRight w:val="0"/>
      <w:marTop w:val="0"/>
      <w:marBottom w:val="0"/>
      <w:divBdr>
        <w:top w:val="none" w:sz="0" w:space="0" w:color="auto"/>
        <w:left w:val="none" w:sz="0" w:space="0" w:color="auto"/>
        <w:bottom w:val="none" w:sz="0" w:space="0" w:color="auto"/>
        <w:right w:val="none" w:sz="0" w:space="0" w:color="auto"/>
      </w:divBdr>
    </w:div>
    <w:div w:id="949778213">
      <w:bodyDiv w:val="1"/>
      <w:marLeft w:val="0"/>
      <w:marRight w:val="0"/>
      <w:marTop w:val="0"/>
      <w:marBottom w:val="0"/>
      <w:divBdr>
        <w:top w:val="none" w:sz="0" w:space="0" w:color="auto"/>
        <w:left w:val="none" w:sz="0" w:space="0" w:color="auto"/>
        <w:bottom w:val="none" w:sz="0" w:space="0" w:color="auto"/>
        <w:right w:val="none" w:sz="0" w:space="0" w:color="auto"/>
      </w:divBdr>
    </w:div>
    <w:div w:id="1097359763">
      <w:bodyDiv w:val="1"/>
      <w:marLeft w:val="0"/>
      <w:marRight w:val="0"/>
      <w:marTop w:val="0"/>
      <w:marBottom w:val="0"/>
      <w:divBdr>
        <w:top w:val="none" w:sz="0" w:space="0" w:color="auto"/>
        <w:left w:val="none" w:sz="0" w:space="0" w:color="auto"/>
        <w:bottom w:val="none" w:sz="0" w:space="0" w:color="auto"/>
        <w:right w:val="none" w:sz="0" w:space="0" w:color="auto"/>
      </w:divBdr>
    </w:div>
    <w:div w:id="1106391978">
      <w:bodyDiv w:val="1"/>
      <w:marLeft w:val="0"/>
      <w:marRight w:val="0"/>
      <w:marTop w:val="0"/>
      <w:marBottom w:val="0"/>
      <w:divBdr>
        <w:top w:val="none" w:sz="0" w:space="0" w:color="auto"/>
        <w:left w:val="none" w:sz="0" w:space="0" w:color="auto"/>
        <w:bottom w:val="none" w:sz="0" w:space="0" w:color="auto"/>
        <w:right w:val="none" w:sz="0" w:space="0" w:color="auto"/>
      </w:divBdr>
    </w:div>
    <w:div w:id="1226916561">
      <w:bodyDiv w:val="1"/>
      <w:marLeft w:val="0"/>
      <w:marRight w:val="0"/>
      <w:marTop w:val="0"/>
      <w:marBottom w:val="0"/>
      <w:divBdr>
        <w:top w:val="none" w:sz="0" w:space="0" w:color="auto"/>
        <w:left w:val="none" w:sz="0" w:space="0" w:color="auto"/>
        <w:bottom w:val="none" w:sz="0" w:space="0" w:color="auto"/>
        <w:right w:val="none" w:sz="0" w:space="0" w:color="auto"/>
      </w:divBdr>
    </w:div>
    <w:div w:id="1255362131">
      <w:bodyDiv w:val="1"/>
      <w:marLeft w:val="0"/>
      <w:marRight w:val="0"/>
      <w:marTop w:val="0"/>
      <w:marBottom w:val="0"/>
      <w:divBdr>
        <w:top w:val="none" w:sz="0" w:space="0" w:color="auto"/>
        <w:left w:val="none" w:sz="0" w:space="0" w:color="auto"/>
        <w:bottom w:val="none" w:sz="0" w:space="0" w:color="auto"/>
        <w:right w:val="none" w:sz="0" w:space="0" w:color="auto"/>
      </w:divBdr>
    </w:div>
    <w:div w:id="1381367984">
      <w:bodyDiv w:val="1"/>
      <w:marLeft w:val="0"/>
      <w:marRight w:val="0"/>
      <w:marTop w:val="0"/>
      <w:marBottom w:val="0"/>
      <w:divBdr>
        <w:top w:val="none" w:sz="0" w:space="0" w:color="auto"/>
        <w:left w:val="none" w:sz="0" w:space="0" w:color="auto"/>
        <w:bottom w:val="none" w:sz="0" w:space="0" w:color="auto"/>
        <w:right w:val="none" w:sz="0" w:space="0" w:color="auto"/>
      </w:divBdr>
    </w:div>
    <w:div w:id="1399085613">
      <w:bodyDiv w:val="1"/>
      <w:marLeft w:val="0"/>
      <w:marRight w:val="0"/>
      <w:marTop w:val="0"/>
      <w:marBottom w:val="0"/>
      <w:divBdr>
        <w:top w:val="none" w:sz="0" w:space="0" w:color="auto"/>
        <w:left w:val="none" w:sz="0" w:space="0" w:color="auto"/>
        <w:bottom w:val="none" w:sz="0" w:space="0" w:color="auto"/>
        <w:right w:val="none" w:sz="0" w:space="0" w:color="auto"/>
      </w:divBdr>
    </w:div>
    <w:div w:id="1473861087">
      <w:bodyDiv w:val="1"/>
      <w:marLeft w:val="0"/>
      <w:marRight w:val="0"/>
      <w:marTop w:val="0"/>
      <w:marBottom w:val="0"/>
      <w:divBdr>
        <w:top w:val="none" w:sz="0" w:space="0" w:color="auto"/>
        <w:left w:val="none" w:sz="0" w:space="0" w:color="auto"/>
        <w:bottom w:val="none" w:sz="0" w:space="0" w:color="auto"/>
        <w:right w:val="none" w:sz="0" w:space="0" w:color="auto"/>
      </w:divBdr>
    </w:div>
    <w:div w:id="1478185183">
      <w:bodyDiv w:val="1"/>
      <w:marLeft w:val="0"/>
      <w:marRight w:val="0"/>
      <w:marTop w:val="0"/>
      <w:marBottom w:val="0"/>
      <w:divBdr>
        <w:top w:val="none" w:sz="0" w:space="0" w:color="auto"/>
        <w:left w:val="none" w:sz="0" w:space="0" w:color="auto"/>
        <w:bottom w:val="none" w:sz="0" w:space="0" w:color="auto"/>
        <w:right w:val="none" w:sz="0" w:space="0" w:color="auto"/>
      </w:divBdr>
    </w:div>
    <w:div w:id="1485660846">
      <w:bodyDiv w:val="1"/>
      <w:marLeft w:val="0"/>
      <w:marRight w:val="0"/>
      <w:marTop w:val="0"/>
      <w:marBottom w:val="0"/>
      <w:divBdr>
        <w:top w:val="none" w:sz="0" w:space="0" w:color="auto"/>
        <w:left w:val="none" w:sz="0" w:space="0" w:color="auto"/>
        <w:bottom w:val="none" w:sz="0" w:space="0" w:color="auto"/>
        <w:right w:val="none" w:sz="0" w:space="0" w:color="auto"/>
      </w:divBdr>
    </w:div>
    <w:div w:id="1545799565">
      <w:bodyDiv w:val="1"/>
      <w:marLeft w:val="0"/>
      <w:marRight w:val="0"/>
      <w:marTop w:val="0"/>
      <w:marBottom w:val="0"/>
      <w:divBdr>
        <w:top w:val="none" w:sz="0" w:space="0" w:color="auto"/>
        <w:left w:val="none" w:sz="0" w:space="0" w:color="auto"/>
        <w:bottom w:val="none" w:sz="0" w:space="0" w:color="auto"/>
        <w:right w:val="none" w:sz="0" w:space="0" w:color="auto"/>
      </w:divBdr>
    </w:div>
    <w:div w:id="1786730730">
      <w:bodyDiv w:val="1"/>
      <w:marLeft w:val="0"/>
      <w:marRight w:val="0"/>
      <w:marTop w:val="0"/>
      <w:marBottom w:val="0"/>
      <w:divBdr>
        <w:top w:val="none" w:sz="0" w:space="0" w:color="auto"/>
        <w:left w:val="none" w:sz="0" w:space="0" w:color="auto"/>
        <w:bottom w:val="none" w:sz="0" w:space="0" w:color="auto"/>
        <w:right w:val="none" w:sz="0" w:space="0" w:color="auto"/>
      </w:divBdr>
    </w:div>
    <w:div w:id="1816214879">
      <w:bodyDiv w:val="1"/>
      <w:marLeft w:val="0"/>
      <w:marRight w:val="0"/>
      <w:marTop w:val="0"/>
      <w:marBottom w:val="0"/>
      <w:divBdr>
        <w:top w:val="none" w:sz="0" w:space="0" w:color="auto"/>
        <w:left w:val="none" w:sz="0" w:space="0" w:color="auto"/>
        <w:bottom w:val="none" w:sz="0" w:space="0" w:color="auto"/>
        <w:right w:val="none" w:sz="0" w:space="0" w:color="auto"/>
      </w:divBdr>
    </w:div>
    <w:div w:id="1921406553">
      <w:bodyDiv w:val="1"/>
      <w:marLeft w:val="0"/>
      <w:marRight w:val="0"/>
      <w:marTop w:val="0"/>
      <w:marBottom w:val="0"/>
      <w:divBdr>
        <w:top w:val="none" w:sz="0" w:space="0" w:color="auto"/>
        <w:left w:val="none" w:sz="0" w:space="0" w:color="auto"/>
        <w:bottom w:val="none" w:sz="0" w:space="0" w:color="auto"/>
        <w:right w:val="none" w:sz="0" w:space="0" w:color="auto"/>
      </w:divBdr>
    </w:div>
    <w:div w:id="1958490876">
      <w:bodyDiv w:val="1"/>
      <w:marLeft w:val="0"/>
      <w:marRight w:val="0"/>
      <w:marTop w:val="0"/>
      <w:marBottom w:val="0"/>
      <w:divBdr>
        <w:top w:val="none" w:sz="0" w:space="0" w:color="auto"/>
        <w:left w:val="none" w:sz="0" w:space="0" w:color="auto"/>
        <w:bottom w:val="none" w:sz="0" w:space="0" w:color="auto"/>
        <w:right w:val="none" w:sz="0" w:space="0" w:color="auto"/>
      </w:divBdr>
    </w:div>
    <w:div w:id="1992447043">
      <w:bodyDiv w:val="1"/>
      <w:marLeft w:val="0"/>
      <w:marRight w:val="0"/>
      <w:marTop w:val="0"/>
      <w:marBottom w:val="0"/>
      <w:divBdr>
        <w:top w:val="none" w:sz="0" w:space="0" w:color="auto"/>
        <w:left w:val="none" w:sz="0" w:space="0" w:color="auto"/>
        <w:bottom w:val="none" w:sz="0" w:space="0" w:color="auto"/>
        <w:right w:val="none" w:sz="0" w:space="0" w:color="auto"/>
      </w:divBdr>
    </w:div>
    <w:div w:id="2020889276">
      <w:bodyDiv w:val="1"/>
      <w:marLeft w:val="0"/>
      <w:marRight w:val="0"/>
      <w:marTop w:val="0"/>
      <w:marBottom w:val="0"/>
      <w:divBdr>
        <w:top w:val="none" w:sz="0" w:space="0" w:color="auto"/>
        <w:left w:val="none" w:sz="0" w:space="0" w:color="auto"/>
        <w:bottom w:val="none" w:sz="0" w:space="0" w:color="auto"/>
        <w:right w:val="none" w:sz="0" w:space="0" w:color="auto"/>
      </w:divBdr>
    </w:div>
    <w:div w:id="2024088952">
      <w:bodyDiv w:val="1"/>
      <w:marLeft w:val="0"/>
      <w:marRight w:val="0"/>
      <w:marTop w:val="0"/>
      <w:marBottom w:val="0"/>
      <w:divBdr>
        <w:top w:val="none" w:sz="0" w:space="0" w:color="auto"/>
        <w:left w:val="none" w:sz="0" w:space="0" w:color="auto"/>
        <w:bottom w:val="none" w:sz="0" w:space="0" w:color="auto"/>
        <w:right w:val="none" w:sz="0" w:space="0" w:color="auto"/>
      </w:divBdr>
    </w:div>
    <w:div w:id="2078358984">
      <w:bodyDiv w:val="1"/>
      <w:marLeft w:val="0"/>
      <w:marRight w:val="0"/>
      <w:marTop w:val="0"/>
      <w:marBottom w:val="0"/>
      <w:divBdr>
        <w:top w:val="none" w:sz="0" w:space="0" w:color="auto"/>
        <w:left w:val="none" w:sz="0" w:space="0" w:color="auto"/>
        <w:bottom w:val="none" w:sz="0" w:space="0" w:color="auto"/>
        <w:right w:val="none" w:sz="0" w:space="0" w:color="auto"/>
      </w:divBdr>
    </w:div>
    <w:div w:id="2108577241">
      <w:bodyDiv w:val="1"/>
      <w:marLeft w:val="0"/>
      <w:marRight w:val="0"/>
      <w:marTop w:val="0"/>
      <w:marBottom w:val="0"/>
      <w:divBdr>
        <w:top w:val="none" w:sz="0" w:space="0" w:color="auto"/>
        <w:left w:val="none" w:sz="0" w:space="0" w:color="auto"/>
        <w:bottom w:val="none" w:sz="0" w:space="0" w:color="auto"/>
        <w:right w:val="none" w:sz="0" w:space="0" w:color="auto"/>
      </w:divBdr>
    </w:div>
    <w:div w:id="2123915321">
      <w:bodyDiv w:val="1"/>
      <w:marLeft w:val="0"/>
      <w:marRight w:val="0"/>
      <w:marTop w:val="0"/>
      <w:marBottom w:val="0"/>
      <w:divBdr>
        <w:top w:val="none" w:sz="0" w:space="0" w:color="auto"/>
        <w:left w:val="none" w:sz="0" w:space="0" w:color="auto"/>
        <w:bottom w:val="none" w:sz="0" w:space="0" w:color="auto"/>
        <w:right w:val="none" w:sz="0" w:space="0" w:color="auto"/>
      </w:divBdr>
    </w:div>
    <w:div w:id="214134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6.xml"/><Relationship Id="rId39" Type="http://schemas.openxmlformats.org/officeDocument/2006/relationships/chart" Target="charts/chart3.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image" Target="media/image13.png"/><Relationship Id="rId47" Type="http://schemas.openxmlformats.org/officeDocument/2006/relationships/header" Target="header12.xml"/><Relationship Id="rId50" Type="http://schemas.openxmlformats.org/officeDocument/2006/relationships/chart" Target="charts/chart4.xml"/><Relationship Id="rId55" Type="http://schemas.openxmlformats.org/officeDocument/2006/relationships/header" Target="header14.xml"/><Relationship Id="rId63" Type="http://schemas.openxmlformats.org/officeDocument/2006/relationships/image" Target="media/image20.png"/><Relationship Id="rId68"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1.png"/><Relationship Id="rId45" Type="http://schemas.openxmlformats.org/officeDocument/2006/relationships/footer" Target="footer10.xml"/><Relationship Id="rId53" Type="http://schemas.openxmlformats.org/officeDocument/2006/relationships/image" Target="media/image17.png"/><Relationship Id="rId58" Type="http://schemas.openxmlformats.org/officeDocument/2006/relationships/header" Target="header15.xml"/><Relationship Id="rId66"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chart" Target="charts/chart2.xml"/><Relationship Id="rId36" Type="http://schemas.openxmlformats.org/officeDocument/2006/relationships/header" Target="header9.xml"/><Relationship Id="rId49" Type="http://schemas.openxmlformats.org/officeDocument/2006/relationships/image" Target="media/image14.png"/><Relationship Id="rId57" Type="http://schemas.openxmlformats.org/officeDocument/2006/relationships/footer" Target="footer14.xml"/><Relationship Id="rId61"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eader" Target="header11.xml"/><Relationship Id="rId52" Type="http://schemas.openxmlformats.org/officeDocument/2006/relationships/image" Target="media/image16.png"/><Relationship Id="rId60" Type="http://schemas.openxmlformats.org/officeDocument/2006/relationships/image" Target="media/image18.png"/><Relationship Id="rId65"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footer" Target="footer13.xml"/><Relationship Id="rId64" Type="http://schemas.openxmlformats.org/officeDocument/2006/relationships/image" Target="media/image21.png"/><Relationship Id="rId69"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10.png"/><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footer" Target="footer16.xm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eader" Target="header13.xml"/><Relationship Id="rId62" Type="http://schemas.openxmlformats.org/officeDocument/2006/relationships/image" Target="media/image19.png"/><Relationship Id="rId70" Type="http://schemas.openxmlformats.org/officeDocument/2006/relationships/footer" Target="footer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49D9-49AD-BE65-2B25C652C415}"/>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Austria</c:v>
                </c:pt>
                <c:pt idx="1">
                  <c:v>EU 28</c:v>
                </c:pt>
              </c:strCache>
            </c:strRef>
          </c:cat>
          <c:val>
            <c:numRef>
              <c:f>'ETS ESD share by MS'!$B$9:$B$10</c:f>
              <c:numCache>
                <c:formatCode>0%</c:formatCode>
                <c:ptCount val="2"/>
                <c:pt idx="0">
                  <c:v>0.63576390756288914</c:v>
                </c:pt>
                <c:pt idx="1">
                  <c:v>0.5971521941557083</c:v>
                </c:pt>
              </c:numCache>
            </c:numRef>
          </c:val>
          <c:extLst xmlns:c16r2="http://schemas.microsoft.com/office/drawing/2015/06/chart">
            <c:ext xmlns:c16="http://schemas.microsoft.com/office/drawing/2014/chart" uri="{C3380CC4-5D6E-409C-BE32-E72D297353CC}">
              <c16:uniqueId val="{00000002-49D9-49AD-BE65-2B25C652C415}"/>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49D9-49AD-BE65-2B25C652C415}"/>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Austria</c:v>
                </c:pt>
                <c:pt idx="1">
                  <c:v>EU 28</c:v>
                </c:pt>
              </c:strCache>
            </c:strRef>
          </c:cat>
          <c:val>
            <c:numRef>
              <c:f>'ETS ESD share by MS'!$C$9:$C$10</c:f>
              <c:numCache>
                <c:formatCode>0%</c:formatCode>
                <c:ptCount val="2"/>
                <c:pt idx="0">
                  <c:v>0.36423609243711097</c:v>
                </c:pt>
                <c:pt idx="1">
                  <c:v>0.40284780584429175</c:v>
                </c:pt>
              </c:numCache>
            </c:numRef>
          </c:val>
          <c:extLst xmlns:c16r2="http://schemas.microsoft.com/office/drawing/2015/06/chart">
            <c:ext xmlns:c16="http://schemas.microsoft.com/office/drawing/2014/chart" uri="{C3380CC4-5D6E-409C-BE32-E72D297353CC}">
              <c16:uniqueId val="{00000005-49D9-49AD-BE65-2B25C652C415}"/>
            </c:ext>
          </c:extLst>
        </c:ser>
        <c:dLbls>
          <c:dLblPos val="ctr"/>
          <c:showLegendKey val="0"/>
          <c:showVal val="1"/>
          <c:showCatName val="0"/>
          <c:showSerName val="0"/>
          <c:showPercent val="0"/>
          <c:showBubbleSize val="0"/>
        </c:dLbls>
        <c:gapWidth val="98"/>
        <c:overlap val="100"/>
        <c:axId val="64470016"/>
        <c:axId val="64479616"/>
      </c:barChart>
      <c:catAx>
        <c:axId val="64470016"/>
        <c:scaling>
          <c:orientation val="minMax"/>
        </c:scaling>
        <c:delete val="0"/>
        <c:axPos val="b"/>
        <c:numFmt formatCode="General" sourceLinked="0"/>
        <c:majorTickMark val="out"/>
        <c:minorTickMark val="none"/>
        <c:tickLblPos val="nextTo"/>
        <c:crossAx val="64479616"/>
        <c:crosses val="autoZero"/>
        <c:auto val="1"/>
        <c:lblAlgn val="ctr"/>
        <c:lblOffset val="100"/>
        <c:noMultiLvlLbl val="0"/>
      </c:catAx>
      <c:valAx>
        <c:axId val="64479616"/>
        <c:scaling>
          <c:orientation val="minMax"/>
        </c:scaling>
        <c:delete val="0"/>
        <c:axPos val="l"/>
        <c:majorGridlines/>
        <c:numFmt formatCode="0%" sourceLinked="1"/>
        <c:majorTickMark val="out"/>
        <c:minorTickMark val="none"/>
        <c:tickLblPos val="nextTo"/>
        <c:crossAx val="64470016"/>
        <c:crosses val="autoZero"/>
        <c:crossBetween val="between"/>
        <c:majorUnit val="0.2"/>
      </c:valAx>
    </c:plotArea>
    <c:legend>
      <c:legendPos val="r"/>
      <c:layout/>
      <c:overlay val="0"/>
    </c:legend>
    <c:plotVisOnly val="1"/>
    <c:dispBlanksAs val="gap"/>
    <c:showDLblsOverMax val="0"/>
  </c:chart>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B224-455E-A6DA-D438317B1A0F}"/>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Belgium</c:v>
                </c:pt>
                <c:pt idx="1">
                  <c:v>EU 28</c:v>
                </c:pt>
              </c:strCache>
            </c:strRef>
          </c:cat>
          <c:val>
            <c:numRef>
              <c:f>'ETS ESD share by MS'!$B$9:$B$10</c:f>
              <c:numCache>
                <c:formatCode>0%</c:formatCode>
                <c:ptCount val="2"/>
                <c:pt idx="0">
                  <c:v>0.62915269740468216</c:v>
                </c:pt>
                <c:pt idx="1">
                  <c:v>0.5971521941557083</c:v>
                </c:pt>
              </c:numCache>
            </c:numRef>
          </c:val>
          <c:extLst xmlns:c16r2="http://schemas.microsoft.com/office/drawing/2015/06/chart">
            <c:ext xmlns:c16="http://schemas.microsoft.com/office/drawing/2014/chart" uri="{C3380CC4-5D6E-409C-BE32-E72D297353CC}">
              <c16:uniqueId val="{00000002-B224-455E-A6DA-D438317B1A0F}"/>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B224-455E-A6DA-D438317B1A0F}"/>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Belgium</c:v>
                </c:pt>
                <c:pt idx="1">
                  <c:v>EU 28</c:v>
                </c:pt>
              </c:strCache>
            </c:strRef>
          </c:cat>
          <c:val>
            <c:numRef>
              <c:f>'ETS ESD share by MS'!$C$9:$C$10</c:f>
              <c:numCache>
                <c:formatCode>0%</c:formatCode>
                <c:ptCount val="2"/>
                <c:pt idx="0">
                  <c:v>0.37084730259531784</c:v>
                </c:pt>
                <c:pt idx="1">
                  <c:v>0.40284780584429175</c:v>
                </c:pt>
              </c:numCache>
            </c:numRef>
          </c:val>
          <c:extLst xmlns:c16r2="http://schemas.microsoft.com/office/drawing/2015/06/chart">
            <c:ext xmlns:c16="http://schemas.microsoft.com/office/drawing/2014/chart" uri="{C3380CC4-5D6E-409C-BE32-E72D297353CC}">
              <c16:uniqueId val="{00000005-B224-455E-A6DA-D438317B1A0F}"/>
            </c:ext>
          </c:extLst>
        </c:ser>
        <c:dLbls>
          <c:dLblPos val="ctr"/>
          <c:showLegendKey val="0"/>
          <c:showVal val="1"/>
          <c:showCatName val="0"/>
          <c:showSerName val="0"/>
          <c:showPercent val="0"/>
          <c:showBubbleSize val="0"/>
        </c:dLbls>
        <c:gapWidth val="98"/>
        <c:overlap val="100"/>
        <c:axId val="103924480"/>
        <c:axId val="103926016"/>
      </c:barChart>
      <c:catAx>
        <c:axId val="103924480"/>
        <c:scaling>
          <c:orientation val="minMax"/>
        </c:scaling>
        <c:delete val="0"/>
        <c:axPos val="b"/>
        <c:numFmt formatCode="General" sourceLinked="0"/>
        <c:majorTickMark val="out"/>
        <c:minorTickMark val="none"/>
        <c:tickLblPos val="nextTo"/>
        <c:crossAx val="103926016"/>
        <c:crosses val="autoZero"/>
        <c:auto val="1"/>
        <c:lblAlgn val="ctr"/>
        <c:lblOffset val="100"/>
        <c:noMultiLvlLbl val="0"/>
      </c:catAx>
      <c:valAx>
        <c:axId val="103926016"/>
        <c:scaling>
          <c:orientation val="minMax"/>
        </c:scaling>
        <c:delete val="0"/>
        <c:axPos val="l"/>
        <c:majorGridlines/>
        <c:numFmt formatCode="0%" sourceLinked="1"/>
        <c:majorTickMark val="out"/>
        <c:minorTickMark val="none"/>
        <c:tickLblPos val="nextTo"/>
        <c:crossAx val="103924480"/>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0300-47AA-BEC9-431073085EBF}"/>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Bulgaria</c:v>
                </c:pt>
                <c:pt idx="1">
                  <c:v>EU 28</c:v>
                </c:pt>
              </c:strCache>
            </c:strRef>
          </c:cat>
          <c:val>
            <c:numRef>
              <c:f>'ETS ESD share by MS'!$B$9:$B$10</c:f>
              <c:numCache>
                <c:formatCode>0%</c:formatCode>
                <c:ptCount val="2"/>
                <c:pt idx="0">
                  <c:v>0.43370297769372557</c:v>
                </c:pt>
                <c:pt idx="1">
                  <c:v>0.5971521941557083</c:v>
                </c:pt>
              </c:numCache>
            </c:numRef>
          </c:val>
          <c:extLst xmlns:c16r2="http://schemas.microsoft.com/office/drawing/2015/06/chart">
            <c:ext xmlns:c16="http://schemas.microsoft.com/office/drawing/2014/chart" uri="{C3380CC4-5D6E-409C-BE32-E72D297353CC}">
              <c16:uniqueId val="{00000002-0300-47AA-BEC9-431073085EBF}"/>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0300-47AA-BEC9-431073085EBF}"/>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Bulgaria</c:v>
                </c:pt>
                <c:pt idx="1">
                  <c:v>EU 28</c:v>
                </c:pt>
              </c:strCache>
            </c:strRef>
          </c:cat>
          <c:val>
            <c:numRef>
              <c:f>'ETS ESD share by MS'!$C$9:$C$10</c:f>
              <c:numCache>
                <c:formatCode>0%</c:formatCode>
                <c:ptCount val="2"/>
                <c:pt idx="0">
                  <c:v>0.56629702230627443</c:v>
                </c:pt>
                <c:pt idx="1">
                  <c:v>0.40284780584429175</c:v>
                </c:pt>
              </c:numCache>
            </c:numRef>
          </c:val>
          <c:extLst xmlns:c16r2="http://schemas.microsoft.com/office/drawing/2015/06/chart">
            <c:ext xmlns:c16="http://schemas.microsoft.com/office/drawing/2014/chart" uri="{C3380CC4-5D6E-409C-BE32-E72D297353CC}">
              <c16:uniqueId val="{00000005-0300-47AA-BEC9-431073085EBF}"/>
            </c:ext>
          </c:extLst>
        </c:ser>
        <c:dLbls>
          <c:dLblPos val="ctr"/>
          <c:showLegendKey val="0"/>
          <c:showVal val="1"/>
          <c:showCatName val="0"/>
          <c:showSerName val="0"/>
          <c:showPercent val="0"/>
          <c:showBubbleSize val="0"/>
        </c:dLbls>
        <c:gapWidth val="98"/>
        <c:overlap val="100"/>
        <c:axId val="103857536"/>
        <c:axId val="103863424"/>
      </c:barChart>
      <c:catAx>
        <c:axId val="103857536"/>
        <c:scaling>
          <c:orientation val="minMax"/>
        </c:scaling>
        <c:delete val="0"/>
        <c:axPos val="b"/>
        <c:numFmt formatCode="General" sourceLinked="0"/>
        <c:majorTickMark val="out"/>
        <c:minorTickMark val="none"/>
        <c:tickLblPos val="nextTo"/>
        <c:crossAx val="103863424"/>
        <c:crosses val="autoZero"/>
        <c:auto val="1"/>
        <c:lblAlgn val="ctr"/>
        <c:lblOffset val="100"/>
        <c:noMultiLvlLbl val="0"/>
      </c:catAx>
      <c:valAx>
        <c:axId val="103863424"/>
        <c:scaling>
          <c:orientation val="minMax"/>
        </c:scaling>
        <c:delete val="0"/>
        <c:axPos val="l"/>
        <c:majorGridlines/>
        <c:numFmt formatCode="0%" sourceLinked="1"/>
        <c:majorTickMark val="out"/>
        <c:minorTickMark val="none"/>
        <c:tickLblPos val="nextTo"/>
        <c:crossAx val="103857536"/>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A357-4B0D-AC44-CE94A3A8ABB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Croatia</c:v>
                </c:pt>
                <c:pt idx="1">
                  <c:v>EU 28</c:v>
                </c:pt>
              </c:strCache>
            </c:strRef>
          </c:cat>
          <c:val>
            <c:numRef>
              <c:f>'ETS ESD share by MS'!$B$9:$B$10</c:f>
              <c:numCache>
                <c:formatCode>0%</c:formatCode>
                <c:ptCount val="2"/>
                <c:pt idx="0">
                  <c:v>0.65942420351979358</c:v>
                </c:pt>
                <c:pt idx="1">
                  <c:v>0.5971521941557083</c:v>
                </c:pt>
              </c:numCache>
            </c:numRef>
          </c:val>
          <c:extLst xmlns:c16r2="http://schemas.microsoft.com/office/drawing/2015/06/chart">
            <c:ext xmlns:c16="http://schemas.microsoft.com/office/drawing/2014/chart" uri="{C3380CC4-5D6E-409C-BE32-E72D297353CC}">
              <c16:uniqueId val="{00000002-A357-4B0D-AC44-CE94A3A8ABBA}"/>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A357-4B0D-AC44-CE94A3A8ABB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Croatia</c:v>
                </c:pt>
                <c:pt idx="1">
                  <c:v>EU 28</c:v>
                </c:pt>
              </c:strCache>
            </c:strRef>
          </c:cat>
          <c:val>
            <c:numRef>
              <c:f>'ETS ESD share by MS'!$C$9:$C$10</c:f>
              <c:numCache>
                <c:formatCode>0%</c:formatCode>
                <c:ptCount val="2"/>
                <c:pt idx="0">
                  <c:v>0.34057579648020653</c:v>
                </c:pt>
                <c:pt idx="1">
                  <c:v>0.40284780584429175</c:v>
                </c:pt>
              </c:numCache>
            </c:numRef>
          </c:val>
          <c:extLst xmlns:c16r2="http://schemas.microsoft.com/office/drawing/2015/06/chart">
            <c:ext xmlns:c16="http://schemas.microsoft.com/office/drawing/2014/chart" uri="{C3380CC4-5D6E-409C-BE32-E72D297353CC}">
              <c16:uniqueId val="{00000005-A357-4B0D-AC44-CE94A3A8ABBA}"/>
            </c:ext>
          </c:extLst>
        </c:ser>
        <c:dLbls>
          <c:dLblPos val="ctr"/>
          <c:showLegendKey val="0"/>
          <c:showVal val="1"/>
          <c:showCatName val="0"/>
          <c:showSerName val="0"/>
          <c:showPercent val="0"/>
          <c:showBubbleSize val="0"/>
        </c:dLbls>
        <c:gapWidth val="98"/>
        <c:overlap val="100"/>
        <c:axId val="104692352"/>
        <c:axId val="104706432"/>
      </c:barChart>
      <c:catAx>
        <c:axId val="104692352"/>
        <c:scaling>
          <c:orientation val="minMax"/>
        </c:scaling>
        <c:delete val="0"/>
        <c:axPos val="b"/>
        <c:numFmt formatCode="General" sourceLinked="0"/>
        <c:majorTickMark val="out"/>
        <c:minorTickMark val="none"/>
        <c:tickLblPos val="nextTo"/>
        <c:crossAx val="104706432"/>
        <c:crosses val="autoZero"/>
        <c:auto val="1"/>
        <c:lblAlgn val="ctr"/>
        <c:lblOffset val="100"/>
        <c:noMultiLvlLbl val="0"/>
      </c:catAx>
      <c:valAx>
        <c:axId val="104706432"/>
        <c:scaling>
          <c:orientation val="minMax"/>
        </c:scaling>
        <c:delete val="0"/>
        <c:axPos val="l"/>
        <c:majorGridlines/>
        <c:numFmt formatCode="0%" sourceLinked="1"/>
        <c:majorTickMark val="out"/>
        <c:minorTickMark val="none"/>
        <c:tickLblPos val="nextTo"/>
        <c:crossAx val="104692352"/>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F408-4241-B465-6781B58A8180}"/>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Cyprus</c:v>
                </c:pt>
                <c:pt idx="1">
                  <c:v>EU 28</c:v>
                </c:pt>
              </c:strCache>
            </c:strRef>
          </c:cat>
          <c:val>
            <c:numRef>
              <c:f>'ETS ESD share by MS'!$B$9:$B$10</c:f>
              <c:numCache>
                <c:formatCode>0%</c:formatCode>
                <c:ptCount val="2"/>
                <c:pt idx="0">
                  <c:v>0.46930700686614618</c:v>
                </c:pt>
                <c:pt idx="1">
                  <c:v>0.5971521941557083</c:v>
                </c:pt>
              </c:numCache>
            </c:numRef>
          </c:val>
          <c:extLst xmlns:c16r2="http://schemas.microsoft.com/office/drawing/2015/06/chart">
            <c:ext xmlns:c16="http://schemas.microsoft.com/office/drawing/2014/chart" uri="{C3380CC4-5D6E-409C-BE32-E72D297353CC}">
              <c16:uniqueId val="{00000002-F408-4241-B465-6781B58A8180}"/>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F408-4241-B465-6781B58A8180}"/>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Cyprus</c:v>
                </c:pt>
                <c:pt idx="1">
                  <c:v>EU 28</c:v>
                </c:pt>
              </c:strCache>
            </c:strRef>
          </c:cat>
          <c:val>
            <c:numRef>
              <c:f>'ETS ESD share by MS'!$C$9:$C$10</c:f>
              <c:numCache>
                <c:formatCode>0%</c:formatCode>
                <c:ptCount val="2"/>
                <c:pt idx="0">
                  <c:v>0.53069299313385376</c:v>
                </c:pt>
                <c:pt idx="1">
                  <c:v>0.40284780584429175</c:v>
                </c:pt>
              </c:numCache>
            </c:numRef>
          </c:val>
          <c:extLst xmlns:c16r2="http://schemas.microsoft.com/office/drawing/2015/06/chart">
            <c:ext xmlns:c16="http://schemas.microsoft.com/office/drawing/2014/chart" uri="{C3380CC4-5D6E-409C-BE32-E72D297353CC}">
              <c16:uniqueId val="{00000005-F408-4241-B465-6781B58A8180}"/>
            </c:ext>
          </c:extLst>
        </c:ser>
        <c:dLbls>
          <c:dLblPos val="ctr"/>
          <c:showLegendKey val="0"/>
          <c:showVal val="1"/>
          <c:showCatName val="0"/>
          <c:showSerName val="0"/>
          <c:showPercent val="0"/>
          <c:showBubbleSize val="0"/>
        </c:dLbls>
        <c:gapWidth val="98"/>
        <c:overlap val="100"/>
        <c:axId val="105149568"/>
        <c:axId val="105151104"/>
      </c:barChart>
      <c:catAx>
        <c:axId val="105149568"/>
        <c:scaling>
          <c:orientation val="minMax"/>
        </c:scaling>
        <c:delete val="0"/>
        <c:axPos val="b"/>
        <c:numFmt formatCode="General" sourceLinked="0"/>
        <c:majorTickMark val="out"/>
        <c:minorTickMark val="none"/>
        <c:tickLblPos val="nextTo"/>
        <c:crossAx val="105151104"/>
        <c:crosses val="autoZero"/>
        <c:auto val="1"/>
        <c:lblAlgn val="ctr"/>
        <c:lblOffset val="100"/>
        <c:noMultiLvlLbl val="0"/>
      </c:catAx>
      <c:valAx>
        <c:axId val="105151104"/>
        <c:scaling>
          <c:orientation val="minMax"/>
        </c:scaling>
        <c:delete val="0"/>
        <c:axPos val="l"/>
        <c:majorGridlines/>
        <c:numFmt formatCode="0%" sourceLinked="1"/>
        <c:majorTickMark val="out"/>
        <c:minorTickMark val="none"/>
        <c:tickLblPos val="nextTo"/>
        <c:crossAx val="105149568"/>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B63C4-750F-4167-8966-C5A1ED66A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1604</Words>
  <Characters>8379</Characters>
  <Application>Microsoft Office Word</Application>
  <DocSecurity>0</DocSecurity>
  <Lines>232</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20</cp:revision>
  <dcterms:created xsi:type="dcterms:W3CDTF">2018-10-16T15:02:00Z</dcterms:created>
  <dcterms:modified xsi:type="dcterms:W3CDTF">2018-10-26T10:13:00Z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