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7023274"/>
      <w:bookmarkStart w:id="1" w:name="_Toc527446460"/>
      <w:bookmarkStart w:id="2" w:name="_Toc527447517"/>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45D4E5F-99F1-4CBF-AE7E-54574549332B" style="width:450.75pt;height:415.5pt">
            <v:imagedata r:id="rId7" o:title=""/>
          </v:shape>
        </w:pict>
      </w:r>
    </w:p>
    <w:bookmarkEnd w:id="3"/>
    <w:p>
      <w:pPr>
        <w:rPr>
          <w:noProof/>
        </w:rPr>
        <w:sectPr>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51"/>
          <w:cols w:space="720"/>
          <w:docGrid w:linePitch="360"/>
        </w:sectPr>
      </w:pPr>
    </w:p>
    <w:p>
      <w:pPr>
        <w:pStyle w:val="Title"/>
        <w:rPr>
          <w:noProof/>
        </w:rPr>
      </w:pPr>
      <w:bookmarkStart w:id="4" w:name="_GoBack"/>
      <w:bookmarkEnd w:id="4"/>
      <w:r>
        <w:rPr>
          <w:noProof/>
        </w:rPr>
        <w:lastRenderedPageBreak/>
        <w:t>Country fact sheet: Lithuania</w:t>
      </w:r>
      <w:bookmarkEnd w:id="0"/>
      <w:bookmarkEnd w:id="1"/>
      <w:bookmarkEnd w:id="2"/>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59355" cy="2874015"/>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9730" cy="2879192"/>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
      </w:r>
      <w:r>
        <w:rPr>
          <w:noProof/>
          <w:sz w:val="22"/>
          <w:szCs w:val="22"/>
        </w:rPr>
        <w:t xml:space="preserve"> 1990-2017 (index 1990 = 100 %). Right hand side: Total greenhouse gas emissions by sector</w:t>
      </w:r>
      <w:r>
        <w:rPr>
          <w:noProof/>
          <w:sz w:val="22"/>
          <w:szCs w:val="22"/>
          <w:vertAlign w:val="superscript"/>
        </w:rPr>
        <w:footnoteReference w:id="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03182" cy="2756848"/>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97" cy="2765363"/>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4"/>
      </w:r>
      <w:r>
        <w:rPr>
          <w:noProof/>
          <w:sz w:val="22"/>
          <w:szCs w:val="22"/>
        </w:rPr>
        <w:t xml:space="preserve"> </w:t>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45708" cy="2213767"/>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8465" cy="221482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720" cy="203916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76319"/>
                    <a:stretch/>
                  </pic:blipFill>
                  <pic:spPr bwMode="auto">
                    <a:xfrm>
                      <a:off x="0" y="0"/>
                      <a:ext cx="5760720" cy="203916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5"/>
      </w:r>
    </w:p>
    <w:p>
      <w:pPr>
        <w:jc w:val="both"/>
        <w:rPr>
          <w:noProof/>
          <w:lang w:eastAsia="de-DE"/>
        </w:rPr>
      </w:pPr>
      <w:r>
        <w:rPr>
          <w:noProof/>
        </w:rPr>
        <w:t xml:space="preserve">Reported quantities </w:t>
      </w:r>
      <w:r>
        <w:rPr>
          <w:noProof/>
          <w:lang w:eastAsia="de-DE"/>
        </w:rPr>
        <w:t>under the Kyoto Protocol for Lithuania show net removals of, on average, -8.7 Mt CO</w:t>
      </w:r>
      <w:r>
        <w:rPr>
          <w:noProof/>
          <w:vertAlign w:val="subscript"/>
          <w:lang w:eastAsia="de-DE"/>
        </w:rPr>
        <w:t>2</w:t>
      </w:r>
      <w:r>
        <w:rPr>
          <w:noProof/>
          <w:lang w:eastAsia="de-DE"/>
        </w:rPr>
        <w:t>-eq for the period 2013 to 2016. In this regard Lithuania contributes with 2.3% to the annual average sink of -384.4 Mt CO</w:t>
      </w:r>
      <w:r>
        <w:rPr>
          <w:noProof/>
          <w:vertAlign w:val="subscript"/>
          <w:lang w:eastAsia="de-DE"/>
        </w:rPr>
        <w:t>2</w:t>
      </w:r>
      <w:r>
        <w:rPr>
          <w:noProof/>
          <w:lang w:eastAsia="de-DE"/>
        </w:rPr>
        <w:t>-eq of the EU-28. Accounting for the same period depicts net credits of, on average, -1.9 Mt CO</w:t>
      </w:r>
      <w:r>
        <w:rPr>
          <w:noProof/>
          <w:vertAlign w:val="subscript"/>
          <w:lang w:eastAsia="de-DE"/>
        </w:rPr>
        <w:t>2</w:t>
      </w:r>
      <w:r>
        <w:rPr>
          <w:noProof/>
          <w:lang w:eastAsia="de-DE"/>
        </w:rPr>
        <w:t>-eq, which corresponds to 1.7% of the EU-28 accounted sink of -115.7 Mt CO</w:t>
      </w:r>
      <w:r>
        <w:rPr>
          <w:noProof/>
          <w:vertAlign w:val="subscript"/>
          <w:lang w:eastAsia="de-DE"/>
        </w:rPr>
        <w:t>2</w:t>
      </w:r>
      <w:r>
        <w:rPr>
          <w:noProof/>
          <w:lang w:eastAsia="de-DE"/>
        </w:rPr>
        <w:t xml:space="preserve">-eq. Reported net removals decrease between 2013 and 2015 and markedly increase for 2016 while accounted net credits show an increasing trend. </w:t>
      </w:r>
      <w:r>
        <w:rPr>
          <w:noProof/>
        </w:rPr>
        <w:t xml:space="preserve">In this </w:t>
      </w:r>
      <w:r>
        <w:rPr>
          <w:rFonts w:eastAsia="Times New Roman" w:cs="Tahoma"/>
          <w:noProof/>
          <w:color w:val="000000"/>
        </w:rPr>
        <w:t>preliminary simulated accounting exercise</w:t>
      </w:r>
      <w:r>
        <w:rPr>
          <w:noProof/>
        </w:rPr>
        <w:t xml:space="preserve"> potential credits by Forest Management of, on average, -3.0 </w:t>
      </w:r>
      <w:r>
        <w:rPr>
          <w:rFonts w:eastAsia="Times New Roman" w:cs="Tahoma"/>
          <w:noProof/>
          <w:color w:val="000000"/>
        </w:rPr>
        <w:t>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-1.7 Mt CO</w:t>
      </w:r>
      <w:r>
        <w:rPr>
          <w:noProof/>
          <w:vertAlign w:val="subscript"/>
          <w:lang w:eastAsia="de-DE"/>
        </w:rPr>
        <w:t>2</w:t>
      </w:r>
      <w:r>
        <w:rPr>
          <w:rFonts w:eastAsia="Times New Roman" w:cs="Tahoma"/>
          <w:noProof/>
          <w:color w:val="000000"/>
        </w:rPr>
        <w:t>-eq per year. Lithuania is one of eight EU Member States which exceed the cap of 3.5% from emissions of the base year (1990).</w:t>
      </w:r>
    </w:p>
    <w:p>
      <w:pPr>
        <w:pStyle w:val="IntenseQuote"/>
        <w:rPr>
          <w:noProof/>
          <w:lang w:eastAsia="de-DE"/>
        </w:rPr>
      </w:pPr>
    </w:p>
    <w:p>
      <w:pPr>
        <w:rPr>
          <w:noProof/>
          <w:sz w:val="20"/>
          <w:szCs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pStyle w:val="Title"/>
        <w:rPr>
          <w:noProof/>
        </w:rPr>
      </w:pPr>
      <w:bookmarkStart w:id="5" w:name="_Toc527023275"/>
      <w:bookmarkStart w:id="6" w:name="_Toc527446461"/>
      <w:bookmarkStart w:id="7" w:name="_Toc527447518"/>
      <w:r>
        <w:rPr>
          <w:noProof/>
        </w:rPr>
        <w:t>Country fact sheet: Luxembourg</w:t>
      </w:r>
      <w:bookmarkEnd w:id="5"/>
      <w:bookmarkEnd w:id="6"/>
      <w:bookmarkEnd w:id="7"/>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5708" cy="2867205"/>
            <wp:effectExtent l="0" t="0" r="762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14" cy="2868955"/>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6"/>
      </w:r>
      <w:r>
        <w:rPr>
          <w:noProof/>
          <w:sz w:val="22"/>
          <w:szCs w:val="22"/>
        </w:rPr>
        <w:t xml:space="preserve"> 1990-2017 (index 1990 = 100 %). Right hand side: Total greenhouse gas emissions by sector</w:t>
      </w:r>
      <w:r>
        <w:rPr>
          <w:noProof/>
          <w:sz w:val="22"/>
          <w:szCs w:val="22"/>
          <w:vertAlign w:val="superscript"/>
        </w:rPr>
        <w:footnoteReference w:id="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59355" cy="278400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090" cy="2786290"/>
                    </a:xfrm>
                    <a:prstGeom prst="rect">
                      <a:avLst/>
                    </a:prstGeom>
                    <a:noFill/>
                  </pic:spPr>
                </pic:pic>
              </a:graphicData>
            </a:graphic>
          </wp:inline>
        </w:drawing>
      </w:r>
    </w:p>
    <w:p>
      <w:pPr>
        <w:keepNext/>
        <w:rPr>
          <w:b/>
          <w:bCs/>
          <w:noProof/>
          <w:color w:val="4F81BD" w:themeColor="accent1"/>
        </w:rPr>
      </w:pPr>
      <w:r>
        <w:rPr>
          <w:b/>
          <w:bCs/>
          <w:noProof/>
          <w:color w:val="4F81BD" w:themeColor="accent1"/>
        </w:rPr>
        <w:t>Figure 3: ETS emissions (Mt CO</w:t>
      </w:r>
      <w:r>
        <w:rPr>
          <w:b/>
          <w:bCs/>
          <w:noProof/>
          <w:color w:val="4F81BD" w:themeColor="accent1"/>
          <w:vertAlign w:val="subscript"/>
        </w:rPr>
        <w:t>2</w:t>
      </w:r>
      <w:r>
        <w:rPr>
          <w:b/>
          <w:bCs/>
          <w:noProof/>
          <w:color w:val="4F81BD" w:themeColor="accent1"/>
        </w:rPr>
        <w:t>-eq.).</w:t>
      </w:r>
      <w:r>
        <w:rPr>
          <w:b/>
          <w:bCs/>
          <w:noProof/>
          <w:color w:val="4F81BD" w:themeColor="accent1"/>
          <w:vertAlign w:val="superscript"/>
          <w:lang w:val="fr-BE"/>
        </w:rPr>
        <w:footnoteReference w:id="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61919" cy="217681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8037" cy="2182907"/>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387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b="76318"/>
                    <a:stretch/>
                  </pic:blipFill>
                  <pic:spPr bwMode="auto">
                    <a:xfrm>
                      <a:off x="0" y="0"/>
                      <a:ext cx="5760000" cy="20387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0"/>
      </w:r>
    </w:p>
    <w:p>
      <w:pPr>
        <w:jc w:val="both"/>
        <w:rPr>
          <w:noProof/>
          <w:lang w:eastAsia="de-DE"/>
        </w:rPr>
      </w:pPr>
      <w:r>
        <w:rPr>
          <w:noProof/>
        </w:rPr>
        <w:t xml:space="preserve">Reported quantities </w:t>
      </w:r>
      <w:r>
        <w:rPr>
          <w:noProof/>
          <w:lang w:eastAsia="de-DE"/>
        </w:rPr>
        <w:t>under the Kyoto Protocol for Luxembourg show net removals of, on average, -0.5 Mt CO</w:t>
      </w:r>
      <w:r>
        <w:rPr>
          <w:noProof/>
          <w:vertAlign w:val="subscript"/>
          <w:lang w:eastAsia="de-DE"/>
        </w:rPr>
        <w:t>2</w:t>
      </w:r>
      <w:r>
        <w:rPr>
          <w:noProof/>
          <w:lang w:eastAsia="de-DE"/>
        </w:rPr>
        <w:t>-eq for the period 2013 to 2016. In this regard Luxembourg contributes with 0.13% to the annual average sink of -384.4 Mt CO</w:t>
      </w:r>
      <w:r>
        <w:rPr>
          <w:noProof/>
          <w:vertAlign w:val="subscript"/>
          <w:lang w:eastAsia="de-DE"/>
        </w:rPr>
        <w:t>2</w:t>
      </w:r>
      <w:r>
        <w:rPr>
          <w:noProof/>
          <w:lang w:eastAsia="de-DE"/>
        </w:rPr>
        <w:t>-eq of the EU-28. Accounting for the same period depicts net credits of, on average, -0.3 Mt CO</w:t>
      </w:r>
      <w:r>
        <w:rPr>
          <w:noProof/>
          <w:vertAlign w:val="subscript"/>
          <w:lang w:eastAsia="de-DE"/>
        </w:rPr>
        <w:t>2</w:t>
      </w:r>
      <w:r>
        <w:rPr>
          <w:noProof/>
          <w:lang w:eastAsia="de-DE"/>
        </w:rPr>
        <w:t>-eq, which corresponds to 0.2% of the EU-28 accounted sink of -115.7 Mt CO</w:t>
      </w:r>
      <w:r>
        <w:rPr>
          <w:noProof/>
          <w:vertAlign w:val="subscript"/>
          <w:lang w:eastAsia="de-DE"/>
        </w:rPr>
        <w:t>2</w:t>
      </w:r>
      <w:r>
        <w:rPr>
          <w:noProof/>
          <w:lang w:eastAsia="de-DE"/>
        </w:rPr>
        <w:t xml:space="preserve">-eq. Reported net removals and accounted net credits decrease between 2013 and 2015 and markedly increase for 2016.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pPr>
        <w:pStyle w:val="Title"/>
        <w:rPr>
          <w:noProof/>
        </w:rPr>
      </w:pPr>
      <w:bookmarkStart w:id="8" w:name="_Toc527023276"/>
      <w:bookmarkStart w:id="9" w:name="_Toc527446462"/>
      <w:bookmarkStart w:id="10" w:name="_Toc527447519"/>
      <w:r>
        <w:rPr>
          <w:noProof/>
        </w:rPr>
        <w:t>Country fact sheet: Malta</w:t>
      </w:r>
      <w:bookmarkEnd w:id="8"/>
      <w:bookmarkEnd w:id="9"/>
      <w:bookmarkEnd w:id="10"/>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5708" cy="2867205"/>
            <wp:effectExtent l="0" t="0" r="762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9214" cy="2868955"/>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1"/>
      </w:r>
      <w:r>
        <w:rPr>
          <w:noProof/>
          <w:sz w:val="22"/>
          <w:szCs w:val="22"/>
        </w:rPr>
        <w:t xml:space="preserve"> 1990-2017 (index 1990 = 100 %). Right hand side: Total greenhouse gas emissions by sector</w:t>
      </w:r>
      <w:r>
        <w:rPr>
          <w:noProof/>
          <w:sz w:val="22"/>
          <w:szCs w:val="22"/>
          <w:vertAlign w:val="superscript"/>
        </w:rPr>
        <w:footnoteReference w:id="1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52532" cy="2780703"/>
            <wp:effectExtent l="0" t="0" r="635"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261" cy="2782989"/>
                    </a:xfrm>
                    <a:prstGeom prst="rect">
                      <a:avLst/>
                    </a:prstGeom>
                    <a:noFill/>
                  </pic:spPr>
                </pic:pic>
              </a:graphicData>
            </a:graphic>
          </wp:inline>
        </w:drawing>
      </w:r>
    </w:p>
    <w:p>
      <w:pPr>
        <w:rPr>
          <w:noProof/>
        </w:rPr>
      </w:pPr>
      <w:r>
        <w:rPr>
          <w:b/>
          <w:bCs/>
          <w:noProof/>
          <w:color w:val="4F81BD" w:themeColor="accent1"/>
        </w:rPr>
        <w:t>Figure 3: ETS emissions (Mt CO</w:t>
      </w:r>
      <w:r>
        <w:rPr>
          <w:b/>
          <w:bCs/>
          <w:noProof/>
          <w:color w:val="4F81BD" w:themeColor="accent1"/>
          <w:vertAlign w:val="subscript"/>
        </w:rPr>
        <w:t>2</w:t>
      </w:r>
      <w:r>
        <w:rPr>
          <w:b/>
          <w:bCs/>
          <w:noProof/>
          <w:color w:val="4F81BD" w:themeColor="accent1"/>
        </w:rPr>
        <w:t>-eq.).</w:t>
      </w:r>
      <w:r>
        <w:rPr>
          <w:b/>
          <w:bCs/>
          <w:noProof/>
          <w:color w:val="4F81BD" w:themeColor="accent1"/>
          <w:vertAlign w:val="superscript"/>
          <w:lang w:val="fr-BE"/>
        </w:rPr>
        <w:footnoteReference w:id="14"/>
      </w: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52532" cy="2171700"/>
            <wp:effectExtent l="0" t="0" r="63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4424" cy="2172414"/>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r>
        <w:rPr>
          <w:rStyle w:val="FootnoteReference"/>
          <w:noProof/>
          <w:sz w:val="22"/>
          <w:szCs w:val="22"/>
        </w:rPr>
        <w:footnoteReference w:id="15"/>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jc w:val="both"/>
        <w:rPr>
          <w:rFonts w:eastAsia="Times New Roman" w:cs="Tahoma"/>
          <w:noProof/>
        </w:rPr>
      </w:pPr>
      <w:r>
        <w:rPr>
          <w:rFonts w:eastAsia="Times New Roman" w:cs="Tahoma"/>
          <w:noProof/>
        </w:rPr>
        <w:t>Malta is the only EU Member State with no reported and accounted quantities under the Kyoto Protocol second commitment period.</w:t>
      </w:r>
    </w:p>
    <w:p>
      <w:pPr>
        <w:jc w:val="both"/>
        <w:rPr>
          <w:noProof/>
          <w:lang w:eastAsia="de-DE"/>
        </w:rPr>
      </w:pPr>
    </w:p>
    <w:p>
      <w:pPr>
        <w:pStyle w:val="IntenseQuote"/>
        <w:rPr>
          <w:noProof/>
          <w:lang w:eastAsia="de-DE"/>
        </w:rPr>
      </w:pPr>
    </w:p>
    <w:p>
      <w:pPr>
        <w:rPr>
          <w:noProof/>
          <w:sz w:val="20"/>
          <w:szCs w:val="20"/>
        </w:rPr>
        <w:sectPr>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pPr>
    </w:p>
    <w:p>
      <w:pPr>
        <w:pStyle w:val="Title"/>
        <w:rPr>
          <w:noProof/>
        </w:rPr>
      </w:pPr>
      <w:bookmarkStart w:id="11" w:name="_Toc527023277"/>
      <w:bookmarkStart w:id="12" w:name="_Toc527446463"/>
      <w:bookmarkStart w:id="13" w:name="_Toc527447520"/>
      <w:r>
        <w:rPr>
          <w:noProof/>
        </w:rPr>
        <w:t>Country fact sheet: Netherlands</w:t>
      </w:r>
      <w:bookmarkEnd w:id="11"/>
      <w:bookmarkEnd w:id="12"/>
      <w:bookmarkEnd w:id="13"/>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1719" cy="286521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260" cy="2865984"/>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6"/>
      </w:r>
      <w:r>
        <w:rPr>
          <w:noProof/>
          <w:sz w:val="22"/>
          <w:szCs w:val="22"/>
        </w:rPr>
        <w:t xml:space="preserve"> 1990-2017 (index 1990 = 100 %). Right hand side: Total greenhouse gas emissions by sector</w:t>
      </w:r>
      <w:r>
        <w:rPr>
          <w:noProof/>
          <w:sz w:val="22"/>
          <w:szCs w:val="22"/>
          <w:vertAlign w:val="superscript"/>
        </w:rPr>
        <w:footnoteReference w:id="1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3906" cy="276686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6587" cy="2768162"/>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59532" cy="220026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1180" cy="2200895"/>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b/>
          <w:bCs/>
          <w:noProof/>
          <w:color w:val="365F91" w:themeColor="accent1" w:themeShade="BF"/>
          <w:sz w:val="28"/>
          <w:szCs w:val="28"/>
        </w:rPr>
      </w:pP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3877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b="76318"/>
                    <a:stretch/>
                  </pic:blipFill>
                  <pic:spPr bwMode="auto">
                    <a:xfrm>
                      <a:off x="0" y="0"/>
                      <a:ext cx="5760000" cy="20387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0"/>
      </w:r>
    </w:p>
    <w:p>
      <w:pPr>
        <w:jc w:val="both"/>
        <w:rPr>
          <w:noProof/>
          <w:lang w:eastAsia="de-DE"/>
        </w:rPr>
      </w:pPr>
      <w:r>
        <w:rPr>
          <w:noProof/>
        </w:rPr>
        <w:t xml:space="preserve">Reported quantities </w:t>
      </w:r>
      <w:r>
        <w:rPr>
          <w:noProof/>
          <w:lang w:eastAsia="de-DE"/>
        </w:rPr>
        <w:t>under the Kyoto Protocol for the Netherlands show net removals of, on average, -0.8 Mt CO</w:t>
      </w:r>
      <w:r>
        <w:rPr>
          <w:noProof/>
          <w:vertAlign w:val="subscript"/>
          <w:lang w:eastAsia="de-DE"/>
        </w:rPr>
        <w:t>2</w:t>
      </w:r>
      <w:r>
        <w:rPr>
          <w:noProof/>
          <w:lang w:eastAsia="de-DE"/>
        </w:rPr>
        <w:t>-eq for the period 2013 to 2016. In this regard the Netherlands contribute with 0.2% to the annual average sink of -384.4 Mt CO</w:t>
      </w:r>
      <w:r>
        <w:rPr>
          <w:noProof/>
          <w:vertAlign w:val="subscript"/>
          <w:lang w:eastAsia="de-DE"/>
        </w:rPr>
        <w:t>2</w:t>
      </w:r>
      <w:r>
        <w:rPr>
          <w:noProof/>
          <w:lang w:eastAsia="de-DE"/>
        </w:rPr>
        <w:t>-eq of the EU-28. Accounting for the same period depicts net debits of, on average, 0.7 Mt CO</w:t>
      </w:r>
      <w:r>
        <w:rPr>
          <w:noProof/>
          <w:vertAlign w:val="subscript"/>
          <w:lang w:eastAsia="de-DE"/>
        </w:rPr>
        <w:t>2</w:t>
      </w:r>
      <w:r>
        <w:rPr>
          <w:noProof/>
          <w:lang w:eastAsia="de-DE"/>
        </w:rPr>
        <w:t>-eq, which corresponds to a negative contribution of -0.6% of the EU-28 accounted sink of -115.7 Mt CO</w:t>
      </w:r>
      <w:r>
        <w:rPr>
          <w:noProof/>
          <w:vertAlign w:val="subscript"/>
          <w:lang w:eastAsia="de-DE"/>
        </w:rPr>
        <w:t>2</w:t>
      </w:r>
      <w:r>
        <w:rPr>
          <w:noProof/>
          <w:lang w:eastAsia="de-DE"/>
        </w:rPr>
        <w:t xml:space="preserve">-eq. </w:t>
      </w:r>
      <w:r>
        <w:rPr>
          <w:rFonts w:eastAsia="Times New Roman" w:cs="Tahoma"/>
          <w:noProof/>
        </w:rPr>
        <w:t>The Netherlands is one of six EU Member States which show net debits in this preliminary accounting exercise. Reported n</w:t>
      </w:r>
      <w:r>
        <w:rPr>
          <w:noProof/>
          <w:lang w:eastAsia="de-DE"/>
        </w:rPr>
        <w:t xml:space="preserve">et removals increase and accounted net debits show nearly no change over the four-year period.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docGrid w:linePitch="360"/>
        </w:sectPr>
      </w:pPr>
    </w:p>
    <w:p>
      <w:pPr>
        <w:pStyle w:val="Title"/>
        <w:rPr>
          <w:noProof/>
        </w:rPr>
      </w:pPr>
      <w:bookmarkStart w:id="14" w:name="_Toc527023278"/>
      <w:bookmarkStart w:id="15" w:name="_Toc527446464"/>
      <w:bookmarkStart w:id="16" w:name="_Toc527447521"/>
      <w:r>
        <w:rPr>
          <w:noProof/>
        </w:rPr>
        <w:t>Country fact sheet: Poland</w:t>
      </w:r>
      <w:bookmarkEnd w:id="14"/>
      <w:bookmarkEnd w:id="15"/>
      <w:bookmarkEnd w:id="16"/>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7657" cy="2868178"/>
            <wp:effectExtent l="0" t="0" r="5715"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8844" cy="2868770"/>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1"/>
      </w:r>
      <w:r>
        <w:rPr>
          <w:noProof/>
          <w:sz w:val="22"/>
          <w:szCs w:val="22"/>
        </w:rPr>
        <w:t xml:space="preserve"> 1990-2017 (index 1990 = 100 %). Right hand side: Total greenhouse gas emissions by sector</w:t>
      </w:r>
      <w:r>
        <w:rPr>
          <w:noProof/>
          <w:sz w:val="22"/>
          <w:szCs w:val="22"/>
          <w:vertAlign w:val="superscript"/>
        </w:rPr>
        <w:footnoteReference w:id="2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3906" cy="276686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6587" cy="2768162"/>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4"/>
      </w:r>
      <w:r>
        <w:rPr>
          <w:noProof/>
          <w:sz w:val="22"/>
          <w:szCs w:val="22"/>
        </w:rPr>
        <w:t xml:space="preserve"> </w:t>
      </w:r>
    </w:p>
    <w:p>
      <w:pPr>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59532" cy="2222209"/>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8407" cy="2221775"/>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3877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b="76319"/>
                    <a:stretch/>
                  </pic:blipFill>
                  <pic:spPr bwMode="auto">
                    <a:xfrm>
                      <a:off x="0" y="0"/>
                      <a:ext cx="5760000" cy="203877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5"/>
      </w:r>
    </w:p>
    <w:p>
      <w:pPr>
        <w:jc w:val="both"/>
        <w:rPr>
          <w:noProof/>
          <w:lang w:eastAsia="de-DE"/>
        </w:rPr>
      </w:pPr>
      <w:r>
        <w:rPr>
          <w:noProof/>
        </w:rPr>
        <w:t xml:space="preserve">Reported quantities </w:t>
      </w:r>
      <w:r>
        <w:rPr>
          <w:noProof/>
          <w:lang w:eastAsia="de-DE"/>
        </w:rPr>
        <w:t>under the Kyoto Protocol for Poland show net removals of, on average, -38.3 Mt CO</w:t>
      </w:r>
      <w:r>
        <w:rPr>
          <w:noProof/>
          <w:vertAlign w:val="subscript"/>
          <w:lang w:eastAsia="de-DE"/>
        </w:rPr>
        <w:t>2</w:t>
      </w:r>
      <w:r>
        <w:rPr>
          <w:noProof/>
          <w:lang w:eastAsia="de-DE"/>
        </w:rPr>
        <w:t>-eq for the period 2013 to 2016. In this regard Poland contributes with 10.0% to the annual average sink of -384.4 Mt CO</w:t>
      </w:r>
      <w:r>
        <w:rPr>
          <w:noProof/>
          <w:vertAlign w:val="subscript"/>
          <w:lang w:eastAsia="de-DE"/>
        </w:rPr>
        <w:t>2</w:t>
      </w:r>
      <w:r>
        <w:rPr>
          <w:noProof/>
          <w:lang w:eastAsia="de-DE"/>
        </w:rPr>
        <w:t>-eq of the EU-28. Accounting for the same period depicts net credits of, on average, -11.1 Mt CO</w:t>
      </w:r>
      <w:r>
        <w:rPr>
          <w:noProof/>
          <w:vertAlign w:val="subscript"/>
          <w:lang w:eastAsia="de-DE"/>
        </w:rPr>
        <w:t>2</w:t>
      </w:r>
      <w:r>
        <w:rPr>
          <w:noProof/>
          <w:lang w:eastAsia="de-DE"/>
        </w:rPr>
        <w:t>-eq, which corresponds to 9.6% of the EU-28 accounted sink of -115.7 Mt CO</w:t>
      </w:r>
      <w:r>
        <w:rPr>
          <w:noProof/>
          <w:vertAlign w:val="subscript"/>
          <w:lang w:eastAsia="de-DE"/>
        </w:rPr>
        <w:t>2</w:t>
      </w:r>
      <w:r>
        <w:rPr>
          <w:noProof/>
          <w:lang w:eastAsia="de-DE"/>
        </w:rPr>
        <w:t xml:space="preserve">-eq. Reported net removals and accounted net credits decrease between 2013 and 2015 and slightly increase for 2016.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pPr>
    </w:p>
    <w:p>
      <w:pPr>
        <w:pStyle w:val="Title"/>
        <w:rPr>
          <w:noProof/>
        </w:rPr>
      </w:pPr>
      <w:bookmarkStart w:id="17" w:name="_Toc527023279"/>
      <w:bookmarkStart w:id="18" w:name="_Toc527446465"/>
      <w:bookmarkStart w:id="19" w:name="_Toc527447522"/>
      <w:r>
        <w:rPr>
          <w:noProof/>
        </w:rPr>
        <w:t>Country fact sheet: Portugal</w:t>
      </w:r>
      <w:bookmarkEnd w:id="17"/>
      <w:bookmarkEnd w:id="18"/>
      <w:bookmarkEnd w:id="19"/>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7657" cy="2868177"/>
            <wp:effectExtent l="0" t="0" r="5715"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9816" cy="2869254"/>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6"/>
      </w:r>
      <w:r>
        <w:rPr>
          <w:noProof/>
          <w:sz w:val="22"/>
          <w:szCs w:val="22"/>
        </w:rPr>
        <w:t xml:space="preserve"> 1990-2017 (index 1990 = 100 %). Right hand side: Total greenhouse gas emissions by sector</w:t>
      </w:r>
      <w:r>
        <w:rPr>
          <w:noProof/>
          <w:sz w:val="22"/>
          <w:szCs w:val="22"/>
          <w:vertAlign w:val="superscript"/>
        </w:rPr>
        <w:footnoteReference w:id="2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53594" cy="2781217"/>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289" cy="2782520"/>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9"/>
      </w:r>
      <w:r>
        <w:rPr>
          <w:noProof/>
          <w:sz w:val="22"/>
          <w:szCs w:val="22"/>
        </w:rPr>
        <w:t xml:space="preserve"> </w:t>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51395" cy="2244437"/>
            <wp:effectExtent l="0" t="0" r="1905"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4730" cy="2245738"/>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23463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2">
                      <a:extLst>
                        <a:ext uri="{28A0092B-C50C-407E-A947-70E740481C1C}">
                          <a14:useLocalDpi xmlns:a14="http://schemas.microsoft.com/office/drawing/2010/main" val="0"/>
                        </a:ext>
                      </a:extLst>
                    </a:blip>
                    <a:srcRect b="74043"/>
                    <a:stretch/>
                  </pic:blipFill>
                  <pic:spPr bwMode="auto">
                    <a:xfrm>
                      <a:off x="0" y="0"/>
                      <a:ext cx="5760000" cy="223463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30"/>
      </w:r>
    </w:p>
    <w:p>
      <w:pPr>
        <w:jc w:val="both"/>
        <w:rPr>
          <w:noProof/>
          <w:lang w:eastAsia="de-DE"/>
        </w:rPr>
      </w:pPr>
      <w:r>
        <w:rPr>
          <w:noProof/>
        </w:rPr>
        <w:t xml:space="preserve">Reported quantities </w:t>
      </w:r>
      <w:r>
        <w:rPr>
          <w:noProof/>
          <w:lang w:eastAsia="de-DE"/>
        </w:rPr>
        <w:t>under the Kyoto Protocol for Portugal show net removals of, on average, -7.4 Mt CO</w:t>
      </w:r>
      <w:r>
        <w:rPr>
          <w:noProof/>
          <w:vertAlign w:val="subscript"/>
          <w:lang w:eastAsia="de-DE"/>
        </w:rPr>
        <w:t>2</w:t>
      </w:r>
      <w:r>
        <w:rPr>
          <w:noProof/>
          <w:lang w:eastAsia="de-DE"/>
        </w:rPr>
        <w:t>-eq for the period 2013 to 2016. In this regard Portugal contributes with 1.9% to the annual average sink of -384.4 Mt CO</w:t>
      </w:r>
      <w:r>
        <w:rPr>
          <w:noProof/>
          <w:vertAlign w:val="subscript"/>
          <w:lang w:eastAsia="de-DE"/>
        </w:rPr>
        <w:t>2</w:t>
      </w:r>
      <w:r>
        <w:rPr>
          <w:noProof/>
          <w:lang w:eastAsia="de-DE"/>
        </w:rPr>
        <w:t>-eq of the EU-28. Accounting for the same period depicts net credits of, on average, -7.7 Mt CO</w:t>
      </w:r>
      <w:r>
        <w:rPr>
          <w:noProof/>
          <w:vertAlign w:val="subscript"/>
          <w:lang w:eastAsia="de-DE"/>
        </w:rPr>
        <w:t>2</w:t>
      </w:r>
      <w:r>
        <w:rPr>
          <w:noProof/>
          <w:lang w:eastAsia="de-DE"/>
        </w:rPr>
        <w:t>-eq, which corresponds to 6.7% of the EU-28 accounted sink of -115.7 Mt CO</w:t>
      </w:r>
      <w:r>
        <w:rPr>
          <w:noProof/>
          <w:vertAlign w:val="subscript"/>
          <w:lang w:eastAsia="de-DE"/>
        </w:rPr>
        <w:t>2</w:t>
      </w:r>
      <w:r>
        <w:rPr>
          <w:noProof/>
          <w:lang w:eastAsia="de-DE"/>
        </w:rPr>
        <w:t xml:space="preserve">-eq. Reported net removals are highest for 2014 and decrease substantially thereafter, while accounted net credits only show a minor decrease for 2016. Portugal elected to report and account for Cropland Management as one of seven </w:t>
      </w:r>
      <w:r>
        <w:rPr>
          <w:rFonts w:eastAsia="Times New Roman" w:cs="Tahoma"/>
          <w:noProof/>
        </w:rPr>
        <w:t xml:space="preserve">EU Member States </w:t>
      </w:r>
      <w:r>
        <w:rPr>
          <w:noProof/>
          <w:lang w:eastAsia="de-DE"/>
        </w:rPr>
        <w:t xml:space="preserve">and for Grazing Land Management as one of six </w:t>
      </w:r>
      <w:r>
        <w:rPr>
          <w:rFonts w:eastAsia="Times New Roman" w:cs="Tahoma"/>
          <w:noProof/>
        </w:rPr>
        <w:t>EU Member States</w:t>
      </w:r>
      <w:r>
        <w:rPr>
          <w:noProof/>
          <w:lang w:eastAsia="de-DE"/>
        </w:rPr>
        <w:t>.</w:t>
      </w:r>
      <w:r>
        <w:rPr>
          <w:rFonts w:eastAsia="Times New Roman" w:cs="Tahoma"/>
          <w:noProof/>
          <w:color w:val="000000"/>
        </w:rPr>
        <w:t xml:space="preserve"> I</w:t>
      </w:r>
      <w:r>
        <w:rPr>
          <w:noProof/>
        </w:rPr>
        <w:t xml:space="preserve">n this </w:t>
      </w:r>
      <w:r>
        <w:rPr>
          <w:rFonts w:eastAsia="Times New Roman" w:cs="Tahoma"/>
          <w:noProof/>
          <w:color w:val="000000"/>
        </w:rPr>
        <w:t>preliminary simulated accounting exercise</w:t>
      </w:r>
      <w:r>
        <w:rPr>
          <w:noProof/>
        </w:rPr>
        <w:t xml:space="preserve"> potential credits by Forest Management of, on average, -3</w:t>
      </w:r>
      <w:r>
        <w:rPr>
          <w:rFonts w:eastAsia="Times New Roman" w:cs="Tahoma"/>
          <w:noProof/>
          <w:color w:val="000000"/>
        </w:rPr>
        <w:t>.0 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-2.1 Mt CO</w:t>
      </w:r>
      <w:r>
        <w:rPr>
          <w:noProof/>
          <w:vertAlign w:val="subscript"/>
          <w:lang w:eastAsia="de-DE"/>
        </w:rPr>
        <w:t>2</w:t>
      </w:r>
      <w:r>
        <w:rPr>
          <w:rFonts w:eastAsia="Times New Roman" w:cs="Tahoma"/>
          <w:noProof/>
          <w:color w:val="000000"/>
        </w:rPr>
        <w:t>-eq per year. Portugal is one of eight EU Member States which exceed the cap of 3.5% from emissions of the base year (1990).</w:t>
      </w:r>
    </w:p>
    <w:p>
      <w:pPr>
        <w:rPr>
          <w:noProof/>
        </w:rPr>
      </w:pPr>
    </w:p>
    <w:sectPr>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501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559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4134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8403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2940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5014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National total, including international aviation. </w:t>
      </w:r>
    </w:p>
  </w:footnote>
  <w:footnote w:id="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6">
    <w:p>
      <w:pPr>
        <w:pStyle w:val="FootnoteText"/>
      </w:pPr>
      <w:r>
        <w:rPr>
          <w:vertAlign w:val="superscript"/>
        </w:rPr>
        <w:footnoteRef/>
      </w:r>
      <w:r>
        <w:t xml:space="preserve"> National total, including international aviation. </w:t>
      </w:r>
    </w:p>
  </w:footnote>
  <w:footnote w:id="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1">
    <w:p>
      <w:pPr>
        <w:pStyle w:val="FootnoteText"/>
      </w:pPr>
      <w:r>
        <w:rPr>
          <w:vertAlign w:val="superscript"/>
        </w:rPr>
        <w:footnoteRef/>
      </w:r>
      <w:r>
        <w:t xml:space="preserve"> National total, including international aviation. </w:t>
      </w:r>
    </w:p>
  </w:footnote>
  <w:footnote w:id="1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5">
    <w:p>
      <w:pPr>
        <w:pStyle w:val="FootnoteText"/>
      </w:pPr>
      <w:r>
        <w:rPr>
          <w:rStyle w:val="FootnoteReference"/>
        </w:rPr>
        <w:footnoteRef/>
      </w:r>
      <w:r>
        <w:t xml:space="preserve"> Malta has covered its deficit of AEAs by purchasing AEAs from Bulgaria. </w:t>
      </w:r>
    </w:p>
  </w:footnote>
  <w:footnote w:id="16">
    <w:p>
      <w:pPr>
        <w:pStyle w:val="FootnoteText"/>
      </w:pPr>
      <w:r>
        <w:rPr>
          <w:vertAlign w:val="superscript"/>
        </w:rPr>
        <w:footnoteRef/>
      </w:r>
      <w:r>
        <w:t xml:space="preserve"> National total, including international aviation. </w:t>
      </w:r>
    </w:p>
  </w:footnote>
  <w:footnote w:id="1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1">
    <w:p>
      <w:pPr>
        <w:pStyle w:val="FootnoteText"/>
      </w:pPr>
      <w:r>
        <w:rPr>
          <w:vertAlign w:val="superscript"/>
        </w:rPr>
        <w:footnoteRef/>
      </w:r>
      <w:r>
        <w:t xml:space="preserve"> National total, including international aviation. </w:t>
      </w:r>
    </w:p>
  </w:footnote>
  <w:footnote w:id="2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6">
    <w:p>
      <w:pPr>
        <w:pStyle w:val="FootnoteText"/>
      </w:pPr>
      <w:r>
        <w:rPr>
          <w:vertAlign w:val="superscript"/>
        </w:rPr>
        <w:footnoteRef/>
      </w:r>
      <w:r>
        <w:t xml:space="preserve"> National total, including international aviation. </w:t>
      </w:r>
    </w:p>
  </w:footnote>
  <w:footnote w:id="2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3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Malta</w:t>
    </w:r>
  </w:p>
  <w:p>
    <w:pPr>
      <w:pStyle w:val="Header"/>
      <w:jc w:val="cente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Netherlands</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Poland</w:t>
    </w:r>
  </w:p>
  <w:p>
    <w:pPr>
      <w:pStyle w:val="Header"/>
      <w:jc w:val="center"/>
    </w:pP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Portugal</w:t>
    </w:r>
  </w:p>
  <w:p>
    <w:pPr>
      <w:pStyle w:val="Header"/>
      <w:jc w:val="center"/>
    </w:pPr>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Lithuania</w:t>
    </w:r>
  </w:p>
  <w:p>
    <w:pPr>
      <w:pStyle w:val="Header"/>
      <w:jc w:val="center"/>
    </w:pP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Luxembourg</w:t>
    </w:r>
  </w:p>
  <w:p>
    <w:pPr>
      <w:pStyle w:val="Header"/>
      <w:jc w:val="cente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45D4E5F-99F1-4CBF-AE7E-54574549332B"/>
    <w:docVar w:name="LW_COVERPAGE_TYPE" w:val="1"/>
    <w:docVar w:name="LW_CROSSREFERENCE" w:val="{COM(2018) 716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 and the Paris Climate Agreement: Taking stock of progress at Katowice COP"/>
    <w:docVar w:name="LW_PART_NBR" w:val="4"/>
    <w:docVar w:name="LW_PART_NBR_TOTAL" w:val="6"/>
    <w:docVar w:name="LW_REF.INST.NEW" w:val="SWD"/>
    <w:docVar w:name="LW_REF.INST.NEW_ADOPTED" w:val="final"/>
    <w:docVar w:name="LW_REF.INST.NEW_TEXT" w:val="(2018) 4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echnical information"/>
    <w:docVar w:name="LW_TYPE.DOC.CP" w:val="COMMISSION STAFF WORKING DOCUMENT"/>
    <w:docVar w:name="LW_TYPEACTEPRINCIPAL.CP" w:val="Report from the European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character" w:styleId="FootnoteReference">
    <w:name w:val="footnote reference"/>
    <w:basedOn w:val="DefaultParagraphFont"/>
    <w:uiPriority w:val="99"/>
    <w:semiHidden/>
    <w:unhideWhenUsed/>
    <w:qFormat/>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character" w:styleId="FootnoteReference">
    <w:name w:val="footnote reference"/>
    <w:basedOn w:val="DefaultParagraphFont"/>
    <w:uiPriority w:val="99"/>
    <w:semiHidden/>
    <w:unhideWhenUsed/>
    <w:qFormat/>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footer" Target="footer10.xml"/><Relationship Id="rId47" Type="http://schemas.openxmlformats.org/officeDocument/2006/relationships/chart" Target="charts/chart4.xml"/><Relationship Id="rId50" Type="http://schemas.openxmlformats.org/officeDocument/2006/relationships/image" Target="media/image16.png"/><Relationship Id="rId55"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image" Target="media/image21.png"/><Relationship Id="rId76" Type="http://schemas.openxmlformats.org/officeDocument/2006/relationships/footer" Target="footer20.xml"/><Relationship Id="rId7" Type="http://schemas.openxmlformats.org/officeDocument/2006/relationships/image" Target="media/image1.emf"/><Relationship Id="rId71" Type="http://schemas.openxmlformats.org/officeDocument/2006/relationships/image" Target="media/image23.png"/><Relationship Id="rId2" Type="http://schemas.microsoft.com/office/2007/relationships/stylesWithEffects" Target="stylesWithEffects.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chart" Target="charts/chart3.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3.xml"/><Relationship Id="rId58" Type="http://schemas.openxmlformats.org/officeDocument/2006/relationships/chart" Target="charts/chart5.xml"/><Relationship Id="rId66" Type="http://schemas.openxmlformats.org/officeDocument/2006/relationships/header" Target="header18.xml"/><Relationship Id="rId74" Type="http://schemas.openxmlformats.org/officeDocument/2006/relationships/header" Target="header20.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12.xml"/><Relationship Id="rId52" Type="http://schemas.openxmlformats.org/officeDocument/2006/relationships/header" Target="header14.xml"/><Relationship Id="rId60" Type="http://schemas.openxmlformats.org/officeDocument/2006/relationships/image" Target="media/image19.png"/><Relationship Id="rId65" Type="http://schemas.openxmlformats.org/officeDocument/2006/relationships/footer" Target="footer17.xml"/><Relationship Id="rId73" Type="http://schemas.openxmlformats.org/officeDocument/2006/relationships/header" Target="header19.xml"/><Relationship Id="rId78"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image" Target="media/image14.png"/><Relationship Id="rId56" Type="http://schemas.openxmlformats.org/officeDocument/2006/relationships/footer" Target="footer15.xml"/><Relationship Id="rId64" Type="http://schemas.openxmlformats.org/officeDocument/2006/relationships/footer" Target="footer16.xml"/><Relationship Id="rId69" Type="http://schemas.openxmlformats.org/officeDocument/2006/relationships/chart" Target="charts/chart6.xml"/><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image" Target="media/image2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footer" Target="footer14.xml"/><Relationship Id="rId62" Type="http://schemas.openxmlformats.org/officeDocument/2006/relationships/header" Target="header16.xml"/><Relationship Id="rId70" Type="http://schemas.openxmlformats.org/officeDocument/2006/relationships/image" Target="media/image22.png"/><Relationship Id="rId75" Type="http://schemas.openxmlformats.org/officeDocument/2006/relationships/footer" Target="footer19.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81DC-4436-8C55-3ED3445AAC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Lithuania</c:v>
                </c:pt>
                <c:pt idx="1">
                  <c:v>EU 28</c:v>
                </c:pt>
              </c:strCache>
            </c:strRef>
          </c:cat>
          <c:val>
            <c:numRef>
              <c:f>'ETS ESD share by MS'!$B$9:$B$10</c:f>
              <c:numCache>
                <c:formatCode>0%</c:formatCode>
                <c:ptCount val="2"/>
                <c:pt idx="0">
                  <c:v>0.69326780229520313</c:v>
                </c:pt>
                <c:pt idx="1">
                  <c:v>0.5971521941557083</c:v>
                </c:pt>
              </c:numCache>
            </c:numRef>
          </c:val>
          <c:extLst xmlns:c16r2="http://schemas.microsoft.com/office/drawing/2015/06/chart">
            <c:ext xmlns:c16="http://schemas.microsoft.com/office/drawing/2014/chart" uri="{C3380CC4-5D6E-409C-BE32-E72D297353CC}">
              <c16:uniqueId val="{00000002-81DC-4436-8C55-3ED3445AAC88}"/>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81DC-4436-8C55-3ED3445AAC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Lithuania</c:v>
                </c:pt>
                <c:pt idx="1">
                  <c:v>EU 28</c:v>
                </c:pt>
              </c:strCache>
            </c:strRef>
          </c:cat>
          <c:val>
            <c:numRef>
              <c:f>'ETS ESD share by MS'!$C$9:$C$10</c:f>
              <c:numCache>
                <c:formatCode>0%</c:formatCode>
                <c:ptCount val="2"/>
                <c:pt idx="0">
                  <c:v>0.30673219770479693</c:v>
                </c:pt>
                <c:pt idx="1">
                  <c:v>0.40284780584429175</c:v>
                </c:pt>
              </c:numCache>
            </c:numRef>
          </c:val>
          <c:extLst xmlns:c16r2="http://schemas.microsoft.com/office/drawing/2015/06/chart">
            <c:ext xmlns:c16="http://schemas.microsoft.com/office/drawing/2014/chart" uri="{C3380CC4-5D6E-409C-BE32-E72D297353CC}">
              <c16:uniqueId val="{00000005-81DC-4436-8C55-3ED3445AAC88}"/>
            </c:ext>
          </c:extLst>
        </c:ser>
        <c:dLbls>
          <c:dLblPos val="ctr"/>
          <c:showLegendKey val="0"/>
          <c:showVal val="1"/>
          <c:showCatName val="0"/>
          <c:showSerName val="0"/>
          <c:showPercent val="0"/>
          <c:showBubbleSize val="0"/>
        </c:dLbls>
        <c:gapWidth val="98"/>
        <c:overlap val="100"/>
        <c:axId val="85332352"/>
        <c:axId val="85333888"/>
      </c:barChart>
      <c:catAx>
        <c:axId val="85332352"/>
        <c:scaling>
          <c:orientation val="minMax"/>
        </c:scaling>
        <c:delete val="0"/>
        <c:axPos val="b"/>
        <c:numFmt formatCode="General" sourceLinked="0"/>
        <c:majorTickMark val="out"/>
        <c:minorTickMark val="none"/>
        <c:tickLblPos val="nextTo"/>
        <c:crossAx val="85333888"/>
        <c:crosses val="autoZero"/>
        <c:auto val="1"/>
        <c:lblAlgn val="ctr"/>
        <c:lblOffset val="100"/>
        <c:noMultiLvlLbl val="0"/>
      </c:catAx>
      <c:valAx>
        <c:axId val="85333888"/>
        <c:scaling>
          <c:orientation val="minMax"/>
        </c:scaling>
        <c:delete val="0"/>
        <c:axPos val="l"/>
        <c:majorGridlines/>
        <c:numFmt formatCode="0%" sourceLinked="1"/>
        <c:majorTickMark val="out"/>
        <c:minorTickMark val="none"/>
        <c:tickLblPos val="nextTo"/>
        <c:crossAx val="85332352"/>
        <c:crosses val="autoZero"/>
        <c:crossBetween val="between"/>
        <c:majorUnit val="0.2"/>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9C89-4C1D-A05F-35D1CAF1D5C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Luxembourg</c:v>
                </c:pt>
                <c:pt idx="1">
                  <c:v>EU 28</c:v>
                </c:pt>
              </c:strCache>
            </c:strRef>
          </c:cat>
          <c:val>
            <c:numRef>
              <c:f>'ETS ESD share by MS'!$B$9:$B$10</c:f>
              <c:numCache>
                <c:formatCode>0%</c:formatCode>
                <c:ptCount val="2"/>
                <c:pt idx="0">
                  <c:v>0.8500839667403951</c:v>
                </c:pt>
                <c:pt idx="1">
                  <c:v>0.5971521941557083</c:v>
                </c:pt>
              </c:numCache>
            </c:numRef>
          </c:val>
          <c:extLst xmlns:c16r2="http://schemas.microsoft.com/office/drawing/2015/06/chart">
            <c:ext xmlns:c16="http://schemas.microsoft.com/office/drawing/2014/chart" uri="{C3380CC4-5D6E-409C-BE32-E72D297353CC}">
              <c16:uniqueId val="{00000002-9C89-4C1D-A05F-35D1CAF1D5CD}"/>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9C89-4C1D-A05F-35D1CAF1D5C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Luxembourg</c:v>
                </c:pt>
                <c:pt idx="1">
                  <c:v>EU 28</c:v>
                </c:pt>
              </c:strCache>
            </c:strRef>
          </c:cat>
          <c:val>
            <c:numRef>
              <c:f>'ETS ESD share by MS'!$C$9:$C$10</c:f>
              <c:numCache>
                <c:formatCode>0%</c:formatCode>
                <c:ptCount val="2"/>
                <c:pt idx="0">
                  <c:v>0.14991603325960481</c:v>
                </c:pt>
                <c:pt idx="1">
                  <c:v>0.40284780584429175</c:v>
                </c:pt>
              </c:numCache>
            </c:numRef>
          </c:val>
          <c:extLst xmlns:c16r2="http://schemas.microsoft.com/office/drawing/2015/06/chart">
            <c:ext xmlns:c16="http://schemas.microsoft.com/office/drawing/2014/chart" uri="{C3380CC4-5D6E-409C-BE32-E72D297353CC}">
              <c16:uniqueId val="{00000005-9C89-4C1D-A05F-35D1CAF1D5CD}"/>
            </c:ext>
          </c:extLst>
        </c:ser>
        <c:dLbls>
          <c:dLblPos val="ctr"/>
          <c:showLegendKey val="0"/>
          <c:showVal val="1"/>
          <c:showCatName val="0"/>
          <c:showSerName val="0"/>
          <c:showPercent val="0"/>
          <c:showBubbleSize val="0"/>
        </c:dLbls>
        <c:gapWidth val="98"/>
        <c:overlap val="100"/>
        <c:axId val="85801216"/>
        <c:axId val="85811200"/>
      </c:barChart>
      <c:catAx>
        <c:axId val="85801216"/>
        <c:scaling>
          <c:orientation val="minMax"/>
        </c:scaling>
        <c:delete val="0"/>
        <c:axPos val="b"/>
        <c:numFmt formatCode="General" sourceLinked="0"/>
        <c:majorTickMark val="out"/>
        <c:minorTickMark val="none"/>
        <c:tickLblPos val="nextTo"/>
        <c:crossAx val="85811200"/>
        <c:crosses val="autoZero"/>
        <c:auto val="1"/>
        <c:lblAlgn val="ctr"/>
        <c:lblOffset val="100"/>
        <c:noMultiLvlLbl val="0"/>
      </c:catAx>
      <c:valAx>
        <c:axId val="85811200"/>
        <c:scaling>
          <c:orientation val="minMax"/>
        </c:scaling>
        <c:delete val="0"/>
        <c:axPos val="l"/>
        <c:majorGridlines/>
        <c:numFmt formatCode="0%" sourceLinked="1"/>
        <c:majorTickMark val="out"/>
        <c:minorTickMark val="none"/>
        <c:tickLblPos val="nextTo"/>
        <c:crossAx val="85801216"/>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2D6D-41D5-BE4C-CC299705A4A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Malta</c:v>
                </c:pt>
                <c:pt idx="1">
                  <c:v>EU 28</c:v>
                </c:pt>
              </c:strCache>
            </c:strRef>
          </c:cat>
          <c:val>
            <c:numRef>
              <c:f>'ETS ESD share by MS'!$B$9:$B$10</c:f>
              <c:numCache>
                <c:formatCode>0%</c:formatCode>
                <c:ptCount val="2"/>
                <c:pt idx="0">
                  <c:v>0.69650239273037295</c:v>
                </c:pt>
                <c:pt idx="1">
                  <c:v>0.5971521941557083</c:v>
                </c:pt>
              </c:numCache>
            </c:numRef>
          </c:val>
          <c:extLst xmlns:c16r2="http://schemas.microsoft.com/office/drawing/2015/06/chart">
            <c:ext xmlns:c16="http://schemas.microsoft.com/office/drawing/2014/chart" uri="{C3380CC4-5D6E-409C-BE32-E72D297353CC}">
              <c16:uniqueId val="{00000002-2D6D-41D5-BE4C-CC299705A4AD}"/>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2D6D-41D5-BE4C-CC299705A4A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Malta</c:v>
                </c:pt>
                <c:pt idx="1">
                  <c:v>EU 28</c:v>
                </c:pt>
              </c:strCache>
            </c:strRef>
          </c:cat>
          <c:val>
            <c:numRef>
              <c:f>'ETS ESD share by MS'!$C$9:$C$10</c:f>
              <c:numCache>
                <c:formatCode>0%</c:formatCode>
                <c:ptCount val="2"/>
                <c:pt idx="0">
                  <c:v>0.30349760726962705</c:v>
                </c:pt>
                <c:pt idx="1">
                  <c:v>0.40284780584429175</c:v>
                </c:pt>
              </c:numCache>
            </c:numRef>
          </c:val>
          <c:extLst xmlns:c16r2="http://schemas.microsoft.com/office/drawing/2015/06/chart">
            <c:ext xmlns:c16="http://schemas.microsoft.com/office/drawing/2014/chart" uri="{C3380CC4-5D6E-409C-BE32-E72D297353CC}">
              <c16:uniqueId val="{00000005-2D6D-41D5-BE4C-CC299705A4AD}"/>
            </c:ext>
          </c:extLst>
        </c:ser>
        <c:dLbls>
          <c:dLblPos val="ctr"/>
          <c:showLegendKey val="0"/>
          <c:showVal val="1"/>
          <c:showCatName val="0"/>
          <c:showSerName val="0"/>
          <c:showPercent val="0"/>
          <c:showBubbleSize val="0"/>
        </c:dLbls>
        <c:gapWidth val="98"/>
        <c:overlap val="100"/>
        <c:axId val="86262912"/>
        <c:axId val="86264448"/>
      </c:barChart>
      <c:catAx>
        <c:axId val="86262912"/>
        <c:scaling>
          <c:orientation val="minMax"/>
        </c:scaling>
        <c:delete val="0"/>
        <c:axPos val="b"/>
        <c:numFmt formatCode="General" sourceLinked="0"/>
        <c:majorTickMark val="out"/>
        <c:minorTickMark val="none"/>
        <c:tickLblPos val="nextTo"/>
        <c:crossAx val="86264448"/>
        <c:crosses val="autoZero"/>
        <c:auto val="1"/>
        <c:lblAlgn val="ctr"/>
        <c:lblOffset val="100"/>
        <c:noMultiLvlLbl val="0"/>
      </c:catAx>
      <c:valAx>
        <c:axId val="86264448"/>
        <c:scaling>
          <c:orientation val="minMax"/>
        </c:scaling>
        <c:delete val="0"/>
        <c:axPos val="l"/>
        <c:majorGridlines/>
        <c:numFmt formatCode="0%" sourceLinked="1"/>
        <c:majorTickMark val="out"/>
        <c:minorTickMark val="none"/>
        <c:tickLblPos val="nextTo"/>
        <c:crossAx val="86262912"/>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C0BB-41B4-9912-35C9BC83C66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Netherlands</c:v>
                </c:pt>
                <c:pt idx="1">
                  <c:v>EU 28</c:v>
                </c:pt>
              </c:strCache>
            </c:strRef>
          </c:cat>
          <c:val>
            <c:numRef>
              <c:f>'ETS ESD share by MS'!$B$9:$B$10</c:f>
              <c:numCache>
                <c:formatCode>0%</c:formatCode>
                <c:ptCount val="2"/>
                <c:pt idx="0">
                  <c:v>0.51909573322082903</c:v>
                </c:pt>
                <c:pt idx="1">
                  <c:v>0.5971521941557083</c:v>
                </c:pt>
              </c:numCache>
            </c:numRef>
          </c:val>
          <c:extLst xmlns:c16r2="http://schemas.microsoft.com/office/drawing/2015/06/chart">
            <c:ext xmlns:c16="http://schemas.microsoft.com/office/drawing/2014/chart" uri="{C3380CC4-5D6E-409C-BE32-E72D297353CC}">
              <c16:uniqueId val="{00000002-C0BB-41B4-9912-35C9BC83C66A}"/>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C0BB-41B4-9912-35C9BC83C66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Netherlands</c:v>
                </c:pt>
                <c:pt idx="1">
                  <c:v>EU 28</c:v>
                </c:pt>
              </c:strCache>
            </c:strRef>
          </c:cat>
          <c:val>
            <c:numRef>
              <c:f>'ETS ESD share by MS'!$C$9:$C$10</c:f>
              <c:numCache>
                <c:formatCode>0%</c:formatCode>
                <c:ptCount val="2"/>
                <c:pt idx="0">
                  <c:v>0.48090426677917097</c:v>
                </c:pt>
                <c:pt idx="1">
                  <c:v>0.40284780584429175</c:v>
                </c:pt>
              </c:numCache>
            </c:numRef>
          </c:val>
          <c:extLst xmlns:c16r2="http://schemas.microsoft.com/office/drawing/2015/06/chart">
            <c:ext xmlns:c16="http://schemas.microsoft.com/office/drawing/2014/chart" uri="{C3380CC4-5D6E-409C-BE32-E72D297353CC}">
              <c16:uniqueId val="{00000005-C0BB-41B4-9912-35C9BC83C66A}"/>
            </c:ext>
          </c:extLst>
        </c:ser>
        <c:dLbls>
          <c:dLblPos val="ctr"/>
          <c:showLegendKey val="0"/>
          <c:showVal val="1"/>
          <c:showCatName val="0"/>
          <c:showSerName val="0"/>
          <c:showPercent val="0"/>
          <c:showBubbleSize val="0"/>
        </c:dLbls>
        <c:gapWidth val="98"/>
        <c:overlap val="100"/>
        <c:axId val="86767872"/>
        <c:axId val="87105536"/>
      </c:barChart>
      <c:catAx>
        <c:axId val="86767872"/>
        <c:scaling>
          <c:orientation val="minMax"/>
        </c:scaling>
        <c:delete val="0"/>
        <c:axPos val="b"/>
        <c:numFmt formatCode="General" sourceLinked="0"/>
        <c:majorTickMark val="out"/>
        <c:minorTickMark val="none"/>
        <c:tickLblPos val="nextTo"/>
        <c:crossAx val="87105536"/>
        <c:crosses val="autoZero"/>
        <c:auto val="1"/>
        <c:lblAlgn val="ctr"/>
        <c:lblOffset val="100"/>
        <c:noMultiLvlLbl val="0"/>
      </c:catAx>
      <c:valAx>
        <c:axId val="87105536"/>
        <c:scaling>
          <c:orientation val="minMax"/>
        </c:scaling>
        <c:delete val="0"/>
        <c:axPos val="l"/>
        <c:majorGridlines/>
        <c:numFmt formatCode="0%" sourceLinked="1"/>
        <c:majorTickMark val="out"/>
        <c:minorTickMark val="none"/>
        <c:tickLblPos val="nextTo"/>
        <c:crossAx val="86767872"/>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D2E1-424D-B83A-6802AC33515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Poland</c:v>
                </c:pt>
                <c:pt idx="1">
                  <c:v>EU 28</c:v>
                </c:pt>
              </c:strCache>
            </c:strRef>
          </c:cat>
          <c:val>
            <c:numRef>
              <c:f>'ETS ESD share by MS'!$B$9:$B$10</c:f>
              <c:numCache>
                <c:formatCode>0%</c:formatCode>
                <c:ptCount val="2"/>
                <c:pt idx="0">
                  <c:v>0.50077263237692937</c:v>
                </c:pt>
                <c:pt idx="1">
                  <c:v>0.5971521941557083</c:v>
                </c:pt>
              </c:numCache>
            </c:numRef>
          </c:val>
          <c:extLst xmlns:c16r2="http://schemas.microsoft.com/office/drawing/2015/06/chart">
            <c:ext xmlns:c16="http://schemas.microsoft.com/office/drawing/2014/chart" uri="{C3380CC4-5D6E-409C-BE32-E72D297353CC}">
              <c16:uniqueId val="{00000002-D2E1-424D-B83A-6802AC33515A}"/>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D2E1-424D-B83A-6802AC33515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Poland</c:v>
                </c:pt>
                <c:pt idx="1">
                  <c:v>EU 28</c:v>
                </c:pt>
              </c:strCache>
            </c:strRef>
          </c:cat>
          <c:val>
            <c:numRef>
              <c:f>'ETS ESD share by MS'!$C$9:$C$10</c:f>
              <c:numCache>
                <c:formatCode>0%</c:formatCode>
                <c:ptCount val="2"/>
                <c:pt idx="0">
                  <c:v>0.49922736762307057</c:v>
                </c:pt>
                <c:pt idx="1">
                  <c:v>0.40284780584429175</c:v>
                </c:pt>
              </c:numCache>
            </c:numRef>
          </c:val>
          <c:extLst xmlns:c16r2="http://schemas.microsoft.com/office/drawing/2015/06/chart">
            <c:ext xmlns:c16="http://schemas.microsoft.com/office/drawing/2014/chart" uri="{C3380CC4-5D6E-409C-BE32-E72D297353CC}">
              <c16:uniqueId val="{00000005-D2E1-424D-B83A-6802AC33515A}"/>
            </c:ext>
          </c:extLst>
        </c:ser>
        <c:dLbls>
          <c:dLblPos val="ctr"/>
          <c:showLegendKey val="0"/>
          <c:showVal val="1"/>
          <c:showCatName val="0"/>
          <c:showSerName val="0"/>
          <c:showPercent val="0"/>
          <c:showBubbleSize val="0"/>
        </c:dLbls>
        <c:gapWidth val="98"/>
        <c:overlap val="100"/>
        <c:axId val="87221376"/>
        <c:axId val="87222912"/>
      </c:barChart>
      <c:catAx>
        <c:axId val="87221376"/>
        <c:scaling>
          <c:orientation val="minMax"/>
        </c:scaling>
        <c:delete val="0"/>
        <c:axPos val="b"/>
        <c:numFmt formatCode="General" sourceLinked="0"/>
        <c:majorTickMark val="out"/>
        <c:minorTickMark val="none"/>
        <c:tickLblPos val="nextTo"/>
        <c:crossAx val="87222912"/>
        <c:crosses val="autoZero"/>
        <c:auto val="1"/>
        <c:lblAlgn val="ctr"/>
        <c:lblOffset val="100"/>
        <c:noMultiLvlLbl val="0"/>
      </c:catAx>
      <c:valAx>
        <c:axId val="87222912"/>
        <c:scaling>
          <c:orientation val="minMax"/>
        </c:scaling>
        <c:delete val="0"/>
        <c:axPos val="l"/>
        <c:majorGridlines/>
        <c:numFmt formatCode="0%" sourceLinked="1"/>
        <c:majorTickMark val="out"/>
        <c:minorTickMark val="none"/>
        <c:tickLblPos val="nextTo"/>
        <c:crossAx val="87221376"/>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66E6-4696-9818-FF42DA902F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Portugal</c:v>
                </c:pt>
                <c:pt idx="1">
                  <c:v>EU 28</c:v>
                </c:pt>
              </c:strCache>
            </c:strRef>
          </c:cat>
          <c:val>
            <c:numRef>
              <c:f>'ETS ESD share by MS'!$B$9:$B$10</c:f>
              <c:numCache>
                <c:formatCode>0%</c:formatCode>
                <c:ptCount val="2"/>
                <c:pt idx="0">
                  <c:v>0.61755790740762695</c:v>
                </c:pt>
                <c:pt idx="1">
                  <c:v>0.5971521941557083</c:v>
                </c:pt>
              </c:numCache>
            </c:numRef>
          </c:val>
          <c:extLst xmlns:c16r2="http://schemas.microsoft.com/office/drawing/2015/06/chart">
            <c:ext xmlns:c16="http://schemas.microsoft.com/office/drawing/2014/chart" uri="{C3380CC4-5D6E-409C-BE32-E72D297353CC}">
              <c16:uniqueId val="{00000002-66E6-4696-9818-FF42DA902F88}"/>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66E6-4696-9818-FF42DA902F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Portugal</c:v>
                </c:pt>
                <c:pt idx="1">
                  <c:v>EU 28</c:v>
                </c:pt>
              </c:strCache>
            </c:strRef>
          </c:cat>
          <c:val>
            <c:numRef>
              <c:f>'ETS ESD share by MS'!$C$9:$C$10</c:f>
              <c:numCache>
                <c:formatCode>0%</c:formatCode>
                <c:ptCount val="2"/>
                <c:pt idx="0">
                  <c:v>0.38244209259237311</c:v>
                </c:pt>
                <c:pt idx="1">
                  <c:v>0.40284780584429175</c:v>
                </c:pt>
              </c:numCache>
            </c:numRef>
          </c:val>
          <c:extLst xmlns:c16r2="http://schemas.microsoft.com/office/drawing/2015/06/chart">
            <c:ext xmlns:c16="http://schemas.microsoft.com/office/drawing/2014/chart" uri="{C3380CC4-5D6E-409C-BE32-E72D297353CC}">
              <c16:uniqueId val="{00000005-66E6-4696-9818-FF42DA902F88}"/>
            </c:ext>
          </c:extLst>
        </c:ser>
        <c:dLbls>
          <c:dLblPos val="ctr"/>
          <c:showLegendKey val="0"/>
          <c:showVal val="1"/>
          <c:showCatName val="0"/>
          <c:showSerName val="0"/>
          <c:showPercent val="0"/>
          <c:showBubbleSize val="0"/>
        </c:dLbls>
        <c:gapWidth val="98"/>
        <c:overlap val="100"/>
        <c:axId val="87734528"/>
        <c:axId val="87638016"/>
      </c:barChart>
      <c:catAx>
        <c:axId val="87734528"/>
        <c:scaling>
          <c:orientation val="minMax"/>
        </c:scaling>
        <c:delete val="0"/>
        <c:axPos val="b"/>
        <c:numFmt formatCode="General" sourceLinked="0"/>
        <c:majorTickMark val="out"/>
        <c:minorTickMark val="none"/>
        <c:tickLblPos val="nextTo"/>
        <c:crossAx val="87638016"/>
        <c:crosses val="autoZero"/>
        <c:auto val="1"/>
        <c:lblAlgn val="ctr"/>
        <c:lblOffset val="100"/>
        <c:noMultiLvlLbl val="0"/>
      </c:catAx>
      <c:valAx>
        <c:axId val="87638016"/>
        <c:scaling>
          <c:orientation val="minMax"/>
        </c:scaling>
        <c:delete val="0"/>
        <c:axPos val="l"/>
        <c:majorGridlines/>
        <c:numFmt formatCode="0%" sourceLinked="1"/>
        <c:majorTickMark val="out"/>
        <c:minorTickMark val="none"/>
        <c:tickLblPos val="nextTo"/>
        <c:crossAx val="8773452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11</Pages>
  <Words>1446</Words>
  <Characters>7710</Characters>
  <Application>Microsoft Office Word</Application>
  <DocSecurity>0</DocSecurity>
  <Lines>197</Lines>
  <Paragraphs>78</Paragraphs>
  <ScaleCrop>false</ScaleCrop>
  <Manager/>
  <Company/>
  <LinksUpToDate>false</LinksUpToDate>
  <CharactersWithSpaces>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19</cp:revision>
  <dcterms:created xsi:type="dcterms:W3CDTF">2018-10-16T15:12:00Z</dcterms:created>
  <dcterms:modified xsi:type="dcterms:W3CDTF">2018-10-26T10:13:00Z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