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5C9C63C-6EDC-493B-B122-1EA18427F728" style="width:450.75pt;height:415.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89"/>
          <w:cols w:space="720"/>
          <w:docGrid w:linePitch="360"/>
        </w:sectPr>
      </w:pPr>
    </w:p>
    <w:p>
      <w:pPr>
        <w:pStyle w:val="Heading2"/>
        <w:rPr>
          <w:i/>
          <w:noProof/>
          <w:sz w:val="56"/>
        </w:rPr>
      </w:pPr>
      <w:bookmarkStart w:id="1" w:name="_GoBack"/>
      <w:bookmarkEnd w:id="1"/>
    </w:p>
    <w:p>
      <w:pPr>
        <w:pStyle w:val="Heading2"/>
        <w:rPr>
          <w:i/>
          <w:noProof/>
          <w:sz w:val="56"/>
        </w:rPr>
      </w:pPr>
    </w:p>
    <w:p>
      <w:pPr>
        <w:pStyle w:val="Heading2"/>
        <w:rPr>
          <w:i/>
          <w:noProof/>
          <w:sz w:val="56"/>
        </w:rPr>
      </w:pPr>
    </w:p>
    <w:p>
      <w:pPr>
        <w:pStyle w:val="Heading2"/>
        <w:rPr>
          <w:i/>
          <w:noProof/>
          <w:sz w:val="56"/>
        </w:rPr>
      </w:pPr>
    </w:p>
    <w:p>
      <w:pPr>
        <w:pStyle w:val="Heading2"/>
        <w:rPr>
          <w:i/>
          <w:noProof/>
          <w:sz w:val="32"/>
        </w:rPr>
      </w:pPr>
      <w:r>
        <w:rPr>
          <w:i/>
          <w:noProof/>
          <w:sz w:val="56"/>
        </w:rPr>
        <w:t>Part 2: Other technical information</w:t>
      </w:r>
    </w:p>
    <w:p>
      <w:pPr>
        <w:rPr>
          <w:noProof/>
        </w:rPr>
      </w:pPr>
    </w:p>
    <w:p>
      <w:pPr>
        <w:rPr>
          <w:noProof/>
        </w:rPr>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pPr>
    </w:p>
    <w:p>
      <w:pPr>
        <w:pStyle w:val="Heading3"/>
        <w:rPr>
          <w:noProof/>
          <w:color w:val="365F91" w:themeColor="accent1" w:themeShade="BF"/>
          <w:sz w:val="28"/>
        </w:rPr>
      </w:pPr>
      <w:bookmarkStart w:id="2" w:name="_Toc496781108"/>
      <w:bookmarkStart w:id="3" w:name="_Toc496864243"/>
      <w:bookmarkStart w:id="4" w:name="_Toc523734011"/>
      <w:bookmarkStart w:id="5" w:name="_Toc527446991"/>
      <w:bookmarkStart w:id="6" w:name="_Toc527447532"/>
      <w:r>
        <w:rPr>
          <w:noProof/>
          <w:color w:val="365F91" w:themeColor="accent1" w:themeShade="BF"/>
          <w:sz w:val="28"/>
        </w:rPr>
        <w:t>1. Overview of EU climate targets</w:t>
      </w:r>
      <w:bookmarkEnd w:id="2"/>
      <w:bookmarkEnd w:id="3"/>
      <w:bookmarkEnd w:id="4"/>
      <w:bookmarkEnd w:id="5"/>
      <w:bookmarkEnd w:id="6"/>
    </w:p>
    <w:p>
      <w:pPr>
        <w:pStyle w:val="Caption"/>
        <w:rPr>
          <w:rStyle w:val="Strong"/>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Overview of EU climate targets.</w:t>
      </w:r>
    </w:p>
    <w:tbl>
      <w:tblPr>
        <w:tblW w:w="4840" w:type="pct"/>
        <w:tblInd w:w="212" w:type="dxa"/>
        <w:tblLook w:val="04A0" w:firstRow="1" w:lastRow="0" w:firstColumn="1" w:lastColumn="0" w:noHBand="0" w:noVBand="1"/>
      </w:tblPr>
      <w:tblGrid>
        <w:gridCol w:w="1324"/>
        <w:gridCol w:w="1459"/>
        <w:gridCol w:w="1057"/>
        <w:gridCol w:w="1825"/>
        <w:gridCol w:w="2034"/>
        <w:gridCol w:w="2095"/>
        <w:gridCol w:w="2150"/>
        <w:gridCol w:w="1819"/>
      </w:tblGrid>
      <w:tr>
        <w:trPr>
          <w:trHeight w:val="508"/>
          <w:tblHeader/>
        </w:trPr>
        <w:tc>
          <w:tcPr>
            <w:tcW w:w="481" w:type="pct"/>
            <w:tcBorders>
              <w:top w:val="single" w:sz="8" w:space="0" w:color="auto"/>
              <w:left w:val="single" w:sz="8" w:space="0" w:color="auto"/>
              <w:bottom w:val="single" w:sz="8" w:space="0" w:color="auto"/>
              <w:right w:val="single" w:sz="8" w:space="0" w:color="auto"/>
            </w:tcBorders>
            <w:shd w:val="clear" w:color="auto" w:fill="548DD4" w:themeFill="text2" w:themeFillTint="99"/>
            <w:vAlign w:val="center"/>
            <w:hideMark/>
          </w:tcPr>
          <w:p>
            <w:pPr>
              <w:spacing w:after="0"/>
              <w:jc w:val="center"/>
              <w:rPr>
                <w:b/>
                <w:bCs/>
                <w:noProof/>
                <w:color w:val="000000"/>
                <w:sz w:val="20"/>
                <w:szCs w:val="20"/>
                <w:lang w:eastAsia="en-GB"/>
              </w:rPr>
            </w:pPr>
            <w:r>
              <w:rPr>
                <w:b/>
                <w:bCs/>
                <w:noProof/>
                <w:color w:val="000000"/>
                <w:sz w:val="20"/>
                <w:szCs w:val="20"/>
                <w:lang w:eastAsia="en-GB"/>
              </w:rPr>
              <w:t> </w:t>
            </w:r>
          </w:p>
        </w:tc>
        <w:tc>
          <w:tcPr>
            <w:tcW w:w="1577" w:type="pct"/>
            <w:gridSpan w:val="3"/>
            <w:tcBorders>
              <w:top w:val="single" w:sz="8" w:space="0" w:color="auto"/>
              <w:left w:val="nil"/>
              <w:bottom w:val="single" w:sz="8" w:space="0" w:color="auto"/>
              <w:right w:val="single" w:sz="8" w:space="0" w:color="000000"/>
            </w:tcBorders>
            <w:shd w:val="clear" w:color="auto" w:fill="548DD4" w:themeFill="text2" w:themeFillTint="99"/>
            <w:vAlign w:val="center"/>
            <w:hideMark/>
          </w:tcPr>
          <w:p>
            <w:pPr>
              <w:spacing w:after="0"/>
              <w:jc w:val="center"/>
              <w:rPr>
                <w:b/>
                <w:bCs/>
                <w:noProof/>
                <w:color w:val="FFFFFF" w:themeColor="background1"/>
                <w:szCs w:val="20"/>
                <w:lang w:eastAsia="en-GB"/>
              </w:rPr>
            </w:pPr>
            <w:r>
              <w:rPr>
                <w:b/>
                <w:bCs/>
                <w:noProof/>
                <w:color w:val="FFFFFF" w:themeColor="background1"/>
                <w:szCs w:val="20"/>
                <w:lang w:eastAsia="en-GB"/>
              </w:rPr>
              <w:t>International commitments</w:t>
            </w:r>
          </w:p>
        </w:tc>
        <w:tc>
          <w:tcPr>
            <w:tcW w:w="2942" w:type="pct"/>
            <w:gridSpan w:val="4"/>
            <w:tcBorders>
              <w:top w:val="single" w:sz="8" w:space="0" w:color="auto"/>
              <w:left w:val="nil"/>
              <w:bottom w:val="single" w:sz="8" w:space="0" w:color="auto"/>
              <w:right w:val="single" w:sz="8" w:space="0" w:color="000000"/>
            </w:tcBorders>
            <w:shd w:val="clear" w:color="auto" w:fill="548DD4" w:themeFill="text2" w:themeFillTint="99"/>
            <w:vAlign w:val="center"/>
            <w:hideMark/>
          </w:tcPr>
          <w:p>
            <w:pPr>
              <w:spacing w:after="0"/>
              <w:jc w:val="center"/>
              <w:rPr>
                <w:b/>
                <w:bCs/>
                <w:noProof/>
                <w:color w:val="FFFFFF" w:themeColor="background1"/>
                <w:szCs w:val="20"/>
                <w:lang w:eastAsia="en-GB"/>
              </w:rPr>
            </w:pPr>
            <w:r>
              <w:rPr>
                <w:b/>
                <w:bCs/>
                <w:noProof/>
                <w:color w:val="FFFFFF" w:themeColor="background1"/>
                <w:szCs w:val="20"/>
                <w:lang w:eastAsia="en-GB"/>
              </w:rPr>
              <w:t>EU domestic legislation</w:t>
            </w:r>
          </w:p>
        </w:tc>
      </w:tr>
      <w:tr>
        <w:trPr>
          <w:trHeight w:val="508"/>
          <w:tblHeader/>
        </w:trPr>
        <w:tc>
          <w:tcPr>
            <w:tcW w:w="481" w:type="pct"/>
            <w:vMerge w:val="restart"/>
            <w:tcBorders>
              <w:top w:val="nil"/>
              <w:left w:val="single" w:sz="8" w:space="0" w:color="auto"/>
              <w:bottom w:val="single" w:sz="8" w:space="0" w:color="000000"/>
              <w:right w:val="single" w:sz="8" w:space="0" w:color="auto"/>
            </w:tcBorders>
            <w:shd w:val="clear" w:color="auto" w:fill="95B3D7" w:themeFill="accent1" w:themeFillTint="99"/>
            <w:vAlign w:val="center"/>
            <w:hideMark/>
          </w:tcPr>
          <w:p>
            <w:pPr>
              <w:spacing w:after="0"/>
              <w:jc w:val="center"/>
              <w:rPr>
                <w:b/>
                <w:bCs/>
                <w:noProof/>
                <w:color w:val="000000"/>
                <w:sz w:val="20"/>
                <w:szCs w:val="20"/>
                <w:lang w:eastAsia="en-GB"/>
              </w:rPr>
            </w:pPr>
            <w:r>
              <w:rPr>
                <w:b/>
                <w:bCs/>
                <w:noProof/>
                <w:color w:val="000000"/>
                <w:sz w:val="20"/>
                <w:szCs w:val="20"/>
                <w:lang w:eastAsia="en-GB"/>
              </w:rPr>
              <w:t> </w:t>
            </w:r>
          </w:p>
        </w:tc>
        <w:tc>
          <w:tcPr>
            <w:tcW w:w="914" w:type="pct"/>
            <w:gridSpan w:val="2"/>
            <w:vMerge w:val="restart"/>
            <w:tcBorders>
              <w:top w:val="single" w:sz="8" w:space="0" w:color="auto"/>
              <w:left w:val="single" w:sz="8" w:space="0" w:color="auto"/>
              <w:bottom w:val="single" w:sz="8" w:space="0" w:color="000000"/>
              <w:right w:val="single" w:sz="8" w:space="0" w:color="000000"/>
            </w:tcBorders>
            <w:shd w:val="clear" w:color="auto" w:fill="95B3D7" w:themeFill="accent1" w:themeFillTint="99"/>
            <w:vAlign w:val="center"/>
            <w:hideMark/>
          </w:tcPr>
          <w:p>
            <w:pPr>
              <w:spacing w:after="0"/>
              <w:jc w:val="center"/>
              <w:rPr>
                <w:b/>
                <w:bCs/>
                <w:noProof/>
                <w:color w:val="000000"/>
                <w:sz w:val="20"/>
                <w:szCs w:val="20"/>
                <w:lang w:eastAsia="en-GB"/>
              </w:rPr>
            </w:pPr>
            <w:r>
              <w:rPr>
                <w:b/>
                <w:bCs/>
                <w:noProof/>
                <w:color w:val="000000"/>
                <w:sz w:val="20"/>
                <w:szCs w:val="20"/>
                <w:lang w:eastAsia="en-GB"/>
              </w:rPr>
              <w:t>Kyoto Protocol</w:t>
            </w:r>
          </w:p>
        </w:tc>
        <w:tc>
          <w:tcPr>
            <w:tcW w:w="663" w:type="pct"/>
            <w:vMerge w:val="restart"/>
            <w:tcBorders>
              <w:top w:val="nil"/>
              <w:left w:val="single" w:sz="8" w:space="0" w:color="auto"/>
              <w:bottom w:val="single" w:sz="8" w:space="0" w:color="000000"/>
              <w:right w:val="single" w:sz="8" w:space="0" w:color="auto"/>
            </w:tcBorders>
            <w:shd w:val="clear" w:color="auto" w:fill="CCC0D9" w:themeFill="accent4" w:themeFillTint="66"/>
            <w:vAlign w:val="center"/>
            <w:hideMark/>
          </w:tcPr>
          <w:p>
            <w:pPr>
              <w:spacing w:after="0"/>
              <w:jc w:val="center"/>
              <w:rPr>
                <w:b/>
                <w:bCs/>
                <w:noProof/>
                <w:color w:val="000000"/>
                <w:sz w:val="20"/>
                <w:szCs w:val="20"/>
                <w:lang w:eastAsia="en-GB"/>
              </w:rPr>
            </w:pPr>
            <w:r>
              <w:rPr>
                <w:b/>
                <w:bCs/>
                <w:noProof/>
                <w:color w:val="000000"/>
                <w:sz w:val="20"/>
                <w:szCs w:val="20"/>
                <w:lang w:eastAsia="en-GB"/>
              </w:rPr>
              <w:t>Paris Agreement</w:t>
            </w:r>
          </w:p>
        </w:tc>
        <w:tc>
          <w:tcPr>
            <w:tcW w:w="1500" w:type="pct"/>
            <w:gridSpan w:val="2"/>
            <w:tcBorders>
              <w:top w:val="single" w:sz="8" w:space="0" w:color="auto"/>
              <w:left w:val="single" w:sz="8" w:space="0" w:color="auto"/>
              <w:bottom w:val="single" w:sz="8" w:space="0" w:color="auto"/>
              <w:right w:val="single" w:sz="8" w:space="0" w:color="000000"/>
            </w:tcBorders>
            <w:shd w:val="clear" w:color="auto" w:fill="95B3D7" w:themeFill="accent1" w:themeFillTint="99"/>
            <w:vAlign w:val="center"/>
            <w:hideMark/>
          </w:tcPr>
          <w:p>
            <w:pPr>
              <w:spacing w:after="0"/>
              <w:jc w:val="center"/>
              <w:rPr>
                <w:b/>
                <w:bCs/>
                <w:noProof/>
                <w:color w:val="000000"/>
                <w:sz w:val="20"/>
                <w:szCs w:val="20"/>
                <w:lang w:eastAsia="en-GB"/>
              </w:rPr>
            </w:pPr>
            <w:r>
              <w:rPr>
                <w:b/>
                <w:bCs/>
                <w:noProof/>
                <w:color w:val="000000"/>
                <w:sz w:val="20"/>
                <w:szCs w:val="20"/>
                <w:lang w:eastAsia="en-GB"/>
              </w:rPr>
              <w:t>2020 Climate and Energy Package</w:t>
            </w:r>
          </w:p>
        </w:tc>
        <w:tc>
          <w:tcPr>
            <w:tcW w:w="1442" w:type="pct"/>
            <w:gridSpan w:val="2"/>
            <w:tcBorders>
              <w:top w:val="single" w:sz="8" w:space="0" w:color="auto"/>
              <w:left w:val="nil"/>
              <w:bottom w:val="single" w:sz="8" w:space="0" w:color="auto"/>
              <w:right w:val="single" w:sz="8" w:space="0" w:color="000000"/>
            </w:tcBorders>
            <w:shd w:val="clear" w:color="auto" w:fill="CCC0D9" w:themeFill="accent4" w:themeFillTint="66"/>
            <w:vAlign w:val="center"/>
            <w:hideMark/>
          </w:tcPr>
          <w:p>
            <w:pPr>
              <w:spacing w:after="0"/>
              <w:jc w:val="center"/>
              <w:rPr>
                <w:b/>
                <w:bCs/>
                <w:noProof/>
                <w:color w:val="000000"/>
                <w:sz w:val="20"/>
                <w:szCs w:val="20"/>
                <w:lang w:eastAsia="en-GB"/>
              </w:rPr>
            </w:pPr>
            <w:r>
              <w:rPr>
                <w:b/>
                <w:bCs/>
                <w:noProof/>
                <w:color w:val="000000"/>
                <w:sz w:val="20"/>
                <w:szCs w:val="20"/>
                <w:lang w:eastAsia="en-GB"/>
              </w:rPr>
              <w:t>2030 Climate and Energy Framework</w:t>
            </w:r>
          </w:p>
        </w:tc>
      </w:tr>
      <w:tr>
        <w:trPr>
          <w:trHeight w:val="522"/>
          <w:tblHeader/>
        </w:trPr>
        <w:tc>
          <w:tcPr>
            <w:tcW w:w="481" w:type="pct"/>
            <w:vMerge/>
            <w:tcBorders>
              <w:top w:val="nil"/>
              <w:left w:val="single" w:sz="8" w:space="0" w:color="auto"/>
              <w:bottom w:val="single" w:sz="8" w:space="0" w:color="000000"/>
              <w:right w:val="single" w:sz="8" w:space="0" w:color="auto"/>
            </w:tcBorders>
            <w:shd w:val="clear" w:color="auto" w:fill="95B3D7" w:themeFill="accent1" w:themeFillTint="99"/>
            <w:vAlign w:val="center"/>
            <w:hideMark/>
          </w:tcPr>
          <w:p>
            <w:pPr>
              <w:spacing w:after="0"/>
              <w:rPr>
                <w:b/>
                <w:bCs/>
                <w:noProof/>
                <w:color w:val="000000"/>
                <w:sz w:val="20"/>
                <w:szCs w:val="20"/>
                <w:lang w:eastAsia="en-GB"/>
              </w:rPr>
            </w:pPr>
          </w:p>
        </w:tc>
        <w:tc>
          <w:tcPr>
            <w:tcW w:w="914" w:type="pct"/>
            <w:gridSpan w:val="2"/>
            <w:vMerge/>
            <w:tcBorders>
              <w:top w:val="single" w:sz="8" w:space="0" w:color="auto"/>
              <w:left w:val="single" w:sz="8" w:space="0" w:color="auto"/>
              <w:bottom w:val="single" w:sz="8" w:space="0" w:color="000000"/>
              <w:right w:val="single" w:sz="8" w:space="0" w:color="000000"/>
            </w:tcBorders>
            <w:shd w:val="clear" w:color="auto" w:fill="95B3D7" w:themeFill="accent1" w:themeFillTint="99"/>
            <w:vAlign w:val="center"/>
            <w:hideMark/>
          </w:tcPr>
          <w:p>
            <w:pPr>
              <w:spacing w:after="0"/>
              <w:rPr>
                <w:b/>
                <w:bCs/>
                <w:noProof/>
                <w:color w:val="000000"/>
                <w:sz w:val="20"/>
                <w:szCs w:val="20"/>
                <w:lang w:eastAsia="en-GB"/>
              </w:rPr>
            </w:pPr>
          </w:p>
        </w:tc>
        <w:tc>
          <w:tcPr>
            <w:tcW w:w="663" w:type="pct"/>
            <w:vMerge/>
            <w:tcBorders>
              <w:top w:val="nil"/>
              <w:left w:val="single" w:sz="8" w:space="0" w:color="auto"/>
              <w:bottom w:val="single" w:sz="8" w:space="0" w:color="000000"/>
              <w:right w:val="single" w:sz="8" w:space="0" w:color="auto"/>
            </w:tcBorders>
            <w:shd w:val="clear" w:color="auto" w:fill="CCC0D9" w:themeFill="accent4" w:themeFillTint="66"/>
            <w:vAlign w:val="center"/>
            <w:hideMark/>
          </w:tcPr>
          <w:p>
            <w:pPr>
              <w:spacing w:after="0"/>
              <w:rPr>
                <w:b/>
                <w:bCs/>
                <w:noProof/>
                <w:color w:val="000000"/>
                <w:sz w:val="20"/>
                <w:szCs w:val="20"/>
                <w:lang w:eastAsia="en-GB"/>
              </w:rPr>
            </w:pPr>
          </w:p>
        </w:tc>
        <w:tc>
          <w:tcPr>
            <w:tcW w:w="739" w:type="pct"/>
            <w:tcBorders>
              <w:top w:val="nil"/>
              <w:left w:val="nil"/>
              <w:bottom w:val="single" w:sz="8" w:space="0" w:color="auto"/>
              <w:right w:val="single" w:sz="8" w:space="0" w:color="auto"/>
            </w:tcBorders>
            <w:shd w:val="clear" w:color="auto" w:fill="95B3D7" w:themeFill="accent1" w:themeFillTint="99"/>
            <w:vAlign w:val="center"/>
            <w:hideMark/>
          </w:tcPr>
          <w:p>
            <w:pPr>
              <w:spacing w:after="0"/>
              <w:jc w:val="center"/>
              <w:rPr>
                <w:b/>
                <w:bCs/>
                <w:noProof/>
                <w:color w:val="000000"/>
                <w:sz w:val="20"/>
                <w:szCs w:val="20"/>
                <w:lang w:eastAsia="en-GB"/>
              </w:rPr>
            </w:pPr>
            <w:r>
              <w:rPr>
                <w:b/>
                <w:bCs/>
                <w:noProof/>
                <w:color w:val="000000"/>
                <w:sz w:val="20"/>
                <w:szCs w:val="20"/>
                <w:lang w:eastAsia="en-GB"/>
              </w:rPr>
              <w:t>EU ETS</w:t>
            </w:r>
          </w:p>
        </w:tc>
        <w:tc>
          <w:tcPr>
            <w:tcW w:w="761" w:type="pct"/>
            <w:tcBorders>
              <w:top w:val="nil"/>
              <w:left w:val="nil"/>
              <w:bottom w:val="single" w:sz="8" w:space="0" w:color="auto"/>
              <w:right w:val="single" w:sz="8" w:space="0" w:color="auto"/>
            </w:tcBorders>
            <w:shd w:val="clear" w:color="auto" w:fill="95B3D7" w:themeFill="accent1" w:themeFillTint="99"/>
            <w:vAlign w:val="center"/>
            <w:hideMark/>
          </w:tcPr>
          <w:p>
            <w:pPr>
              <w:spacing w:after="0"/>
              <w:jc w:val="center"/>
              <w:rPr>
                <w:b/>
                <w:bCs/>
                <w:noProof/>
                <w:color w:val="000000"/>
                <w:sz w:val="20"/>
                <w:szCs w:val="20"/>
                <w:lang w:eastAsia="en-GB"/>
              </w:rPr>
            </w:pPr>
            <w:r>
              <w:rPr>
                <w:b/>
                <w:bCs/>
                <w:noProof/>
                <w:color w:val="000000"/>
                <w:sz w:val="20"/>
                <w:szCs w:val="20"/>
                <w:lang w:eastAsia="en-GB"/>
              </w:rPr>
              <w:t>Effort Sharing Decision (ESD)</w:t>
            </w:r>
          </w:p>
        </w:tc>
        <w:tc>
          <w:tcPr>
            <w:tcW w:w="781" w:type="pct"/>
            <w:tcBorders>
              <w:top w:val="nil"/>
              <w:left w:val="nil"/>
              <w:bottom w:val="single" w:sz="8" w:space="0" w:color="auto"/>
              <w:right w:val="single" w:sz="8" w:space="0" w:color="auto"/>
            </w:tcBorders>
            <w:shd w:val="clear" w:color="auto" w:fill="CCC0D9" w:themeFill="accent4" w:themeFillTint="66"/>
            <w:vAlign w:val="center"/>
            <w:hideMark/>
          </w:tcPr>
          <w:p>
            <w:pPr>
              <w:spacing w:after="0"/>
              <w:jc w:val="center"/>
              <w:rPr>
                <w:b/>
                <w:bCs/>
                <w:noProof/>
                <w:color w:val="000000"/>
                <w:sz w:val="20"/>
                <w:szCs w:val="20"/>
                <w:lang w:val="pt-PT" w:eastAsia="en-GB"/>
              </w:rPr>
            </w:pPr>
            <w:r>
              <w:rPr>
                <w:b/>
                <w:bCs/>
                <w:noProof/>
                <w:color w:val="000000"/>
                <w:sz w:val="20"/>
                <w:szCs w:val="20"/>
                <w:lang w:val="pt-PT" w:eastAsia="en-GB"/>
              </w:rPr>
              <w:t xml:space="preserve">EU ETS </w:t>
            </w:r>
          </w:p>
          <w:p>
            <w:pPr>
              <w:spacing w:after="0"/>
              <w:jc w:val="center"/>
              <w:rPr>
                <w:b/>
                <w:bCs/>
                <w:noProof/>
                <w:color w:val="000000"/>
                <w:sz w:val="20"/>
                <w:szCs w:val="20"/>
                <w:lang w:val="pt-PT" w:eastAsia="en-GB"/>
              </w:rPr>
            </w:pPr>
          </w:p>
        </w:tc>
        <w:tc>
          <w:tcPr>
            <w:tcW w:w="661" w:type="pct"/>
            <w:tcBorders>
              <w:top w:val="nil"/>
              <w:left w:val="nil"/>
              <w:bottom w:val="single" w:sz="8" w:space="0" w:color="auto"/>
              <w:right w:val="single" w:sz="8" w:space="0" w:color="auto"/>
            </w:tcBorders>
            <w:shd w:val="clear" w:color="auto" w:fill="CCC0D9" w:themeFill="accent4" w:themeFillTint="66"/>
            <w:vAlign w:val="center"/>
            <w:hideMark/>
          </w:tcPr>
          <w:p>
            <w:pPr>
              <w:spacing w:after="0"/>
              <w:jc w:val="center"/>
              <w:rPr>
                <w:b/>
                <w:bCs/>
                <w:noProof/>
                <w:color w:val="000000"/>
                <w:sz w:val="20"/>
                <w:szCs w:val="20"/>
                <w:lang w:eastAsia="en-GB"/>
              </w:rPr>
            </w:pPr>
            <w:r>
              <w:rPr>
                <w:b/>
                <w:bCs/>
                <w:noProof/>
                <w:color w:val="000000"/>
                <w:sz w:val="20"/>
                <w:szCs w:val="20"/>
                <w:lang w:eastAsia="en-GB"/>
              </w:rPr>
              <w:t>Effort Sharing Regulation (ESR)</w:t>
            </w:r>
          </w:p>
        </w:tc>
      </w:tr>
      <w:tr>
        <w:trPr>
          <w:trHeight w:val="313"/>
        </w:trPr>
        <w:tc>
          <w:tcPr>
            <w:tcW w:w="481" w:type="pct"/>
            <w:tcBorders>
              <w:top w:val="nil"/>
              <w:left w:val="single" w:sz="8" w:space="0" w:color="auto"/>
              <w:bottom w:val="single" w:sz="8" w:space="0" w:color="auto"/>
              <w:right w:val="single" w:sz="8" w:space="0" w:color="auto"/>
            </w:tcBorders>
            <w:shd w:val="clear" w:color="auto" w:fill="DBE5F1" w:themeFill="accent1" w:themeFillTint="33"/>
            <w:vAlign w:val="center"/>
            <w:hideMark/>
          </w:tcPr>
          <w:p>
            <w:pPr>
              <w:spacing w:after="0"/>
              <w:rPr>
                <w:b/>
                <w:bCs/>
                <w:noProof/>
                <w:color w:val="000000"/>
                <w:sz w:val="20"/>
                <w:szCs w:val="20"/>
                <w:lang w:eastAsia="en-GB"/>
              </w:rPr>
            </w:pPr>
            <w:r>
              <w:rPr>
                <w:b/>
                <w:bCs/>
                <w:noProof/>
                <w:color w:val="000000"/>
                <w:sz w:val="20"/>
                <w:szCs w:val="20"/>
                <w:lang w:eastAsia="en-GB"/>
              </w:rPr>
              <w:t>Target year of period</w:t>
            </w:r>
          </w:p>
        </w:tc>
        <w:tc>
          <w:tcPr>
            <w:tcW w:w="914" w:type="pct"/>
            <w:gridSpan w:val="2"/>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p>
          <w:p>
            <w:pPr>
              <w:spacing w:after="0"/>
              <w:jc w:val="center"/>
              <w:rPr>
                <w:noProof/>
                <w:color w:val="000000"/>
                <w:sz w:val="18"/>
                <w:szCs w:val="18"/>
                <w:lang w:eastAsia="en-GB"/>
              </w:rPr>
            </w:pPr>
            <w:r>
              <w:rPr>
                <w:noProof/>
                <w:color w:val="000000"/>
                <w:sz w:val="18"/>
                <w:szCs w:val="18"/>
                <w:lang w:eastAsia="en-GB"/>
              </w:rPr>
              <w:t>Second commitment period (2013-2020)</w:t>
            </w:r>
          </w:p>
          <w:p>
            <w:pPr>
              <w:spacing w:after="0"/>
              <w:jc w:val="center"/>
              <w:rPr>
                <w:noProof/>
                <w:color w:val="000000"/>
                <w:sz w:val="18"/>
                <w:szCs w:val="18"/>
                <w:lang w:eastAsia="en-GB"/>
              </w:rPr>
            </w:pPr>
            <w:r>
              <w:rPr>
                <w:noProof/>
                <w:color w:val="000000"/>
                <w:sz w:val="18"/>
                <w:szCs w:val="18"/>
                <w:lang w:eastAsia="en-GB"/>
              </w:rPr>
              <w:t>(target for EU-28)</w:t>
            </w:r>
          </w:p>
        </w:tc>
        <w:tc>
          <w:tcPr>
            <w:tcW w:w="663"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Already in force – covers the period post 2020</w:t>
            </w:r>
          </w:p>
        </w:tc>
        <w:tc>
          <w:tcPr>
            <w:tcW w:w="739"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2013-2020</w:t>
            </w:r>
          </w:p>
        </w:tc>
        <w:tc>
          <w:tcPr>
            <w:tcW w:w="761"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2013-2020</w:t>
            </w:r>
          </w:p>
        </w:tc>
        <w:tc>
          <w:tcPr>
            <w:tcW w:w="781"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2021-2030</w:t>
            </w:r>
          </w:p>
        </w:tc>
        <w:tc>
          <w:tcPr>
            <w:tcW w:w="661"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2021-2030</w:t>
            </w:r>
          </w:p>
        </w:tc>
      </w:tr>
      <w:tr>
        <w:trPr>
          <w:trHeight w:val="522"/>
        </w:trPr>
        <w:tc>
          <w:tcPr>
            <w:tcW w:w="481" w:type="pct"/>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pPr>
              <w:spacing w:after="0"/>
              <w:rPr>
                <w:b/>
                <w:bCs/>
                <w:noProof/>
                <w:color w:val="000000"/>
                <w:sz w:val="20"/>
                <w:szCs w:val="20"/>
                <w:lang w:eastAsia="en-GB"/>
              </w:rPr>
            </w:pPr>
            <w:r>
              <w:rPr>
                <w:b/>
                <w:bCs/>
                <w:noProof/>
                <w:color w:val="000000"/>
                <w:sz w:val="20"/>
                <w:szCs w:val="20"/>
                <w:lang w:eastAsia="en-GB"/>
              </w:rPr>
              <w:t>Emission reduction target</w:t>
            </w:r>
          </w:p>
        </w:tc>
        <w:tc>
          <w:tcPr>
            <w:tcW w:w="914" w:type="pct"/>
            <w:gridSpan w:val="2"/>
            <w:vMerge w:val="restart"/>
            <w:tcBorders>
              <w:top w:val="single" w:sz="8" w:space="0" w:color="auto"/>
              <w:left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p>
          <w:p>
            <w:pPr>
              <w:spacing w:after="0"/>
              <w:jc w:val="center"/>
              <w:rPr>
                <w:noProof/>
                <w:color w:val="000000"/>
                <w:sz w:val="18"/>
                <w:szCs w:val="18"/>
                <w:lang w:eastAsia="en-GB"/>
              </w:rPr>
            </w:pPr>
            <w:r>
              <w:rPr>
                <w:noProof/>
                <w:color w:val="000000"/>
                <w:sz w:val="18"/>
                <w:szCs w:val="18"/>
                <w:lang w:eastAsia="en-GB"/>
              </w:rPr>
              <w:t>-20 %</w:t>
            </w:r>
          </w:p>
        </w:tc>
        <w:tc>
          <w:tcPr>
            <w:tcW w:w="663" w:type="pct"/>
            <w:vMerge w:val="restart"/>
            <w:tcBorders>
              <w:top w:val="single" w:sz="8" w:space="0" w:color="auto"/>
              <w:left w:val="single" w:sz="8" w:space="0" w:color="auto"/>
              <w:bottom w:val="single" w:sz="8" w:space="0" w:color="000000"/>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at least -40 % in 2030</w:t>
            </w:r>
          </w:p>
        </w:tc>
        <w:tc>
          <w:tcPr>
            <w:tcW w:w="739" w:type="pct"/>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-21 % in 2020 compared to 2005 for ETS emissions</w:t>
            </w:r>
          </w:p>
        </w:tc>
        <w:tc>
          <w:tcPr>
            <w:tcW w:w="761"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Annual targets by MS. In 2020 -10 % compared to 2005 for non-ETS emissions</w:t>
            </w:r>
          </w:p>
        </w:tc>
        <w:tc>
          <w:tcPr>
            <w:tcW w:w="781"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-43 % in 2030 compared to 2005 for ETS emissions</w:t>
            </w:r>
          </w:p>
        </w:tc>
        <w:tc>
          <w:tcPr>
            <w:tcW w:w="661"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Annual targets by MS. In 2030 -30 % compared to 2005 for non-ETS emissions</w:t>
            </w:r>
          </w:p>
        </w:tc>
      </w:tr>
      <w:tr>
        <w:trPr>
          <w:trHeight w:val="313"/>
        </w:trPr>
        <w:tc>
          <w:tcPr>
            <w:tcW w:w="481" w:type="pct"/>
            <w:vMerge/>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hideMark/>
          </w:tcPr>
          <w:p>
            <w:pPr>
              <w:spacing w:after="0"/>
              <w:rPr>
                <w:b/>
                <w:bCs/>
                <w:noProof/>
                <w:color w:val="000000"/>
                <w:sz w:val="20"/>
                <w:szCs w:val="20"/>
                <w:lang w:eastAsia="en-GB"/>
              </w:rPr>
            </w:pPr>
          </w:p>
        </w:tc>
        <w:tc>
          <w:tcPr>
            <w:tcW w:w="914" w:type="pct"/>
            <w:gridSpan w:val="2"/>
            <w:vMerge/>
            <w:tcBorders>
              <w:left w:val="single" w:sz="8" w:space="0" w:color="auto"/>
              <w:bottom w:val="single" w:sz="4" w:space="0" w:color="auto"/>
              <w:right w:val="single" w:sz="8" w:space="0" w:color="auto"/>
            </w:tcBorders>
            <w:vAlign w:val="center"/>
            <w:hideMark/>
          </w:tcPr>
          <w:p>
            <w:pPr>
              <w:spacing w:after="0"/>
              <w:rPr>
                <w:noProof/>
                <w:color w:val="000000"/>
                <w:sz w:val="18"/>
                <w:szCs w:val="18"/>
                <w:lang w:eastAsia="en-GB"/>
              </w:rPr>
            </w:pPr>
          </w:p>
        </w:tc>
        <w:tc>
          <w:tcPr>
            <w:tcW w:w="663" w:type="pct"/>
            <w:vMerge/>
            <w:tcBorders>
              <w:top w:val="single" w:sz="8" w:space="0" w:color="auto"/>
              <w:left w:val="single" w:sz="8" w:space="0" w:color="auto"/>
              <w:bottom w:val="single" w:sz="4" w:space="0" w:color="auto"/>
              <w:right w:val="single" w:sz="8" w:space="0" w:color="auto"/>
            </w:tcBorders>
            <w:vAlign w:val="center"/>
            <w:hideMark/>
          </w:tcPr>
          <w:p>
            <w:pPr>
              <w:spacing w:after="0"/>
              <w:rPr>
                <w:noProof/>
                <w:color w:val="000000"/>
                <w:sz w:val="18"/>
                <w:szCs w:val="18"/>
                <w:lang w:eastAsia="en-GB"/>
              </w:rPr>
            </w:pPr>
          </w:p>
        </w:tc>
        <w:tc>
          <w:tcPr>
            <w:tcW w:w="1500" w:type="pct"/>
            <w:gridSpan w:val="2"/>
            <w:tcBorders>
              <w:top w:val="nil"/>
              <w:left w:val="nil"/>
              <w:bottom w:val="single" w:sz="4" w:space="0" w:color="auto"/>
              <w:right w:val="single" w:sz="8" w:space="0" w:color="000000"/>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Overall target: -20 % GHG emissions reduction vs 1990"</w:t>
            </w:r>
          </w:p>
        </w:tc>
        <w:tc>
          <w:tcPr>
            <w:tcW w:w="1442" w:type="pct"/>
            <w:gridSpan w:val="2"/>
            <w:tcBorders>
              <w:top w:val="single" w:sz="8" w:space="0" w:color="auto"/>
              <w:left w:val="nil"/>
              <w:bottom w:val="single" w:sz="4" w:space="0" w:color="auto"/>
              <w:right w:val="single" w:sz="8" w:space="0" w:color="000000"/>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Overall target:  at least -40 % domestic GHG emissions reduction vs 1990</w:t>
            </w:r>
          </w:p>
        </w:tc>
      </w:tr>
      <w:tr>
        <w:trPr>
          <w:trHeight w:val="732"/>
        </w:trPr>
        <w:tc>
          <w:tcPr>
            <w:tcW w:w="481"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pPr>
              <w:spacing w:after="0"/>
              <w:rPr>
                <w:b/>
                <w:bCs/>
                <w:noProof/>
                <w:color w:val="000000"/>
                <w:sz w:val="20"/>
                <w:szCs w:val="20"/>
                <w:lang w:eastAsia="en-GB"/>
              </w:rPr>
            </w:pPr>
            <w:r>
              <w:rPr>
                <w:b/>
                <w:bCs/>
                <w:noProof/>
                <w:color w:val="000000"/>
                <w:sz w:val="20"/>
                <w:szCs w:val="20"/>
                <w:lang w:eastAsia="en-GB"/>
              </w:rPr>
              <w:t>Further targets</w:t>
            </w:r>
          </w:p>
        </w:tc>
        <w:tc>
          <w:tcPr>
            <w:tcW w:w="9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jc w:val="center"/>
              <w:rPr>
                <w:noProof/>
                <w:color w:val="000000"/>
                <w:sz w:val="18"/>
                <w:szCs w:val="18"/>
                <w:lang w:eastAsia="en-GB"/>
              </w:rPr>
            </w:pPr>
          </w:p>
          <w:p>
            <w:pPr>
              <w:spacing w:after="0"/>
              <w:jc w:val="center"/>
              <w:rPr>
                <w:noProof/>
                <w:color w:val="000000"/>
                <w:sz w:val="18"/>
                <w:szCs w:val="18"/>
                <w:lang w:eastAsia="en-GB"/>
              </w:rPr>
            </w:pPr>
            <w:r>
              <w:rPr>
                <w:noProof/>
                <w:color w:val="000000"/>
                <w:sz w:val="18"/>
                <w:szCs w:val="18"/>
                <w:lang w:eastAsia="en-GB"/>
              </w:rPr>
              <w:t>-</w:t>
            </w:r>
          </w:p>
        </w:tc>
        <w:tc>
          <w:tcPr>
            <w:tcW w:w="663" w:type="pct"/>
            <w:vMerge w:val="restart"/>
            <w:tcBorders>
              <w:top w:val="single" w:sz="4" w:space="0" w:color="auto"/>
              <w:left w:val="single" w:sz="4" w:space="0" w:color="auto"/>
              <w:bottom w:val="single" w:sz="4" w:space="0" w:color="auto"/>
              <w:right w:val="single" w:sz="4" w:space="0" w:color="auto"/>
            </w:tcBorders>
            <w:shd w:val="clear" w:color="000000" w:fill="E4DFEC"/>
            <w:vAlign w:val="center"/>
            <w:hideMark/>
          </w:tcPr>
          <w:p>
            <w:pPr>
              <w:spacing w:after="0"/>
              <w:rPr>
                <w:noProof/>
                <w:color w:val="000000"/>
                <w:sz w:val="18"/>
                <w:szCs w:val="18"/>
                <w:lang w:eastAsia="en-GB"/>
              </w:rPr>
            </w:pPr>
            <w:r>
              <w:rPr>
                <w:noProof/>
                <w:color w:val="000000"/>
                <w:sz w:val="18"/>
                <w:szCs w:val="18"/>
                <w:lang w:eastAsia="en-GB"/>
              </w:rPr>
              <w:t xml:space="preserve">• limiting global warming to well below 2°C.; </w:t>
            </w:r>
            <w:r>
              <w:rPr>
                <w:noProof/>
                <w:color w:val="000000"/>
                <w:sz w:val="18"/>
                <w:szCs w:val="18"/>
                <w:lang w:eastAsia="en-GB"/>
              </w:rPr>
              <w:br/>
              <w:t>• every 5 years to set more ambitious targets as required by science;</w:t>
            </w:r>
            <w:r>
              <w:rPr>
                <w:noProof/>
                <w:color w:val="000000"/>
                <w:sz w:val="18"/>
                <w:szCs w:val="18"/>
                <w:lang w:eastAsia="en-GB"/>
              </w:rPr>
              <w:br/>
              <w:t>• report on implementation/ track progress towards the long-term goal through a robust transparency and accountability system.</w:t>
            </w:r>
          </w:p>
          <w:p>
            <w:pPr>
              <w:spacing w:after="0"/>
              <w:rPr>
                <w:noProof/>
                <w:color w:val="000000"/>
                <w:sz w:val="18"/>
                <w:szCs w:val="18"/>
                <w:lang w:eastAsia="en-GB"/>
              </w:rPr>
            </w:pPr>
            <w:r>
              <w:rPr>
                <w:noProof/>
                <w:color w:val="000000"/>
                <w:sz w:val="18"/>
                <w:szCs w:val="18"/>
                <w:lang w:eastAsia="en-GB"/>
              </w:rPr>
              <w:t>• balance between anthropogenic emissions by sources and removals by sinks of greenhouse gases in the second half of this century.</w:t>
            </w:r>
          </w:p>
        </w:tc>
        <w:tc>
          <w:tcPr>
            <w:tcW w:w="15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rPr>
                <w:noProof/>
                <w:color w:val="000000"/>
                <w:sz w:val="18"/>
                <w:szCs w:val="18"/>
                <w:lang w:eastAsia="en-GB"/>
              </w:rPr>
            </w:pPr>
            <w:r>
              <w:rPr>
                <w:rFonts w:ascii="Wingdings" w:hAnsi="Wingdings"/>
                <w:noProof/>
                <w:color w:val="000000"/>
                <w:sz w:val="18"/>
                <w:szCs w:val="18"/>
                <w:lang w:eastAsia="en-GB"/>
              </w:rPr>
              <w:t></w:t>
            </w:r>
            <w:r>
              <w:rPr>
                <w:noProof/>
                <w:color w:val="000000"/>
                <w:sz w:val="18"/>
                <w:szCs w:val="18"/>
                <w:lang w:eastAsia="en-GB"/>
              </w:rPr>
              <w:t>Renewable Energy Directive: 20 % share of renewable energy of gross final energy consumption;</w:t>
            </w:r>
          </w:p>
        </w:tc>
        <w:tc>
          <w:tcPr>
            <w:tcW w:w="1442" w:type="pct"/>
            <w:gridSpan w:val="2"/>
            <w:tcBorders>
              <w:top w:val="single" w:sz="4" w:space="0" w:color="auto"/>
              <w:left w:val="single" w:sz="4" w:space="0" w:color="auto"/>
              <w:bottom w:val="single" w:sz="4" w:space="0" w:color="auto"/>
              <w:right w:val="single" w:sz="4" w:space="0" w:color="auto"/>
            </w:tcBorders>
            <w:shd w:val="clear" w:color="000000" w:fill="E4DFEC"/>
            <w:vAlign w:val="center"/>
            <w:hideMark/>
          </w:tcPr>
          <w:p>
            <w:pPr>
              <w:spacing w:after="0"/>
              <w:rPr>
                <w:noProof/>
                <w:color w:val="000000"/>
                <w:sz w:val="18"/>
                <w:szCs w:val="18"/>
                <w:lang w:eastAsia="en-GB"/>
              </w:rPr>
            </w:pPr>
            <w:r>
              <w:rPr>
                <w:rFonts w:ascii="Wingdings" w:hAnsi="Wingdings"/>
                <w:noProof/>
                <w:color w:val="000000"/>
                <w:sz w:val="18"/>
                <w:szCs w:val="18"/>
                <w:lang w:eastAsia="en-GB"/>
              </w:rPr>
              <w:t></w:t>
            </w:r>
            <w:r>
              <w:rPr>
                <w:noProof/>
                <w:color w:val="000000"/>
                <w:sz w:val="18"/>
                <w:szCs w:val="18"/>
                <w:lang w:eastAsia="en-GB"/>
              </w:rPr>
              <w:t>At least 32 % share of  renewable energy in EU energy consumption (with an upward review by 2023);</w:t>
            </w:r>
          </w:p>
        </w:tc>
      </w:tr>
      <w:tr>
        <w:trPr>
          <w:trHeight w:val="881"/>
        </w:trPr>
        <w:tc>
          <w:tcPr>
            <w:tcW w:w="481" w:type="pct"/>
            <w:vMerge/>
            <w:tcBorders>
              <w:top w:val="single" w:sz="4" w:space="0" w:color="auto"/>
              <w:left w:val="single" w:sz="8" w:space="0" w:color="auto"/>
              <w:bottom w:val="single" w:sz="8" w:space="0" w:color="000000"/>
              <w:right w:val="single" w:sz="8" w:space="0" w:color="auto"/>
            </w:tcBorders>
            <w:shd w:val="clear" w:color="auto" w:fill="DBE5F1" w:themeFill="accent1" w:themeFillTint="33"/>
            <w:vAlign w:val="center"/>
            <w:hideMark/>
          </w:tcPr>
          <w:p>
            <w:pPr>
              <w:spacing w:after="0"/>
              <w:rPr>
                <w:b/>
                <w:bCs/>
                <w:noProof/>
                <w:color w:val="000000"/>
                <w:sz w:val="20"/>
                <w:szCs w:val="20"/>
                <w:lang w:eastAsia="en-GB"/>
              </w:rPr>
            </w:pPr>
          </w:p>
        </w:tc>
        <w:tc>
          <w:tcPr>
            <w:tcW w:w="914" w:type="pct"/>
            <w:gridSpan w:val="2"/>
            <w:vMerge/>
            <w:tcBorders>
              <w:top w:val="single" w:sz="4" w:space="0" w:color="auto"/>
              <w:left w:val="single" w:sz="8" w:space="0" w:color="auto"/>
              <w:bottom w:val="single" w:sz="8" w:space="0" w:color="000000"/>
              <w:right w:val="single" w:sz="8" w:space="0" w:color="auto"/>
            </w:tcBorders>
            <w:vAlign w:val="center"/>
            <w:hideMark/>
          </w:tcPr>
          <w:p>
            <w:pPr>
              <w:spacing w:after="0"/>
              <w:rPr>
                <w:noProof/>
                <w:color w:val="000000"/>
                <w:sz w:val="18"/>
                <w:szCs w:val="18"/>
                <w:lang w:eastAsia="en-GB"/>
              </w:rPr>
            </w:pPr>
          </w:p>
        </w:tc>
        <w:tc>
          <w:tcPr>
            <w:tcW w:w="663" w:type="pct"/>
            <w:vMerge/>
            <w:tcBorders>
              <w:top w:val="single" w:sz="4" w:space="0" w:color="auto"/>
              <w:left w:val="single" w:sz="8" w:space="0" w:color="auto"/>
              <w:bottom w:val="single" w:sz="8" w:space="0" w:color="000000"/>
              <w:right w:val="single" w:sz="8" w:space="0" w:color="auto"/>
            </w:tcBorders>
            <w:vAlign w:val="center"/>
            <w:hideMark/>
          </w:tcPr>
          <w:p>
            <w:pPr>
              <w:spacing w:after="0"/>
              <w:rPr>
                <w:noProof/>
                <w:color w:val="000000"/>
                <w:sz w:val="18"/>
                <w:szCs w:val="18"/>
                <w:lang w:eastAsia="en-GB"/>
              </w:rPr>
            </w:pPr>
          </w:p>
        </w:tc>
        <w:tc>
          <w:tcPr>
            <w:tcW w:w="1500" w:type="pct"/>
            <w:gridSpan w:val="2"/>
            <w:tcBorders>
              <w:top w:val="single" w:sz="4" w:space="0" w:color="auto"/>
              <w:left w:val="nil"/>
              <w:bottom w:val="single" w:sz="8" w:space="0" w:color="auto"/>
              <w:right w:val="single" w:sz="8" w:space="0" w:color="000000"/>
            </w:tcBorders>
            <w:shd w:val="clear" w:color="000000" w:fill="FFFFFF"/>
            <w:vAlign w:val="center"/>
            <w:hideMark/>
          </w:tcPr>
          <w:p>
            <w:pPr>
              <w:spacing w:after="0"/>
              <w:rPr>
                <w:noProof/>
                <w:color w:val="000000"/>
                <w:sz w:val="18"/>
                <w:szCs w:val="18"/>
                <w:lang w:eastAsia="en-GB"/>
              </w:rPr>
            </w:pPr>
            <w:r>
              <w:rPr>
                <w:rFonts w:ascii="Wingdings" w:hAnsi="Wingdings"/>
                <w:noProof/>
                <w:color w:val="000000"/>
                <w:sz w:val="18"/>
                <w:szCs w:val="18"/>
                <w:lang w:eastAsia="en-GB"/>
              </w:rPr>
              <w:t></w:t>
            </w:r>
            <w:r>
              <w:rPr>
                <w:noProof/>
                <w:color w:val="000000"/>
                <w:sz w:val="18"/>
                <w:szCs w:val="18"/>
                <w:lang w:eastAsia="en-GB"/>
              </w:rPr>
              <w:t>Energy Efficiency Directive : Increase energy efficiency by 20 %.</w:t>
            </w:r>
          </w:p>
        </w:tc>
        <w:tc>
          <w:tcPr>
            <w:tcW w:w="1442" w:type="pct"/>
            <w:gridSpan w:val="2"/>
            <w:tcBorders>
              <w:top w:val="single" w:sz="4" w:space="0" w:color="auto"/>
              <w:left w:val="nil"/>
              <w:bottom w:val="single" w:sz="8" w:space="0" w:color="auto"/>
              <w:right w:val="single" w:sz="8" w:space="0" w:color="000000"/>
            </w:tcBorders>
            <w:shd w:val="clear" w:color="000000" w:fill="E4DFEC"/>
            <w:vAlign w:val="center"/>
            <w:hideMark/>
          </w:tcPr>
          <w:p>
            <w:pPr>
              <w:spacing w:after="0"/>
              <w:rPr>
                <w:noProof/>
                <w:color w:val="000000"/>
                <w:sz w:val="18"/>
                <w:szCs w:val="18"/>
                <w:lang w:eastAsia="en-GB"/>
              </w:rPr>
            </w:pPr>
            <w:r>
              <w:rPr>
                <w:rFonts w:ascii="Wingdings" w:hAnsi="Wingdings"/>
                <w:noProof/>
                <w:color w:val="000000"/>
                <w:sz w:val="18"/>
                <w:szCs w:val="18"/>
                <w:lang w:eastAsia="en-GB"/>
              </w:rPr>
              <w:t></w:t>
            </w:r>
            <w:r>
              <w:rPr>
                <w:noProof/>
                <w:color w:val="000000"/>
                <w:sz w:val="18"/>
                <w:szCs w:val="18"/>
                <w:lang w:eastAsia="en-GB"/>
              </w:rPr>
              <w:t>At least 32.5 % improvement in energy efficiency (with an upward review by 2023).</w:t>
            </w:r>
          </w:p>
        </w:tc>
      </w:tr>
      <w:tr>
        <w:trPr>
          <w:trHeight w:val="1095"/>
        </w:trPr>
        <w:tc>
          <w:tcPr>
            <w:tcW w:w="481" w:type="pc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pPr>
              <w:spacing w:after="0"/>
              <w:rPr>
                <w:b/>
                <w:bCs/>
                <w:noProof/>
                <w:color w:val="000000"/>
                <w:sz w:val="20"/>
                <w:szCs w:val="20"/>
                <w:lang w:eastAsia="en-GB"/>
              </w:rPr>
            </w:pPr>
            <w:r>
              <w:rPr>
                <w:b/>
                <w:bCs/>
                <w:noProof/>
                <w:color w:val="000000"/>
                <w:sz w:val="20"/>
                <w:szCs w:val="20"/>
                <w:lang w:eastAsia="en-GB"/>
              </w:rPr>
              <w:t>Base year</w:t>
            </w:r>
          </w:p>
        </w:tc>
        <w:tc>
          <w:tcPr>
            <w:tcW w:w="914" w:type="pct"/>
            <w:gridSpan w:val="2"/>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p>
          <w:p>
            <w:pPr>
              <w:spacing w:after="0"/>
              <w:jc w:val="center"/>
              <w:rPr>
                <w:noProof/>
                <w:color w:val="000000"/>
                <w:sz w:val="18"/>
                <w:szCs w:val="18"/>
                <w:lang w:eastAsia="en-GB"/>
              </w:rPr>
            </w:pPr>
            <w:r>
              <w:rPr>
                <w:noProof/>
                <w:color w:val="000000"/>
                <w:sz w:val="18"/>
                <w:szCs w:val="18"/>
                <w:lang w:eastAsia="en-GB"/>
              </w:rPr>
              <w:t>1990, but subject to flexibility rules. 1995 or 2000 may be used as its base year for NF3</w:t>
            </w:r>
          </w:p>
        </w:tc>
        <w:tc>
          <w:tcPr>
            <w:tcW w:w="663" w:type="pct"/>
            <w:tcBorders>
              <w:top w:val="single" w:sz="8" w:space="0" w:color="auto"/>
              <w:left w:val="single" w:sz="8" w:space="0" w:color="auto"/>
              <w:bottom w:val="single" w:sz="8" w:space="0" w:color="000000"/>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1990</w:t>
            </w:r>
          </w:p>
        </w:tc>
        <w:tc>
          <w:tcPr>
            <w:tcW w:w="1500" w:type="pct"/>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1990 for overall emission reduction target; 2005 for targets broken down into ETS and non-ETS emissions.</w:t>
            </w:r>
          </w:p>
        </w:tc>
        <w:tc>
          <w:tcPr>
            <w:tcW w:w="1442" w:type="pct"/>
            <w:gridSpan w:val="2"/>
            <w:tcBorders>
              <w:top w:val="single" w:sz="8" w:space="0" w:color="auto"/>
              <w:left w:val="single" w:sz="8" w:space="0" w:color="auto"/>
              <w:bottom w:val="single" w:sz="8" w:space="0" w:color="000000"/>
              <w:right w:val="single" w:sz="8" w:space="0" w:color="000000"/>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 xml:space="preserve">1990 for overall emission reduction target; 2005 for targets broken down into ETS and non-ETS emissions </w:t>
            </w:r>
          </w:p>
        </w:tc>
      </w:tr>
      <w:tr>
        <w:trPr>
          <w:trHeight w:val="1648"/>
        </w:trPr>
        <w:tc>
          <w:tcPr>
            <w:tcW w:w="481" w:type="pc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pPr>
              <w:spacing w:after="0"/>
              <w:rPr>
                <w:b/>
                <w:bCs/>
                <w:noProof/>
                <w:color w:val="000000"/>
                <w:sz w:val="20"/>
                <w:szCs w:val="20"/>
                <w:lang w:eastAsia="en-GB"/>
              </w:rPr>
            </w:pPr>
            <w:r>
              <w:rPr>
                <w:b/>
                <w:bCs/>
                <w:noProof/>
                <w:color w:val="000000"/>
                <w:sz w:val="20"/>
                <w:szCs w:val="20"/>
                <w:lang w:eastAsia="en-GB"/>
              </w:rPr>
              <w:t>LULUCF</w:t>
            </w:r>
          </w:p>
        </w:tc>
        <w:tc>
          <w:tcPr>
            <w:tcW w:w="91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p>
          <w:p>
            <w:pPr>
              <w:spacing w:after="0"/>
              <w:jc w:val="center"/>
              <w:rPr>
                <w:noProof/>
                <w:color w:val="000000"/>
                <w:sz w:val="18"/>
                <w:szCs w:val="18"/>
                <w:lang w:eastAsia="en-GB"/>
              </w:rPr>
            </w:pPr>
            <w:r>
              <w:rPr>
                <w:noProof/>
                <w:color w:val="000000"/>
                <w:sz w:val="18"/>
                <w:szCs w:val="18"/>
                <w:lang w:eastAsia="en-GB"/>
              </w:rPr>
              <w:t>Included ARD and forest management, other activities if elected</w:t>
            </w:r>
          </w:p>
          <w:p>
            <w:pPr>
              <w:spacing w:after="0"/>
              <w:jc w:val="center"/>
              <w:rPr>
                <w:noProof/>
                <w:color w:val="000000"/>
                <w:sz w:val="18"/>
                <w:szCs w:val="18"/>
                <w:lang w:eastAsia="en-GB"/>
              </w:rPr>
            </w:pPr>
            <w:r>
              <w:rPr>
                <w:noProof/>
                <w:color w:val="000000"/>
                <w:sz w:val="18"/>
                <w:szCs w:val="18"/>
                <w:lang w:eastAsia="en-GB"/>
              </w:rPr>
              <w:t xml:space="preserve">(new accounting rules) </w:t>
            </w:r>
          </w:p>
        </w:tc>
        <w:tc>
          <w:tcPr>
            <w:tcW w:w="663" w:type="pct"/>
            <w:tcBorders>
              <w:top w:val="single" w:sz="8" w:space="0" w:color="auto"/>
              <w:left w:val="single" w:sz="8" w:space="0" w:color="auto"/>
              <w:bottom w:val="single" w:sz="8" w:space="0" w:color="000000"/>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Included</w:t>
            </w:r>
          </w:p>
        </w:tc>
        <w:tc>
          <w:tcPr>
            <w:tcW w:w="1500" w:type="pct"/>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 xml:space="preserve">Excluded </w:t>
            </w:r>
          </w:p>
        </w:tc>
        <w:tc>
          <w:tcPr>
            <w:tcW w:w="1442" w:type="pct"/>
            <w:gridSpan w:val="2"/>
            <w:tcBorders>
              <w:top w:val="single" w:sz="8" w:space="0" w:color="auto"/>
              <w:left w:val="single" w:sz="8" w:space="0" w:color="auto"/>
              <w:bottom w:val="single" w:sz="8" w:space="0" w:color="000000"/>
              <w:right w:val="single" w:sz="8" w:space="0" w:color="000000"/>
            </w:tcBorders>
            <w:shd w:val="clear" w:color="000000" w:fill="E4DFEC"/>
            <w:vAlign w:val="center"/>
            <w:hideMark/>
          </w:tcPr>
          <w:p>
            <w:pPr>
              <w:spacing w:after="0"/>
              <w:rPr>
                <w:noProof/>
                <w:color w:val="000000"/>
                <w:sz w:val="18"/>
                <w:szCs w:val="18"/>
                <w:lang w:eastAsia="en-GB"/>
              </w:rPr>
            </w:pPr>
            <w:r>
              <w:rPr>
                <w:noProof/>
                <w:color w:val="000000"/>
                <w:sz w:val="18"/>
                <w:szCs w:val="18"/>
                <w:lang w:eastAsia="en-GB"/>
              </w:rPr>
              <w:t xml:space="preserve">Included: The LULUCF regulation (Regulation (EU) 2018/841) includes a "no debit rule", i.e. emissions from LULUCF must be compensated by carbon uptake after specified rules. </w:t>
            </w:r>
          </w:p>
        </w:tc>
      </w:tr>
      <w:tr>
        <w:trPr>
          <w:trHeight w:val="522"/>
        </w:trPr>
        <w:tc>
          <w:tcPr>
            <w:tcW w:w="481" w:type="pct"/>
            <w:tcBorders>
              <w:top w:val="nil"/>
              <w:left w:val="single" w:sz="8" w:space="0" w:color="auto"/>
              <w:bottom w:val="single" w:sz="8" w:space="0" w:color="auto"/>
              <w:right w:val="single" w:sz="8" w:space="0" w:color="auto"/>
            </w:tcBorders>
            <w:shd w:val="clear" w:color="auto" w:fill="DBE5F1" w:themeFill="accent1" w:themeFillTint="33"/>
            <w:vAlign w:val="center"/>
            <w:hideMark/>
          </w:tcPr>
          <w:p>
            <w:pPr>
              <w:spacing w:after="0"/>
              <w:rPr>
                <w:b/>
                <w:bCs/>
                <w:noProof/>
                <w:color w:val="000000"/>
                <w:sz w:val="20"/>
                <w:szCs w:val="20"/>
                <w:lang w:eastAsia="en-GB"/>
              </w:rPr>
            </w:pPr>
            <w:r>
              <w:rPr>
                <w:b/>
                <w:bCs/>
                <w:noProof/>
                <w:color w:val="000000"/>
                <w:sz w:val="20"/>
                <w:szCs w:val="20"/>
                <w:lang w:eastAsia="en-GB"/>
              </w:rPr>
              <w:t>Aviation</w:t>
            </w:r>
            <w:r>
              <w:rPr>
                <w:b/>
                <w:bCs/>
                <w:noProof/>
                <w:color w:val="000000"/>
                <w:sz w:val="20"/>
                <w:szCs w:val="20"/>
                <w:vertAlign w:val="superscript"/>
                <w:lang w:eastAsia="en-GB"/>
              </w:rPr>
              <w:footnoteReference w:id="1"/>
            </w:r>
          </w:p>
        </w:tc>
        <w:tc>
          <w:tcPr>
            <w:tcW w:w="914" w:type="pct"/>
            <w:gridSpan w:val="2"/>
            <w:tcBorders>
              <w:top w:val="single" w:sz="8" w:space="0" w:color="auto"/>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p>
          <w:p>
            <w:pPr>
              <w:spacing w:after="0"/>
              <w:jc w:val="center"/>
              <w:rPr>
                <w:noProof/>
                <w:color w:val="000000"/>
                <w:sz w:val="18"/>
                <w:szCs w:val="18"/>
                <w:lang w:eastAsia="en-GB"/>
              </w:rPr>
            </w:pPr>
            <w:r>
              <w:rPr>
                <w:noProof/>
                <w:color w:val="000000"/>
                <w:sz w:val="18"/>
                <w:szCs w:val="18"/>
                <w:lang w:eastAsia="en-GB"/>
              </w:rPr>
              <w:t xml:space="preserve">Domestic aviation included. International aviation not attributed. </w:t>
            </w:r>
          </w:p>
        </w:tc>
        <w:tc>
          <w:tcPr>
            <w:tcW w:w="663"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Economy-wide action encouraged</w:t>
            </w:r>
          </w:p>
        </w:tc>
        <w:tc>
          <w:tcPr>
            <w:tcW w:w="739"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EU ETS:</w:t>
            </w:r>
          </w:p>
          <w:p>
            <w:pPr>
              <w:spacing w:after="0"/>
              <w:jc w:val="center"/>
              <w:rPr>
                <w:noProof/>
                <w:color w:val="000000"/>
                <w:sz w:val="18"/>
                <w:szCs w:val="18"/>
                <w:lang w:eastAsia="en-GB"/>
              </w:rPr>
            </w:pPr>
            <w:r>
              <w:rPr>
                <w:noProof/>
                <w:color w:val="000000"/>
                <w:sz w:val="18"/>
                <w:szCs w:val="18"/>
                <w:lang w:eastAsia="en-GB"/>
              </w:rPr>
              <w:t xml:space="preserve"> Domestic and some international aviation included. </w:t>
            </w:r>
          </w:p>
        </w:tc>
        <w:tc>
          <w:tcPr>
            <w:tcW w:w="761"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ESD:</w:t>
            </w:r>
          </w:p>
          <w:p>
            <w:pPr>
              <w:spacing w:after="0"/>
              <w:jc w:val="center"/>
              <w:rPr>
                <w:noProof/>
                <w:color w:val="000000"/>
                <w:sz w:val="18"/>
                <w:szCs w:val="18"/>
                <w:lang w:eastAsia="en-GB"/>
              </w:rPr>
            </w:pPr>
            <w:r>
              <w:rPr>
                <w:noProof/>
                <w:color w:val="000000"/>
                <w:sz w:val="18"/>
                <w:szCs w:val="18"/>
                <w:lang w:eastAsia="en-GB"/>
              </w:rPr>
              <w:t>Aviation generally excluded</w:t>
            </w:r>
          </w:p>
        </w:tc>
        <w:tc>
          <w:tcPr>
            <w:tcW w:w="781"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EU ETS:</w:t>
            </w:r>
          </w:p>
          <w:p>
            <w:pPr>
              <w:spacing w:after="0"/>
              <w:jc w:val="center"/>
              <w:rPr>
                <w:noProof/>
                <w:color w:val="000000"/>
                <w:sz w:val="18"/>
                <w:szCs w:val="18"/>
                <w:lang w:eastAsia="en-GB"/>
              </w:rPr>
            </w:pPr>
            <w:r>
              <w:rPr>
                <w:noProof/>
                <w:color w:val="000000"/>
                <w:sz w:val="18"/>
                <w:szCs w:val="18"/>
                <w:lang w:eastAsia="en-GB"/>
              </w:rPr>
              <w:t>Domestic and some international aviation included.</w:t>
            </w:r>
          </w:p>
        </w:tc>
        <w:tc>
          <w:tcPr>
            <w:tcW w:w="661"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ESR:</w:t>
            </w:r>
          </w:p>
          <w:p>
            <w:pPr>
              <w:spacing w:after="0"/>
              <w:jc w:val="center"/>
              <w:rPr>
                <w:noProof/>
                <w:color w:val="000000"/>
                <w:sz w:val="18"/>
                <w:szCs w:val="18"/>
                <w:lang w:eastAsia="en-GB"/>
              </w:rPr>
            </w:pPr>
            <w:r>
              <w:rPr>
                <w:noProof/>
                <w:color w:val="000000"/>
                <w:sz w:val="18"/>
                <w:szCs w:val="18"/>
                <w:lang w:eastAsia="en-GB"/>
              </w:rPr>
              <w:t>Aviation generally excluded</w:t>
            </w:r>
          </w:p>
        </w:tc>
      </w:tr>
      <w:tr>
        <w:trPr>
          <w:trHeight w:val="776"/>
        </w:trPr>
        <w:tc>
          <w:tcPr>
            <w:tcW w:w="481" w:type="pct"/>
            <w:tcBorders>
              <w:top w:val="nil"/>
              <w:left w:val="single" w:sz="8" w:space="0" w:color="auto"/>
              <w:bottom w:val="single" w:sz="8" w:space="0" w:color="auto"/>
              <w:right w:val="single" w:sz="8" w:space="0" w:color="auto"/>
            </w:tcBorders>
            <w:shd w:val="clear" w:color="auto" w:fill="DBE5F1" w:themeFill="accent1" w:themeFillTint="33"/>
            <w:vAlign w:val="center"/>
            <w:hideMark/>
          </w:tcPr>
          <w:p>
            <w:pPr>
              <w:spacing w:after="0"/>
              <w:rPr>
                <w:b/>
                <w:bCs/>
                <w:noProof/>
                <w:color w:val="000000"/>
                <w:sz w:val="20"/>
                <w:szCs w:val="20"/>
                <w:lang w:eastAsia="en-GB"/>
              </w:rPr>
            </w:pPr>
            <w:r>
              <w:rPr>
                <w:b/>
                <w:bCs/>
                <w:noProof/>
                <w:color w:val="000000"/>
                <w:sz w:val="20"/>
                <w:szCs w:val="20"/>
                <w:lang w:eastAsia="en-GB"/>
              </w:rPr>
              <w:t>Use of international credits</w:t>
            </w:r>
          </w:p>
        </w:tc>
        <w:tc>
          <w:tcPr>
            <w:tcW w:w="914" w:type="pct"/>
            <w:gridSpan w:val="2"/>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p>
          <w:p>
            <w:pPr>
              <w:spacing w:after="0"/>
              <w:jc w:val="center"/>
              <w:rPr>
                <w:noProof/>
                <w:color w:val="000000"/>
                <w:sz w:val="18"/>
                <w:szCs w:val="18"/>
                <w:lang w:eastAsia="en-GB"/>
              </w:rPr>
            </w:pPr>
            <w:r>
              <w:rPr>
                <w:noProof/>
                <w:color w:val="000000"/>
                <w:sz w:val="18"/>
                <w:szCs w:val="18"/>
                <w:lang w:eastAsia="en-GB"/>
              </w:rPr>
              <w:t>Use of KP flexible mechanisms subject to KP rules</w:t>
            </w:r>
          </w:p>
        </w:tc>
        <w:tc>
          <w:tcPr>
            <w:tcW w:w="663"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The EU will not use international credits (according to its NDC)</w:t>
            </w:r>
          </w:p>
        </w:tc>
        <w:tc>
          <w:tcPr>
            <w:tcW w:w="739"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 xml:space="preserve">Upper limit for credit use for period 2008-2020 at a maximum of 50 % of the reduction effort below 2005 levels </w:t>
            </w:r>
          </w:p>
        </w:tc>
        <w:tc>
          <w:tcPr>
            <w:tcW w:w="761"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sz w:val="18"/>
                <w:szCs w:val="18"/>
              </w:rPr>
              <w:t>Annual use of carbon credits is limited to up to 3 % of each Member State's ESD emissions in 2005</w:t>
            </w:r>
            <w:hyperlink r:id="rId21" w:anchor="RANGE!C25" w:history="1">
              <w:r>
                <w:rPr>
                  <w:noProof/>
                  <w:color w:val="000000"/>
                  <w:sz w:val="18"/>
                  <w:szCs w:val="18"/>
                  <w:vertAlign w:val="superscript"/>
                  <w:lang w:eastAsia="en-GB"/>
                </w:rPr>
                <w:footnoteReference w:id="2"/>
              </w:r>
              <w:r>
                <w:rPr>
                  <w:noProof/>
                  <w:color w:val="000000"/>
                  <w:sz w:val="18"/>
                  <w:szCs w:val="18"/>
                  <w:lang w:eastAsia="en-GB"/>
                </w:rPr>
                <w:t xml:space="preserve"> </w:t>
              </w:r>
            </w:hyperlink>
          </w:p>
        </w:tc>
        <w:tc>
          <w:tcPr>
            <w:tcW w:w="781"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 xml:space="preserve">No </w:t>
            </w:r>
          </w:p>
        </w:tc>
        <w:tc>
          <w:tcPr>
            <w:tcW w:w="661"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No</w:t>
            </w:r>
          </w:p>
        </w:tc>
      </w:tr>
      <w:tr>
        <w:trPr>
          <w:trHeight w:val="776"/>
        </w:trPr>
        <w:tc>
          <w:tcPr>
            <w:tcW w:w="481" w:type="pct"/>
            <w:tcBorders>
              <w:top w:val="nil"/>
              <w:left w:val="single" w:sz="8" w:space="0" w:color="auto"/>
              <w:bottom w:val="single" w:sz="8" w:space="0" w:color="auto"/>
              <w:right w:val="single" w:sz="8" w:space="0" w:color="auto"/>
            </w:tcBorders>
            <w:shd w:val="clear" w:color="auto" w:fill="DBE5F1" w:themeFill="accent1" w:themeFillTint="33"/>
            <w:vAlign w:val="center"/>
            <w:hideMark/>
          </w:tcPr>
          <w:p>
            <w:pPr>
              <w:spacing w:after="0"/>
              <w:rPr>
                <w:b/>
                <w:bCs/>
                <w:noProof/>
                <w:color w:val="000000"/>
                <w:sz w:val="20"/>
                <w:szCs w:val="20"/>
                <w:lang w:eastAsia="en-GB"/>
              </w:rPr>
            </w:pPr>
            <w:r>
              <w:rPr>
                <w:b/>
                <w:bCs/>
                <w:noProof/>
                <w:color w:val="000000"/>
                <w:sz w:val="20"/>
                <w:szCs w:val="20"/>
                <w:lang w:eastAsia="en-GB"/>
              </w:rPr>
              <w:t>Carry-over of units from preceeding periods</w:t>
            </w:r>
            <w:r>
              <w:rPr>
                <w:b/>
                <w:bCs/>
                <w:noProof/>
                <w:color w:val="000000"/>
                <w:sz w:val="20"/>
                <w:szCs w:val="20"/>
                <w:vertAlign w:val="superscript"/>
                <w:lang w:eastAsia="en-GB"/>
              </w:rPr>
              <w:footnoteReference w:id="3"/>
            </w:r>
          </w:p>
        </w:tc>
        <w:tc>
          <w:tcPr>
            <w:tcW w:w="914" w:type="pct"/>
            <w:gridSpan w:val="2"/>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p>
          <w:p>
            <w:pPr>
              <w:spacing w:after="0"/>
              <w:jc w:val="center"/>
              <w:rPr>
                <w:noProof/>
                <w:color w:val="000000"/>
                <w:sz w:val="18"/>
                <w:szCs w:val="18"/>
                <w:lang w:eastAsia="en-GB"/>
              </w:rPr>
            </w:pPr>
            <w:r>
              <w:rPr>
                <w:noProof/>
                <w:color w:val="000000"/>
                <w:sz w:val="18"/>
                <w:szCs w:val="18"/>
                <w:lang w:eastAsia="en-GB"/>
              </w:rPr>
              <w:t>Subject to KP rules including those agreed in the Doha Amendment</w:t>
            </w:r>
          </w:p>
        </w:tc>
        <w:tc>
          <w:tcPr>
            <w:tcW w:w="663"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No</w:t>
            </w:r>
          </w:p>
        </w:tc>
        <w:tc>
          <w:tcPr>
            <w:tcW w:w="739"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EU ETS allowances can be banked into subsequent ETS trading periods since the second trading period</w:t>
            </w:r>
          </w:p>
        </w:tc>
        <w:tc>
          <w:tcPr>
            <w:tcW w:w="761"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No carry over from previous period</w:t>
            </w:r>
          </w:p>
        </w:tc>
        <w:tc>
          <w:tcPr>
            <w:tcW w:w="781"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Indefinite validity of allowances not limited to trading periods, no need to carry over.</w:t>
            </w:r>
          </w:p>
        </w:tc>
        <w:tc>
          <w:tcPr>
            <w:tcW w:w="661"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No</w:t>
            </w:r>
          </w:p>
        </w:tc>
      </w:tr>
      <w:tr>
        <w:trPr>
          <w:trHeight w:val="313"/>
        </w:trPr>
        <w:tc>
          <w:tcPr>
            <w:tcW w:w="481" w:type="pct"/>
            <w:tcBorders>
              <w:top w:val="nil"/>
              <w:left w:val="single" w:sz="8" w:space="0" w:color="auto"/>
              <w:bottom w:val="single" w:sz="8" w:space="0" w:color="auto"/>
              <w:right w:val="single" w:sz="8" w:space="0" w:color="auto"/>
            </w:tcBorders>
            <w:shd w:val="clear" w:color="auto" w:fill="DBE5F1" w:themeFill="accent1" w:themeFillTint="33"/>
            <w:vAlign w:val="center"/>
            <w:hideMark/>
          </w:tcPr>
          <w:p>
            <w:pPr>
              <w:spacing w:after="0"/>
              <w:rPr>
                <w:b/>
                <w:bCs/>
                <w:noProof/>
                <w:color w:val="000000"/>
                <w:sz w:val="20"/>
                <w:szCs w:val="20"/>
                <w:lang w:eastAsia="en-GB"/>
              </w:rPr>
            </w:pPr>
            <w:r>
              <w:rPr>
                <w:b/>
                <w:bCs/>
                <w:noProof/>
                <w:color w:val="000000"/>
                <w:sz w:val="20"/>
                <w:szCs w:val="20"/>
                <w:lang w:eastAsia="en-GB"/>
              </w:rPr>
              <w:t>Gases covered</w:t>
            </w:r>
          </w:p>
        </w:tc>
        <w:tc>
          <w:tcPr>
            <w:tcW w:w="914" w:type="pct"/>
            <w:gridSpan w:val="2"/>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val="pt-PT" w:eastAsia="en-GB"/>
              </w:rPr>
            </w:pPr>
          </w:p>
          <w:p>
            <w:pPr>
              <w:spacing w:after="0"/>
              <w:jc w:val="center"/>
              <w:rPr>
                <w:noProof/>
                <w:color w:val="000000"/>
                <w:sz w:val="18"/>
                <w:szCs w:val="18"/>
                <w:lang w:val="pt-PT" w:eastAsia="en-GB"/>
              </w:rPr>
            </w:pPr>
            <w:r>
              <w:rPr>
                <w:noProof/>
                <w:color w:val="000000"/>
                <w:sz w:val="18"/>
                <w:szCs w:val="18"/>
                <w:lang w:val="pt-PT" w:eastAsia="en-GB"/>
              </w:rPr>
              <w:t>CO</w:t>
            </w:r>
            <w:r>
              <w:rPr>
                <w:noProof/>
                <w:color w:val="000000"/>
                <w:sz w:val="18"/>
                <w:szCs w:val="18"/>
                <w:vertAlign w:val="subscript"/>
                <w:lang w:val="pt-PT" w:eastAsia="en-GB"/>
              </w:rPr>
              <w:t>2</w:t>
            </w:r>
            <w:r>
              <w:rPr>
                <w:noProof/>
                <w:color w:val="000000"/>
                <w:sz w:val="18"/>
                <w:szCs w:val="18"/>
                <w:lang w:val="pt-PT" w:eastAsia="en-GB"/>
              </w:rPr>
              <w:t>, CH</w:t>
            </w:r>
            <w:r>
              <w:rPr>
                <w:noProof/>
                <w:color w:val="000000"/>
                <w:sz w:val="18"/>
                <w:szCs w:val="18"/>
                <w:vertAlign w:val="subscript"/>
                <w:lang w:val="pt-PT" w:eastAsia="en-GB"/>
              </w:rPr>
              <w:t>4</w:t>
            </w:r>
            <w:r>
              <w:rPr>
                <w:noProof/>
                <w:color w:val="000000"/>
                <w:sz w:val="18"/>
                <w:szCs w:val="18"/>
                <w:lang w:val="pt-PT" w:eastAsia="en-GB"/>
              </w:rPr>
              <w:t>, N</w:t>
            </w:r>
            <w:r>
              <w:rPr>
                <w:noProof/>
                <w:color w:val="000000"/>
                <w:sz w:val="18"/>
                <w:szCs w:val="18"/>
                <w:vertAlign w:val="subscript"/>
                <w:lang w:val="pt-PT" w:eastAsia="en-GB"/>
              </w:rPr>
              <w:t>2</w:t>
            </w:r>
            <w:r>
              <w:rPr>
                <w:noProof/>
                <w:color w:val="000000"/>
                <w:sz w:val="18"/>
                <w:szCs w:val="18"/>
                <w:lang w:val="pt-PT" w:eastAsia="en-GB"/>
              </w:rPr>
              <w:t>O, HFCs, PFCs, SF</w:t>
            </w:r>
            <w:r>
              <w:rPr>
                <w:noProof/>
                <w:color w:val="000000"/>
                <w:sz w:val="18"/>
                <w:szCs w:val="18"/>
                <w:vertAlign w:val="subscript"/>
                <w:lang w:val="pt-PT" w:eastAsia="en-GB"/>
              </w:rPr>
              <w:t>6</w:t>
            </w:r>
            <w:r>
              <w:rPr>
                <w:noProof/>
                <w:color w:val="000000"/>
                <w:sz w:val="18"/>
                <w:szCs w:val="18"/>
                <w:lang w:val="pt-PT" w:eastAsia="en-GB"/>
              </w:rPr>
              <w:t>, NF</w:t>
            </w:r>
            <w:r>
              <w:rPr>
                <w:noProof/>
                <w:color w:val="000000"/>
                <w:sz w:val="18"/>
                <w:szCs w:val="18"/>
                <w:vertAlign w:val="subscript"/>
                <w:lang w:val="pt-PT" w:eastAsia="en-GB"/>
              </w:rPr>
              <w:t>3</w:t>
            </w:r>
          </w:p>
        </w:tc>
        <w:tc>
          <w:tcPr>
            <w:tcW w:w="663"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val="pt-PT" w:eastAsia="en-GB"/>
              </w:rPr>
            </w:pPr>
            <w:r>
              <w:rPr>
                <w:noProof/>
                <w:color w:val="000000"/>
                <w:sz w:val="18"/>
                <w:szCs w:val="18"/>
                <w:lang w:val="pt-PT" w:eastAsia="en-GB"/>
              </w:rPr>
              <w:t>CO</w:t>
            </w:r>
            <w:r>
              <w:rPr>
                <w:noProof/>
                <w:color w:val="000000"/>
                <w:sz w:val="18"/>
                <w:szCs w:val="18"/>
                <w:vertAlign w:val="subscript"/>
                <w:lang w:val="pt-PT" w:eastAsia="en-GB"/>
              </w:rPr>
              <w:t>2</w:t>
            </w:r>
            <w:r>
              <w:rPr>
                <w:noProof/>
                <w:color w:val="000000"/>
                <w:sz w:val="18"/>
                <w:szCs w:val="18"/>
                <w:lang w:val="pt-PT" w:eastAsia="en-GB"/>
              </w:rPr>
              <w:t>, CH</w:t>
            </w:r>
            <w:r>
              <w:rPr>
                <w:noProof/>
                <w:color w:val="000000"/>
                <w:sz w:val="18"/>
                <w:szCs w:val="18"/>
                <w:vertAlign w:val="subscript"/>
                <w:lang w:val="pt-PT" w:eastAsia="en-GB"/>
              </w:rPr>
              <w:t>4</w:t>
            </w:r>
            <w:r>
              <w:rPr>
                <w:noProof/>
                <w:color w:val="000000"/>
                <w:sz w:val="18"/>
                <w:szCs w:val="18"/>
                <w:lang w:val="pt-PT" w:eastAsia="en-GB"/>
              </w:rPr>
              <w:t>, N</w:t>
            </w:r>
            <w:r>
              <w:rPr>
                <w:noProof/>
                <w:color w:val="000000"/>
                <w:sz w:val="18"/>
                <w:szCs w:val="18"/>
                <w:vertAlign w:val="subscript"/>
                <w:lang w:val="pt-PT" w:eastAsia="en-GB"/>
              </w:rPr>
              <w:t>2</w:t>
            </w:r>
            <w:r>
              <w:rPr>
                <w:noProof/>
                <w:color w:val="000000"/>
                <w:sz w:val="18"/>
                <w:szCs w:val="18"/>
                <w:lang w:val="pt-PT" w:eastAsia="en-GB"/>
              </w:rPr>
              <w:t>O, HFCs, PFCs, SF</w:t>
            </w:r>
            <w:r>
              <w:rPr>
                <w:noProof/>
                <w:color w:val="000000"/>
                <w:sz w:val="18"/>
                <w:szCs w:val="18"/>
                <w:vertAlign w:val="subscript"/>
                <w:lang w:val="pt-PT" w:eastAsia="en-GB"/>
              </w:rPr>
              <w:t>6</w:t>
            </w:r>
            <w:r>
              <w:rPr>
                <w:noProof/>
                <w:color w:val="000000"/>
                <w:sz w:val="18"/>
                <w:szCs w:val="18"/>
                <w:lang w:val="pt-PT" w:eastAsia="en-GB"/>
              </w:rPr>
              <w:t>, NF</w:t>
            </w:r>
            <w:r>
              <w:rPr>
                <w:noProof/>
                <w:color w:val="000000"/>
                <w:sz w:val="18"/>
                <w:szCs w:val="18"/>
                <w:vertAlign w:val="subscript"/>
                <w:lang w:val="pt-PT" w:eastAsia="en-GB"/>
              </w:rPr>
              <w:t>3</w:t>
            </w:r>
          </w:p>
        </w:tc>
        <w:tc>
          <w:tcPr>
            <w:tcW w:w="739" w:type="pct"/>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jc w:val="center"/>
              <w:rPr>
                <w:noProof/>
                <w:color w:val="000000"/>
                <w:sz w:val="18"/>
                <w:szCs w:val="18"/>
                <w:lang w:val="pt-PT" w:eastAsia="en-GB"/>
              </w:rPr>
            </w:pPr>
            <w:r>
              <w:rPr>
                <w:noProof/>
                <w:color w:val="000000"/>
                <w:sz w:val="18"/>
                <w:szCs w:val="18"/>
                <w:lang w:val="pt-PT" w:eastAsia="en-GB"/>
              </w:rPr>
              <w:t>CO</w:t>
            </w:r>
            <w:r>
              <w:rPr>
                <w:noProof/>
                <w:color w:val="000000"/>
                <w:sz w:val="18"/>
                <w:szCs w:val="18"/>
                <w:vertAlign w:val="subscript"/>
                <w:lang w:val="pt-PT" w:eastAsia="en-GB"/>
              </w:rPr>
              <w:t>2</w:t>
            </w:r>
            <w:r>
              <w:rPr>
                <w:noProof/>
                <w:color w:val="000000"/>
                <w:sz w:val="18"/>
                <w:szCs w:val="18"/>
                <w:lang w:val="pt-PT" w:eastAsia="en-GB"/>
              </w:rPr>
              <w:t>, N</w:t>
            </w:r>
            <w:r>
              <w:rPr>
                <w:noProof/>
                <w:color w:val="000000"/>
                <w:sz w:val="18"/>
                <w:szCs w:val="18"/>
                <w:vertAlign w:val="subscript"/>
                <w:lang w:val="pt-PT" w:eastAsia="en-GB"/>
              </w:rPr>
              <w:t>2</w:t>
            </w:r>
            <w:r>
              <w:rPr>
                <w:noProof/>
                <w:color w:val="000000"/>
                <w:sz w:val="18"/>
                <w:szCs w:val="18"/>
                <w:lang w:val="pt-PT" w:eastAsia="en-GB"/>
              </w:rPr>
              <w:t xml:space="preserve">O, PFCs, </w:t>
            </w:r>
          </w:p>
        </w:tc>
        <w:tc>
          <w:tcPr>
            <w:tcW w:w="761" w:type="pct"/>
            <w:tcBorders>
              <w:top w:val="single" w:sz="8" w:space="0" w:color="auto"/>
              <w:left w:val="single" w:sz="8" w:space="0" w:color="auto"/>
              <w:bottom w:val="single" w:sz="8" w:space="0" w:color="auto"/>
              <w:right w:val="single" w:sz="8" w:space="0" w:color="000000"/>
            </w:tcBorders>
            <w:shd w:val="clear" w:color="auto" w:fill="auto"/>
            <w:vAlign w:val="center"/>
          </w:tcPr>
          <w:p>
            <w:pPr>
              <w:spacing w:after="0"/>
              <w:jc w:val="center"/>
              <w:rPr>
                <w:noProof/>
                <w:color w:val="000000"/>
                <w:sz w:val="18"/>
                <w:szCs w:val="18"/>
                <w:lang w:val="pt-PT" w:eastAsia="en-GB"/>
              </w:rPr>
            </w:pPr>
            <w:r>
              <w:rPr>
                <w:noProof/>
                <w:color w:val="000000"/>
                <w:sz w:val="18"/>
                <w:szCs w:val="18"/>
                <w:lang w:val="pt-PT" w:eastAsia="en-GB"/>
              </w:rPr>
              <w:t>CO</w:t>
            </w:r>
            <w:r>
              <w:rPr>
                <w:noProof/>
                <w:color w:val="000000"/>
                <w:sz w:val="18"/>
                <w:szCs w:val="18"/>
                <w:vertAlign w:val="subscript"/>
                <w:lang w:val="pt-PT" w:eastAsia="en-GB"/>
              </w:rPr>
              <w:t>2</w:t>
            </w:r>
            <w:r>
              <w:rPr>
                <w:noProof/>
                <w:color w:val="000000"/>
                <w:sz w:val="18"/>
                <w:szCs w:val="18"/>
                <w:lang w:val="pt-PT" w:eastAsia="en-GB"/>
              </w:rPr>
              <w:t>, CH</w:t>
            </w:r>
            <w:r>
              <w:rPr>
                <w:noProof/>
                <w:color w:val="000000"/>
                <w:sz w:val="18"/>
                <w:szCs w:val="18"/>
                <w:vertAlign w:val="subscript"/>
                <w:lang w:val="pt-PT" w:eastAsia="en-GB"/>
              </w:rPr>
              <w:t>4</w:t>
            </w:r>
            <w:r>
              <w:rPr>
                <w:noProof/>
                <w:color w:val="000000"/>
                <w:sz w:val="18"/>
                <w:szCs w:val="18"/>
                <w:lang w:val="pt-PT" w:eastAsia="en-GB"/>
              </w:rPr>
              <w:t>, N</w:t>
            </w:r>
            <w:r>
              <w:rPr>
                <w:noProof/>
                <w:color w:val="000000"/>
                <w:sz w:val="18"/>
                <w:szCs w:val="18"/>
                <w:vertAlign w:val="subscript"/>
                <w:lang w:val="pt-PT" w:eastAsia="en-GB"/>
              </w:rPr>
              <w:t>2</w:t>
            </w:r>
            <w:r>
              <w:rPr>
                <w:noProof/>
                <w:color w:val="000000"/>
                <w:sz w:val="18"/>
                <w:szCs w:val="18"/>
                <w:lang w:val="pt-PT" w:eastAsia="en-GB"/>
              </w:rPr>
              <w:t>O, HFCs, PFCs, SF</w:t>
            </w:r>
            <w:r>
              <w:rPr>
                <w:noProof/>
                <w:color w:val="000000"/>
                <w:sz w:val="18"/>
                <w:szCs w:val="18"/>
                <w:vertAlign w:val="subscript"/>
                <w:lang w:val="pt-PT" w:eastAsia="en-GB"/>
              </w:rPr>
              <w:t>6</w:t>
            </w:r>
          </w:p>
        </w:tc>
        <w:tc>
          <w:tcPr>
            <w:tcW w:w="781" w:type="pct"/>
            <w:tcBorders>
              <w:top w:val="single" w:sz="8" w:space="0" w:color="auto"/>
              <w:left w:val="nil"/>
              <w:bottom w:val="single" w:sz="8" w:space="0" w:color="auto"/>
              <w:right w:val="single" w:sz="8" w:space="0" w:color="000000"/>
            </w:tcBorders>
            <w:shd w:val="clear" w:color="000000" w:fill="E4DFEC"/>
            <w:vAlign w:val="center"/>
            <w:hideMark/>
          </w:tcPr>
          <w:p>
            <w:pPr>
              <w:spacing w:after="0"/>
              <w:jc w:val="center"/>
              <w:rPr>
                <w:noProof/>
                <w:color w:val="000000"/>
                <w:sz w:val="18"/>
                <w:szCs w:val="18"/>
                <w:lang w:val="pt-PT" w:eastAsia="en-GB"/>
              </w:rPr>
            </w:pPr>
            <w:r>
              <w:rPr>
                <w:noProof/>
                <w:color w:val="000000"/>
                <w:sz w:val="18"/>
                <w:szCs w:val="18"/>
                <w:lang w:val="pt-PT" w:eastAsia="en-GB"/>
              </w:rPr>
              <w:t>CO</w:t>
            </w:r>
            <w:r>
              <w:rPr>
                <w:noProof/>
                <w:color w:val="000000"/>
                <w:sz w:val="18"/>
                <w:szCs w:val="18"/>
                <w:vertAlign w:val="subscript"/>
                <w:lang w:val="pt-PT" w:eastAsia="en-GB"/>
              </w:rPr>
              <w:t>2</w:t>
            </w:r>
            <w:r>
              <w:rPr>
                <w:noProof/>
                <w:color w:val="000000"/>
                <w:sz w:val="18"/>
                <w:szCs w:val="18"/>
                <w:lang w:val="pt-PT" w:eastAsia="en-GB"/>
              </w:rPr>
              <w:t>, N</w:t>
            </w:r>
            <w:r>
              <w:rPr>
                <w:noProof/>
                <w:color w:val="000000"/>
                <w:sz w:val="18"/>
                <w:szCs w:val="18"/>
                <w:vertAlign w:val="subscript"/>
                <w:lang w:val="pt-PT" w:eastAsia="en-GB"/>
              </w:rPr>
              <w:t>2</w:t>
            </w:r>
            <w:r>
              <w:rPr>
                <w:noProof/>
                <w:color w:val="000000"/>
                <w:sz w:val="18"/>
                <w:szCs w:val="18"/>
                <w:lang w:val="pt-PT" w:eastAsia="en-GB"/>
              </w:rPr>
              <w:t xml:space="preserve">O, PFCs, </w:t>
            </w:r>
          </w:p>
        </w:tc>
        <w:tc>
          <w:tcPr>
            <w:tcW w:w="661" w:type="pct"/>
            <w:tcBorders>
              <w:top w:val="single" w:sz="8" w:space="0" w:color="auto"/>
              <w:left w:val="nil"/>
              <w:bottom w:val="single" w:sz="8" w:space="0" w:color="auto"/>
              <w:right w:val="single" w:sz="8" w:space="0" w:color="000000"/>
            </w:tcBorders>
            <w:shd w:val="clear" w:color="000000" w:fill="E4DFEC"/>
            <w:vAlign w:val="center"/>
          </w:tcPr>
          <w:p>
            <w:pPr>
              <w:spacing w:after="0"/>
              <w:jc w:val="center"/>
              <w:rPr>
                <w:noProof/>
                <w:color w:val="000000"/>
                <w:sz w:val="18"/>
                <w:szCs w:val="18"/>
                <w:lang w:val="pt-PT" w:eastAsia="en-GB"/>
              </w:rPr>
            </w:pPr>
            <w:r>
              <w:rPr>
                <w:noProof/>
                <w:color w:val="000000"/>
                <w:sz w:val="18"/>
                <w:szCs w:val="18"/>
                <w:lang w:val="pt-PT" w:eastAsia="en-GB"/>
              </w:rPr>
              <w:t>CO</w:t>
            </w:r>
            <w:r>
              <w:rPr>
                <w:noProof/>
                <w:color w:val="000000"/>
                <w:sz w:val="18"/>
                <w:szCs w:val="18"/>
                <w:vertAlign w:val="subscript"/>
                <w:lang w:val="pt-PT" w:eastAsia="en-GB"/>
              </w:rPr>
              <w:t>2</w:t>
            </w:r>
            <w:r>
              <w:rPr>
                <w:noProof/>
                <w:color w:val="000000"/>
                <w:sz w:val="18"/>
                <w:szCs w:val="18"/>
                <w:lang w:val="pt-PT" w:eastAsia="en-GB"/>
              </w:rPr>
              <w:t>, CH</w:t>
            </w:r>
            <w:r>
              <w:rPr>
                <w:noProof/>
                <w:color w:val="000000"/>
                <w:sz w:val="18"/>
                <w:szCs w:val="18"/>
                <w:vertAlign w:val="subscript"/>
                <w:lang w:val="pt-PT" w:eastAsia="en-GB"/>
              </w:rPr>
              <w:t>4</w:t>
            </w:r>
            <w:r>
              <w:rPr>
                <w:noProof/>
                <w:color w:val="000000"/>
                <w:sz w:val="18"/>
                <w:szCs w:val="18"/>
                <w:lang w:val="pt-PT" w:eastAsia="en-GB"/>
              </w:rPr>
              <w:t>, N</w:t>
            </w:r>
            <w:r>
              <w:rPr>
                <w:noProof/>
                <w:color w:val="000000"/>
                <w:sz w:val="18"/>
                <w:szCs w:val="18"/>
                <w:vertAlign w:val="subscript"/>
                <w:lang w:val="pt-PT" w:eastAsia="en-GB"/>
              </w:rPr>
              <w:t>2</w:t>
            </w:r>
            <w:r>
              <w:rPr>
                <w:noProof/>
                <w:color w:val="000000"/>
                <w:sz w:val="18"/>
                <w:szCs w:val="18"/>
                <w:lang w:val="pt-PT" w:eastAsia="en-GB"/>
              </w:rPr>
              <w:t>O, HFCs, PFCs, SF</w:t>
            </w:r>
            <w:r>
              <w:rPr>
                <w:noProof/>
                <w:color w:val="000000"/>
                <w:sz w:val="18"/>
                <w:szCs w:val="18"/>
                <w:vertAlign w:val="subscript"/>
                <w:lang w:val="pt-PT" w:eastAsia="en-GB"/>
              </w:rPr>
              <w:t>6</w:t>
            </w:r>
            <w:r>
              <w:rPr>
                <w:noProof/>
                <w:color w:val="000000"/>
                <w:sz w:val="18"/>
                <w:szCs w:val="18"/>
                <w:lang w:val="pt-PT" w:eastAsia="en-GB"/>
              </w:rPr>
              <w:t>, NF</w:t>
            </w:r>
            <w:r>
              <w:rPr>
                <w:noProof/>
                <w:color w:val="000000"/>
                <w:sz w:val="18"/>
                <w:szCs w:val="18"/>
                <w:vertAlign w:val="subscript"/>
                <w:lang w:val="pt-PT" w:eastAsia="en-GB"/>
              </w:rPr>
              <w:t>3</w:t>
            </w:r>
          </w:p>
        </w:tc>
      </w:tr>
      <w:tr>
        <w:trPr>
          <w:trHeight w:val="776"/>
        </w:trPr>
        <w:tc>
          <w:tcPr>
            <w:tcW w:w="481" w:type="pct"/>
            <w:tcBorders>
              <w:top w:val="nil"/>
              <w:left w:val="single" w:sz="8" w:space="0" w:color="auto"/>
              <w:bottom w:val="single" w:sz="8" w:space="0" w:color="auto"/>
              <w:right w:val="single" w:sz="8" w:space="0" w:color="auto"/>
            </w:tcBorders>
            <w:shd w:val="clear" w:color="auto" w:fill="DBE5F1" w:themeFill="accent1" w:themeFillTint="33"/>
            <w:vAlign w:val="center"/>
            <w:hideMark/>
          </w:tcPr>
          <w:p>
            <w:pPr>
              <w:spacing w:after="0"/>
              <w:rPr>
                <w:b/>
                <w:bCs/>
                <w:noProof/>
                <w:color w:val="000000"/>
                <w:sz w:val="20"/>
                <w:szCs w:val="20"/>
                <w:lang w:eastAsia="en-GB"/>
              </w:rPr>
            </w:pPr>
            <w:r>
              <w:rPr>
                <w:b/>
                <w:bCs/>
                <w:noProof/>
                <w:color w:val="000000"/>
                <w:sz w:val="20"/>
                <w:szCs w:val="20"/>
                <w:lang w:eastAsia="en-GB"/>
              </w:rPr>
              <w:t>Sectors included</w:t>
            </w:r>
          </w:p>
        </w:tc>
        <w:tc>
          <w:tcPr>
            <w:tcW w:w="530"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Energy, IPPU, agriculture, waste, LULUCF</w:t>
            </w:r>
          </w:p>
        </w:tc>
        <w:tc>
          <w:tcPr>
            <w:tcW w:w="384"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Energy, IPPU, agriculture, waste, LULUCF</w:t>
            </w:r>
          </w:p>
        </w:tc>
        <w:tc>
          <w:tcPr>
            <w:tcW w:w="663"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Energy, IPPU, agriculture, waste, LULUCF</w:t>
            </w:r>
          </w:p>
        </w:tc>
        <w:tc>
          <w:tcPr>
            <w:tcW w:w="739"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Power &amp; heat generation, energy-intensive industry sectors, aviation</w:t>
            </w:r>
          </w:p>
        </w:tc>
        <w:tc>
          <w:tcPr>
            <w:tcW w:w="761"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Transport (except aviation), buildings, non-ETS industry, agriculture (non-CO</w:t>
            </w:r>
            <w:r>
              <w:rPr>
                <w:noProof/>
                <w:color w:val="000000"/>
                <w:sz w:val="18"/>
                <w:szCs w:val="18"/>
                <w:vertAlign w:val="subscript"/>
                <w:lang w:eastAsia="en-GB"/>
              </w:rPr>
              <w:t>2</w:t>
            </w:r>
            <w:r>
              <w:rPr>
                <w:noProof/>
                <w:color w:val="000000"/>
                <w:sz w:val="18"/>
                <w:szCs w:val="18"/>
                <w:lang w:eastAsia="en-GB"/>
              </w:rPr>
              <w:t>) and waste</w:t>
            </w:r>
          </w:p>
        </w:tc>
        <w:tc>
          <w:tcPr>
            <w:tcW w:w="781"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Power &amp; heat generation, energy-intensive industry sectors, aviation</w:t>
            </w:r>
          </w:p>
        </w:tc>
        <w:tc>
          <w:tcPr>
            <w:tcW w:w="661" w:type="pct"/>
            <w:tcBorders>
              <w:top w:val="nil"/>
              <w:left w:val="nil"/>
              <w:bottom w:val="single" w:sz="8" w:space="0" w:color="auto"/>
              <w:right w:val="single" w:sz="8" w:space="0" w:color="auto"/>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Transport (except aviation), buildings, non-ETS industry, agriculture (non CO</w:t>
            </w:r>
            <w:r>
              <w:rPr>
                <w:noProof/>
                <w:color w:val="000000"/>
                <w:sz w:val="18"/>
                <w:szCs w:val="18"/>
                <w:vertAlign w:val="subscript"/>
                <w:lang w:eastAsia="en-GB"/>
              </w:rPr>
              <w:t>2</w:t>
            </w:r>
            <w:r>
              <w:rPr>
                <w:noProof/>
                <w:color w:val="000000"/>
                <w:sz w:val="18"/>
                <w:szCs w:val="18"/>
                <w:lang w:eastAsia="en-GB"/>
              </w:rPr>
              <w:t>) and waste</w:t>
            </w:r>
          </w:p>
        </w:tc>
      </w:tr>
      <w:tr>
        <w:trPr>
          <w:trHeight w:val="313"/>
        </w:trPr>
        <w:tc>
          <w:tcPr>
            <w:tcW w:w="481" w:type="pct"/>
            <w:tcBorders>
              <w:top w:val="nil"/>
              <w:left w:val="single" w:sz="8" w:space="0" w:color="auto"/>
              <w:bottom w:val="single" w:sz="8" w:space="0" w:color="auto"/>
              <w:right w:val="single" w:sz="8" w:space="0" w:color="auto"/>
            </w:tcBorders>
            <w:shd w:val="clear" w:color="auto" w:fill="DBE5F1" w:themeFill="accent1" w:themeFillTint="33"/>
            <w:vAlign w:val="center"/>
            <w:hideMark/>
          </w:tcPr>
          <w:p>
            <w:pPr>
              <w:spacing w:after="0"/>
              <w:rPr>
                <w:b/>
                <w:bCs/>
                <w:noProof/>
                <w:color w:val="000000"/>
                <w:sz w:val="20"/>
                <w:szCs w:val="20"/>
                <w:lang w:eastAsia="en-GB"/>
              </w:rPr>
            </w:pPr>
            <w:r>
              <w:rPr>
                <w:b/>
                <w:bCs/>
                <w:noProof/>
                <w:color w:val="000000"/>
                <w:sz w:val="20"/>
                <w:szCs w:val="20"/>
                <w:lang w:eastAsia="en-GB"/>
              </w:rPr>
              <w:t>GWPs used</w:t>
            </w:r>
          </w:p>
        </w:tc>
        <w:tc>
          <w:tcPr>
            <w:tcW w:w="530"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IPCC SAR</w:t>
            </w:r>
          </w:p>
        </w:tc>
        <w:tc>
          <w:tcPr>
            <w:tcW w:w="384"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IPCC AR4</w:t>
            </w:r>
          </w:p>
        </w:tc>
        <w:tc>
          <w:tcPr>
            <w:tcW w:w="663" w:type="pct"/>
            <w:tcBorders>
              <w:top w:val="nil"/>
              <w:left w:val="nil"/>
              <w:bottom w:val="single" w:sz="8" w:space="0" w:color="auto"/>
              <w:right w:val="nil"/>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IPCC AR4</w:t>
            </w:r>
          </w:p>
        </w:tc>
        <w:tc>
          <w:tcPr>
            <w:tcW w:w="15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IPCC AR4</w:t>
            </w:r>
          </w:p>
        </w:tc>
        <w:tc>
          <w:tcPr>
            <w:tcW w:w="1442" w:type="pct"/>
            <w:gridSpan w:val="2"/>
            <w:tcBorders>
              <w:top w:val="single" w:sz="8" w:space="0" w:color="auto"/>
              <w:left w:val="nil"/>
              <w:bottom w:val="single" w:sz="8" w:space="0" w:color="auto"/>
              <w:right w:val="single" w:sz="8" w:space="0" w:color="000000"/>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IPCC AR4</w:t>
            </w:r>
          </w:p>
        </w:tc>
      </w:tr>
      <w:tr>
        <w:trPr>
          <w:trHeight w:val="860"/>
        </w:trPr>
        <w:tc>
          <w:tcPr>
            <w:tcW w:w="481" w:type="pct"/>
            <w:tcBorders>
              <w:top w:val="nil"/>
              <w:left w:val="single" w:sz="8" w:space="0" w:color="auto"/>
              <w:bottom w:val="single" w:sz="8" w:space="0" w:color="auto"/>
              <w:right w:val="single" w:sz="8" w:space="0" w:color="auto"/>
            </w:tcBorders>
            <w:shd w:val="clear" w:color="auto" w:fill="DBE5F1" w:themeFill="accent1" w:themeFillTint="33"/>
            <w:vAlign w:val="center"/>
            <w:hideMark/>
          </w:tcPr>
          <w:p>
            <w:pPr>
              <w:spacing w:after="0"/>
              <w:rPr>
                <w:b/>
                <w:bCs/>
                <w:noProof/>
                <w:color w:val="000000"/>
                <w:sz w:val="20"/>
                <w:szCs w:val="20"/>
                <w:lang w:eastAsia="en-GB"/>
              </w:rPr>
            </w:pPr>
            <w:r>
              <w:rPr>
                <w:b/>
                <w:bCs/>
                <w:noProof/>
                <w:color w:val="000000"/>
                <w:sz w:val="20"/>
                <w:szCs w:val="20"/>
                <w:lang w:eastAsia="en-GB"/>
              </w:rPr>
              <w:t>Applicable to number of MS</w:t>
            </w:r>
          </w:p>
        </w:tc>
        <w:tc>
          <w:tcPr>
            <w:tcW w:w="530"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15 (additional KP targets for single MS)</w:t>
            </w:r>
          </w:p>
        </w:tc>
        <w:tc>
          <w:tcPr>
            <w:tcW w:w="384" w:type="pct"/>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EU-28 and Iceland</w:t>
            </w:r>
          </w:p>
        </w:tc>
        <w:tc>
          <w:tcPr>
            <w:tcW w:w="663" w:type="pct"/>
            <w:tcBorders>
              <w:top w:val="nil"/>
              <w:left w:val="nil"/>
              <w:bottom w:val="single" w:sz="8" w:space="0" w:color="auto"/>
              <w:right w:val="single" w:sz="8" w:space="0" w:color="auto"/>
            </w:tcBorders>
            <w:shd w:val="clear" w:color="000000" w:fill="E4DFEC"/>
            <w:vAlign w:val="center"/>
            <w:hideMark/>
          </w:tcPr>
          <w:p>
            <w:pPr>
              <w:spacing w:after="0"/>
              <w:rPr>
                <w:noProof/>
                <w:color w:val="000000"/>
                <w:sz w:val="18"/>
                <w:szCs w:val="18"/>
                <w:lang w:eastAsia="en-GB"/>
              </w:rPr>
            </w:pPr>
            <w:r>
              <w:rPr>
                <w:noProof/>
                <w:color w:val="000000"/>
                <w:sz w:val="18"/>
                <w:szCs w:val="18"/>
                <w:lang w:eastAsia="en-GB"/>
              </w:rPr>
              <w:t>28 Member States + possibly Iceland and Norway</w:t>
            </w:r>
          </w:p>
        </w:tc>
        <w:tc>
          <w:tcPr>
            <w:tcW w:w="15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pPr>
              <w:spacing w:after="0"/>
              <w:jc w:val="center"/>
              <w:rPr>
                <w:noProof/>
                <w:color w:val="000000"/>
                <w:sz w:val="18"/>
                <w:szCs w:val="18"/>
                <w:lang w:eastAsia="en-GB"/>
              </w:rPr>
            </w:pPr>
            <w:r>
              <w:rPr>
                <w:noProof/>
                <w:color w:val="000000"/>
                <w:sz w:val="18"/>
                <w:szCs w:val="18"/>
                <w:lang w:eastAsia="en-GB"/>
              </w:rPr>
              <w:t>28</w:t>
            </w:r>
            <w:r>
              <w:rPr>
                <w:noProof/>
                <w:color w:val="000000"/>
                <w:sz w:val="18"/>
                <w:szCs w:val="18"/>
                <w:lang w:eastAsia="en-GB"/>
              </w:rPr>
              <w:footnoteReference w:id="4"/>
            </w:r>
            <w:r>
              <w:rPr>
                <w:noProof/>
                <w:color w:val="000000"/>
                <w:sz w:val="18"/>
                <w:szCs w:val="18"/>
                <w:lang w:eastAsia="en-GB"/>
              </w:rPr>
              <w:t xml:space="preserve"> </w:t>
            </w:r>
          </w:p>
        </w:tc>
        <w:tc>
          <w:tcPr>
            <w:tcW w:w="1442" w:type="pct"/>
            <w:gridSpan w:val="2"/>
            <w:tcBorders>
              <w:top w:val="single" w:sz="8" w:space="0" w:color="auto"/>
              <w:left w:val="nil"/>
              <w:bottom w:val="single" w:sz="8" w:space="0" w:color="auto"/>
              <w:right w:val="single" w:sz="8" w:space="0" w:color="000000"/>
            </w:tcBorders>
            <w:shd w:val="clear" w:color="000000" w:fill="E4DFEC"/>
            <w:vAlign w:val="center"/>
            <w:hideMark/>
          </w:tcPr>
          <w:p>
            <w:pPr>
              <w:spacing w:after="0"/>
              <w:jc w:val="center"/>
              <w:rPr>
                <w:noProof/>
                <w:color w:val="000000"/>
                <w:sz w:val="18"/>
                <w:szCs w:val="18"/>
                <w:lang w:eastAsia="en-GB"/>
              </w:rPr>
            </w:pPr>
            <w:r>
              <w:rPr>
                <w:noProof/>
                <w:color w:val="000000"/>
                <w:sz w:val="18"/>
                <w:szCs w:val="18"/>
                <w:lang w:eastAsia="en-GB"/>
              </w:rPr>
              <w:t xml:space="preserve">28 </w:t>
            </w:r>
          </w:p>
        </w:tc>
      </w:tr>
    </w:tbl>
    <w:p>
      <w:pPr>
        <w:spacing w:after="0"/>
        <w:rPr>
          <w:noProof/>
        </w:rPr>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418" w:right="1418" w:bottom="1418" w:left="1418" w:header="709" w:footer="709" w:gutter="0"/>
          <w:cols w:space="708"/>
          <w:docGrid w:linePitch="360"/>
        </w:sectPr>
      </w:pPr>
      <w:r>
        <w:rPr>
          <w:noProof/>
          <w:sz w:val="20"/>
          <w:szCs w:val="20"/>
        </w:rPr>
        <w:tab/>
      </w:r>
    </w:p>
    <w:p>
      <w:pPr>
        <w:pStyle w:val="Heading3"/>
        <w:rPr>
          <w:noProof/>
          <w:color w:val="365F91" w:themeColor="accent1" w:themeShade="BF"/>
          <w:sz w:val="28"/>
        </w:rPr>
      </w:pPr>
      <w:bookmarkStart w:id="7" w:name="_Toc523734015"/>
      <w:bookmarkStart w:id="8" w:name="_Toc527446992"/>
      <w:bookmarkStart w:id="9" w:name="_Toc527447533"/>
      <w:bookmarkStart w:id="10" w:name="_Toc523734012"/>
      <w:r>
        <w:rPr>
          <w:noProof/>
          <w:color w:val="365F91" w:themeColor="accent1" w:themeShade="BF"/>
          <w:sz w:val="28"/>
        </w:rPr>
        <w:t>2. Greenhouse gas emissions covered by the Kyoto Protocol and the EU Climate and Energy package</w:t>
      </w:r>
      <w:bookmarkEnd w:id="7"/>
      <w:bookmarkEnd w:id="8"/>
      <w:bookmarkEnd w:id="9"/>
    </w:p>
    <w:p>
      <w:pPr>
        <w:rPr>
          <w:noProof/>
        </w:rPr>
      </w:pP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Emissions covered by the EU Climate and Energy Package and by the Kyoto Protocol, second commitment period 1990, 2005, 2016 and 2020 (Mt CO</w:t>
      </w:r>
      <w:r>
        <w:rPr>
          <w:noProof/>
          <w:vertAlign w:val="subscript"/>
        </w:rPr>
        <w:t>2</w:t>
      </w:r>
      <w:r>
        <w:rPr>
          <w:noProof/>
        </w:rPr>
        <w:t>-eq.)</w:t>
      </w:r>
      <w:r>
        <w:rPr>
          <w:noProof/>
          <w:vertAlign w:val="superscript"/>
        </w:rPr>
        <w:footnoteReference w:id="5"/>
      </w:r>
    </w:p>
    <w:tbl>
      <w:tblPr>
        <w:tblW w:w="9229" w:type="dxa"/>
        <w:tblInd w:w="93" w:type="dxa"/>
        <w:tblLayout w:type="fixed"/>
        <w:tblLook w:val="04A0" w:firstRow="1" w:lastRow="0" w:firstColumn="1" w:lastColumn="0" w:noHBand="0" w:noVBand="1"/>
      </w:tblPr>
      <w:tblGrid>
        <w:gridCol w:w="3984"/>
        <w:gridCol w:w="993"/>
        <w:gridCol w:w="850"/>
        <w:gridCol w:w="851"/>
        <w:gridCol w:w="1275"/>
        <w:gridCol w:w="1276"/>
      </w:tblGrid>
      <w:tr>
        <w:trPr>
          <w:trHeight w:val="930"/>
        </w:trPr>
        <w:tc>
          <w:tcPr>
            <w:tcW w:w="3984" w:type="dxa"/>
            <w:tcBorders>
              <w:top w:val="single" w:sz="4" w:space="0" w:color="4F81BD"/>
              <w:left w:val="single" w:sz="4" w:space="0" w:color="4F81BD"/>
              <w:bottom w:val="nil"/>
              <w:right w:val="single" w:sz="4" w:space="0" w:color="4F81BD"/>
            </w:tcBorders>
            <w:shd w:val="clear" w:color="4F81BD" w:fill="4F81BD"/>
            <w:noWrap/>
            <w:vAlign w:val="bottom"/>
            <w:hideMark/>
          </w:tcPr>
          <w:p>
            <w:pPr>
              <w:spacing w:after="0" w:line="240" w:lineRule="auto"/>
              <w:rPr>
                <w:rFonts w:ascii="Calibri" w:eastAsia="Times New Roman" w:hAnsi="Calibri" w:cs="Times New Roman"/>
                <w:b/>
                <w:bCs/>
                <w:noProof/>
                <w:color w:val="FFFFFF"/>
                <w:sz w:val="20"/>
                <w:lang w:eastAsia="en-GB"/>
              </w:rPr>
            </w:pPr>
            <w:r>
              <w:rPr>
                <w:rFonts w:ascii="Calibri" w:eastAsia="Times New Roman" w:hAnsi="Calibri" w:cs="Times New Roman"/>
                <w:b/>
                <w:bCs/>
                <w:noProof/>
                <w:color w:val="FFFFFF"/>
                <w:sz w:val="20"/>
                <w:lang w:eastAsia="en-GB"/>
              </w:rPr>
              <w:t>Mt. CO</w:t>
            </w:r>
            <w:r>
              <w:rPr>
                <w:rFonts w:ascii="Calibri" w:eastAsia="Times New Roman" w:hAnsi="Calibri" w:cs="Times New Roman"/>
                <w:b/>
                <w:bCs/>
                <w:noProof/>
                <w:color w:val="FFFFFF"/>
                <w:sz w:val="20"/>
                <w:vertAlign w:val="subscript"/>
                <w:lang w:eastAsia="en-GB"/>
              </w:rPr>
              <w:t>2</w:t>
            </w:r>
            <w:r>
              <w:rPr>
                <w:rFonts w:ascii="Calibri" w:eastAsia="Times New Roman" w:hAnsi="Calibri" w:cs="Times New Roman"/>
                <w:b/>
                <w:bCs/>
                <w:noProof/>
                <w:color w:val="FFFFFF"/>
                <w:sz w:val="20"/>
                <w:lang w:eastAsia="en-GB"/>
              </w:rPr>
              <w:t xml:space="preserve">-eq. </w:t>
            </w:r>
          </w:p>
        </w:tc>
        <w:tc>
          <w:tcPr>
            <w:tcW w:w="993" w:type="dxa"/>
            <w:tcBorders>
              <w:top w:val="single" w:sz="4" w:space="0" w:color="4F81BD"/>
              <w:left w:val="nil"/>
              <w:bottom w:val="nil"/>
              <w:right w:val="single" w:sz="4" w:space="0" w:color="4F81BD"/>
            </w:tcBorders>
            <w:shd w:val="clear" w:color="4F81BD" w:fill="4F81BD"/>
            <w:noWrap/>
            <w:vAlign w:val="bottom"/>
            <w:hideMark/>
          </w:tcPr>
          <w:p>
            <w:pPr>
              <w:spacing w:after="0" w:line="240" w:lineRule="auto"/>
              <w:rPr>
                <w:rFonts w:ascii="Calibri" w:eastAsia="Times New Roman" w:hAnsi="Calibri" w:cs="Times New Roman"/>
                <w:b/>
                <w:bCs/>
                <w:noProof/>
                <w:color w:val="FFFFFF"/>
                <w:sz w:val="20"/>
                <w:lang w:eastAsia="en-GB"/>
              </w:rPr>
            </w:pPr>
            <w:r>
              <w:rPr>
                <w:rFonts w:ascii="Calibri" w:eastAsia="Times New Roman" w:hAnsi="Calibri" w:cs="Times New Roman"/>
                <w:b/>
                <w:bCs/>
                <w:noProof/>
                <w:color w:val="FFFFFF"/>
                <w:sz w:val="20"/>
                <w:lang w:eastAsia="en-GB"/>
              </w:rPr>
              <w:t>1990</w:t>
            </w:r>
          </w:p>
        </w:tc>
        <w:tc>
          <w:tcPr>
            <w:tcW w:w="850" w:type="dxa"/>
            <w:tcBorders>
              <w:top w:val="single" w:sz="4" w:space="0" w:color="4F81BD"/>
              <w:left w:val="nil"/>
              <w:bottom w:val="nil"/>
              <w:right w:val="single" w:sz="4" w:space="0" w:color="4F81BD"/>
            </w:tcBorders>
            <w:shd w:val="clear" w:color="4F81BD" w:fill="4F81BD"/>
            <w:noWrap/>
            <w:vAlign w:val="bottom"/>
            <w:hideMark/>
          </w:tcPr>
          <w:p>
            <w:pPr>
              <w:spacing w:after="0" w:line="240" w:lineRule="auto"/>
              <w:rPr>
                <w:rFonts w:ascii="Calibri" w:eastAsia="Times New Roman" w:hAnsi="Calibri" w:cs="Times New Roman"/>
                <w:b/>
                <w:bCs/>
                <w:noProof/>
                <w:color w:val="FFFFFF"/>
                <w:sz w:val="20"/>
                <w:lang w:eastAsia="en-GB"/>
              </w:rPr>
            </w:pPr>
            <w:r>
              <w:rPr>
                <w:rFonts w:ascii="Calibri" w:eastAsia="Times New Roman" w:hAnsi="Calibri" w:cs="Times New Roman"/>
                <w:b/>
                <w:bCs/>
                <w:noProof/>
                <w:color w:val="FFFFFF"/>
                <w:sz w:val="20"/>
                <w:lang w:eastAsia="en-GB"/>
              </w:rPr>
              <w:t>2005</w:t>
            </w:r>
          </w:p>
        </w:tc>
        <w:tc>
          <w:tcPr>
            <w:tcW w:w="851" w:type="dxa"/>
            <w:tcBorders>
              <w:top w:val="single" w:sz="4" w:space="0" w:color="4F81BD"/>
              <w:left w:val="nil"/>
              <w:bottom w:val="nil"/>
              <w:right w:val="single" w:sz="4" w:space="0" w:color="4F81BD"/>
            </w:tcBorders>
            <w:shd w:val="clear" w:color="4F81BD" w:fill="4F81BD"/>
            <w:noWrap/>
            <w:vAlign w:val="bottom"/>
            <w:hideMark/>
          </w:tcPr>
          <w:p>
            <w:pPr>
              <w:spacing w:after="0" w:line="240" w:lineRule="auto"/>
              <w:rPr>
                <w:rFonts w:ascii="Calibri" w:eastAsia="Times New Roman" w:hAnsi="Calibri" w:cs="Times New Roman"/>
                <w:b/>
                <w:bCs/>
                <w:noProof/>
                <w:color w:val="FFFFFF"/>
                <w:sz w:val="20"/>
                <w:lang w:eastAsia="en-GB"/>
              </w:rPr>
            </w:pPr>
            <w:r>
              <w:rPr>
                <w:rFonts w:ascii="Calibri" w:eastAsia="Times New Roman" w:hAnsi="Calibri" w:cs="Times New Roman"/>
                <w:b/>
                <w:bCs/>
                <w:noProof/>
                <w:color w:val="FFFFFF"/>
                <w:sz w:val="20"/>
                <w:lang w:eastAsia="en-GB"/>
              </w:rPr>
              <w:t>2016</w:t>
            </w:r>
          </w:p>
        </w:tc>
        <w:tc>
          <w:tcPr>
            <w:tcW w:w="1275" w:type="dxa"/>
            <w:tcBorders>
              <w:top w:val="single" w:sz="4" w:space="0" w:color="4F81BD"/>
              <w:left w:val="nil"/>
              <w:bottom w:val="nil"/>
              <w:right w:val="single" w:sz="4" w:space="0" w:color="4F81BD"/>
            </w:tcBorders>
            <w:shd w:val="clear" w:color="4F81BD" w:fill="4F81BD"/>
            <w:vAlign w:val="bottom"/>
            <w:hideMark/>
          </w:tcPr>
          <w:p>
            <w:pPr>
              <w:spacing w:after="0" w:line="240" w:lineRule="auto"/>
              <w:rPr>
                <w:rFonts w:ascii="Calibri" w:eastAsia="Times New Roman" w:hAnsi="Calibri" w:cs="Times New Roman"/>
                <w:b/>
                <w:bCs/>
                <w:noProof/>
                <w:color w:val="FFFFFF"/>
                <w:sz w:val="20"/>
                <w:lang w:eastAsia="en-GB"/>
              </w:rPr>
            </w:pPr>
            <w:r>
              <w:rPr>
                <w:rFonts w:ascii="Calibri" w:eastAsia="Times New Roman" w:hAnsi="Calibri" w:cs="Times New Roman"/>
                <w:b/>
                <w:bCs/>
                <w:noProof/>
                <w:color w:val="FFFFFF"/>
                <w:sz w:val="20"/>
                <w:lang w:eastAsia="en-GB"/>
              </w:rPr>
              <w:t>2020 projections (WEM)</w:t>
            </w:r>
          </w:p>
        </w:tc>
        <w:tc>
          <w:tcPr>
            <w:tcW w:w="1276" w:type="dxa"/>
            <w:tcBorders>
              <w:top w:val="single" w:sz="4" w:space="0" w:color="4F81BD"/>
              <w:left w:val="nil"/>
              <w:bottom w:val="nil"/>
              <w:right w:val="single" w:sz="4" w:space="0" w:color="4F81BD"/>
            </w:tcBorders>
            <w:shd w:val="clear" w:color="4F81BD" w:fill="4F81BD"/>
            <w:vAlign w:val="bottom"/>
            <w:hideMark/>
          </w:tcPr>
          <w:p>
            <w:pPr>
              <w:spacing w:after="0" w:line="240" w:lineRule="auto"/>
              <w:rPr>
                <w:rFonts w:ascii="Calibri" w:eastAsia="Times New Roman" w:hAnsi="Calibri" w:cs="Times New Roman"/>
                <w:b/>
                <w:bCs/>
                <w:noProof/>
                <w:color w:val="FFFFFF"/>
                <w:sz w:val="20"/>
                <w:lang w:eastAsia="en-GB"/>
              </w:rPr>
            </w:pPr>
            <w:r>
              <w:rPr>
                <w:rFonts w:ascii="Calibri" w:eastAsia="Times New Roman" w:hAnsi="Calibri" w:cs="Times New Roman"/>
                <w:b/>
                <w:bCs/>
                <w:noProof/>
                <w:color w:val="FFFFFF"/>
                <w:sz w:val="20"/>
                <w:lang w:eastAsia="en-GB"/>
              </w:rPr>
              <w:t>2020 targets (-20 % compared to base year)</w:t>
            </w:r>
          </w:p>
        </w:tc>
      </w:tr>
      <w:tr>
        <w:trPr>
          <w:trHeight w:val="600"/>
        </w:trPr>
        <w:tc>
          <w:tcPr>
            <w:tcW w:w="3984" w:type="dxa"/>
            <w:tcBorders>
              <w:top w:val="nil"/>
              <w:left w:val="single" w:sz="4" w:space="0" w:color="4F81BD"/>
              <w:bottom w:val="nil"/>
              <w:right w:val="single" w:sz="4" w:space="0" w:color="4F81BD"/>
            </w:tcBorders>
            <w:shd w:val="clear" w:color="DCE6F1" w:fill="DCE6F1"/>
            <w:vAlign w:val="bottom"/>
            <w:hideMark/>
          </w:tcPr>
          <w:p>
            <w:pPr>
              <w:spacing w:after="0" w:line="240" w:lineRule="auto"/>
              <w:rPr>
                <w:rFonts w:ascii="Calibri" w:eastAsia="Times New Roman" w:hAnsi="Calibri" w:cs="Times New Roman"/>
                <w:noProof/>
                <w:color w:val="000000"/>
                <w:sz w:val="20"/>
                <w:lang w:eastAsia="en-GB"/>
              </w:rPr>
            </w:pPr>
            <w:r>
              <w:rPr>
                <w:rFonts w:ascii="Calibri" w:eastAsia="Times New Roman" w:hAnsi="Calibri" w:cs="Times New Roman"/>
                <w:noProof/>
                <w:color w:val="000000"/>
                <w:sz w:val="20"/>
                <w:lang w:eastAsia="en-GB"/>
              </w:rPr>
              <w:t>Total GHG emissions covered by EU Climate and Energy Package</w:t>
            </w:r>
          </w:p>
        </w:tc>
        <w:tc>
          <w:tcPr>
            <w:tcW w:w="993" w:type="dxa"/>
            <w:tcBorders>
              <w:top w:val="nil"/>
              <w:left w:val="nil"/>
              <w:bottom w:val="nil"/>
              <w:right w:val="single" w:sz="4" w:space="0" w:color="4F81BD"/>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lang w:eastAsia="en-GB"/>
              </w:rPr>
            </w:pPr>
            <w:r>
              <w:rPr>
                <w:rFonts w:ascii="Calibri" w:eastAsia="Times New Roman" w:hAnsi="Calibri" w:cs="Times New Roman"/>
                <w:noProof/>
                <w:color w:val="000000"/>
                <w:sz w:val="20"/>
                <w:lang w:eastAsia="en-GB"/>
              </w:rPr>
              <w:t>5 720</w:t>
            </w:r>
          </w:p>
        </w:tc>
        <w:tc>
          <w:tcPr>
            <w:tcW w:w="850" w:type="dxa"/>
            <w:tcBorders>
              <w:top w:val="nil"/>
              <w:left w:val="nil"/>
              <w:bottom w:val="nil"/>
              <w:right w:val="single" w:sz="4" w:space="0" w:color="4F81BD"/>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lang w:eastAsia="en-GB"/>
              </w:rPr>
            </w:pPr>
            <w:r>
              <w:rPr>
                <w:rFonts w:ascii="Calibri" w:eastAsia="Times New Roman" w:hAnsi="Calibri" w:cs="Times New Roman"/>
                <w:noProof/>
                <w:color w:val="000000"/>
                <w:sz w:val="20"/>
                <w:lang w:eastAsia="en-GB"/>
              </w:rPr>
              <w:t>5 351</w:t>
            </w:r>
          </w:p>
        </w:tc>
        <w:tc>
          <w:tcPr>
            <w:tcW w:w="851" w:type="dxa"/>
            <w:tcBorders>
              <w:top w:val="nil"/>
              <w:left w:val="nil"/>
              <w:bottom w:val="nil"/>
              <w:right w:val="single" w:sz="4" w:space="0" w:color="4F81BD"/>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lang w:eastAsia="en-GB"/>
              </w:rPr>
            </w:pPr>
            <w:r>
              <w:rPr>
                <w:rFonts w:ascii="Calibri" w:eastAsia="Times New Roman" w:hAnsi="Calibri" w:cs="Times New Roman"/>
                <w:noProof/>
                <w:color w:val="000000"/>
                <w:sz w:val="20"/>
                <w:lang w:eastAsia="en-GB"/>
              </w:rPr>
              <w:t>4 441</w:t>
            </w:r>
          </w:p>
        </w:tc>
        <w:tc>
          <w:tcPr>
            <w:tcW w:w="1275" w:type="dxa"/>
            <w:tcBorders>
              <w:top w:val="nil"/>
              <w:left w:val="nil"/>
              <w:bottom w:val="nil"/>
              <w:right w:val="single" w:sz="4" w:space="0" w:color="4F81BD"/>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lang w:eastAsia="en-GB"/>
              </w:rPr>
            </w:pPr>
            <w:r>
              <w:rPr>
                <w:rFonts w:ascii="Calibri" w:eastAsia="Times New Roman" w:hAnsi="Calibri" w:cs="Times New Roman"/>
                <w:noProof/>
                <w:color w:val="000000"/>
                <w:sz w:val="20"/>
                <w:lang w:eastAsia="en-GB"/>
              </w:rPr>
              <w:t>4 218</w:t>
            </w:r>
          </w:p>
        </w:tc>
        <w:tc>
          <w:tcPr>
            <w:tcW w:w="1276" w:type="dxa"/>
            <w:tcBorders>
              <w:top w:val="nil"/>
              <w:left w:val="nil"/>
              <w:bottom w:val="nil"/>
              <w:right w:val="single" w:sz="4" w:space="0" w:color="4F81BD"/>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lang w:eastAsia="en-GB"/>
              </w:rPr>
            </w:pPr>
            <w:r>
              <w:rPr>
                <w:rFonts w:ascii="Calibri" w:eastAsia="Times New Roman" w:hAnsi="Calibri" w:cs="Times New Roman"/>
                <w:noProof/>
                <w:color w:val="000000"/>
                <w:sz w:val="20"/>
                <w:lang w:eastAsia="en-GB"/>
              </w:rPr>
              <w:t>4 576</w:t>
            </w:r>
          </w:p>
        </w:tc>
      </w:tr>
      <w:tr>
        <w:trPr>
          <w:trHeight w:val="300"/>
        </w:trPr>
        <w:tc>
          <w:tcPr>
            <w:tcW w:w="3984" w:type="dxa"/>
            <w:tcBorders>
              <w:top w:val="nil"/>
              <w:left w:val="single" w:sz="4" w:space="0" w:color="4F81BD"/>
              <w:bottom w:val="nil"/>
              <w:right w:val="single" w:sz="4" w:space="0" w:color="4F81BD"/>
            </w:tcBorders>
            <w:shd w:val="clear" w:color="auto" w:fill="auto"/>
            <w:vAlign w:val="bottom"/>
            <w:hideMark/>
          </w:tcPr>
          <w:p>
            <w:pPr>
              <w:spacing w:after="0" w:line="240" w:lineRule="auto"/>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 xml:space="preserve">    of which domestic aviation</w:t>
            </w:r>
          </w:p>
        </w:tc>
        <w:tc>
          <w:tcPr>
            <w:tcW w:w="993" w:type="dxa"/>
            <w:tcBorders>
              <w:top w:val="nil"/>
              <w:left w:val="nil"/>
              <w:bottom w:val="nil"/>
              <w:right w:val="single" w:sz="4" w:space="0" w:color="4F81BD"/>
            </w:tcBorders>
            <w:shd w:val="clear" w:color="auto" w:fill="auto"/>
            <w:noWrap/>
            <w:vAlign w:val="bottom"/>
            <w:hideMark/>
          </w:tcPr>
          <w:p>
            <w:pPr>
              <w:spacing w:after="0" w:line="240" w:lineRule="auto"/>
              <w:jc w:val="right"/>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14</w:t>
            </w:r>
          </w:p>
        </w:tc>
        <w:tc>
          <w:tcPr>
            <w:tcW w:w="850" w:type="dxa"/>
            <w:tcBorders>
              <w:top w:val="nil"/>
              <w:left w:val="nil"/>
              <w:bottom w:val="nil"/>
              <w:right w:val="single" w:sz="4" w:space="0" w:color="4F81BD"/>
            </w:tcBorders>
            <w:shd w:val="clear" w:color="auto" w:fill="auto"/>
            <w:noWrap/>
            <w:vAlign w:val="bottom"/>
            <w:hideMark/>
          </w:tcPr>
          <w:p>
            <w:pPr>
              <w:spacing w:after="0" w:line="240" w:lineRule="auto"/>
              <w:jc w:val="right"/>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20</w:t>
            </w:r>
          </w:p>
        </w:tc>
        <w:tc>
          <w:tcPr>
            <w:tcW w:w="851" w:type="dxa"/>
            <w:tcBorders>
              <w:top w:val="nil"/>
              <w:left w:val="nil"/>
              <w:bottom w:val="nil"/>
              <w:right w:val="single" w:sz="4" w:space="0" w:color="4F81BD"/>
            </w:tcBorders>
            <w:shd w:val="clear" w:color="auto" w:fill="auto"/>
            <w:noWrap/>
            <w:vAlign w:val="bottom"/>
            <w:hideMark/>
          </w:tcPr>
          <w:p>
            <w:pPr>
              <w:spacing w:after="0" w:line="240" w:lineRule="auto"/>
              <w:jc w:val="right"/>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16</w:t>
            </w:r>
          </w:p>
        </w:tc>
        <w:tc>
          <w:tcPr>
            <w:tcW w:w="1275" w:type="dxa"/>
            <w:tcBorders>
              <w:top w:val="nil"/>
              <w:left w:val="nil"/>
              <w:bottom w:val="nil"/>
              <w:right w:val="single" w:sz="4" w:space="0" w:color="4F81BD"/>
            </w:tcBorders>
            <w:shd w:val="clear" w:color="auto" w:fill="auto"/>
            <w:noWrap/>
            <w:vAlign w:val="bottom"/>
            <w:hideMark/>
          </w:tcPr>
          <w:p>
            <w:pPr>
              <w:spacing w:after="0" w:line="240" w:lineRule="auto"/>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 </w:t>
            </w:r>
          </w:p>
        </w:tc>
        <w:tc>
          <w:tcPr>
            <w:tcW w:w="1276" w:type="dxa"/>
            <w:tcBorders>
              <w:top w:val="nil"/>
              <w:left w:val="nil"/>
              <w:bottom w:val="nil"/>
              <w:right w:val="single" w:sz="4" w:space="0" w:color="4F81BD"/>
            </w:tcBorders>
            <w:shd w:val="clear" w:color="auto" w:fill="auto"/>
            <w:noWrap/>
            <w:vAlign w:val="bottom"/>
            <w:hideMark/>
          </w:tcPr>
          <w:p>
            <w:pPr>
              <w:spacing w:after="0" w:line="240" w:lineRule="auto"/>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 </w:t>
            </w:r>
          </w:p>
        </w:tc>
      </w:tr>
      <w:tr>
        <w:trPr>
          <w:trHeight w:val="300"/>
        </w:trPr>
        <w:tc>
          <w:tcPr>
            <w:tcW w:w="3984" w:type="dxa"/>
            <w:tcBorders>
              <w:top w:val="nil"/>
              <w:left w:val="single" w:sz="4" w:space="0" w:color="4F81BD"/>
              <w:bottom w:val="nil"/>
              <w:right w:val="single" w:sz="4" w:space="0" w:color="4F81BD"/>
            </w:tcBorders>
            <w:shd w:val="clear" w:color="DCE6F1" w:fill="DCE6F1"/>
            <w:vAlign w:val="bottom"/>
            <w:hideMark/>
          </w:tcPr>
          <w:p>
            <w:pPr>
              <w:spacing w:after="0" w:line="240" w:lineRule="auto"/>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 xml:space="preserve">    of which international aviation</w:t>
            </w:r>
          </w:p>
        </w:tc>
        <w:tc>
          <w:tcPr>
            <w:tcW w:w="993" w:type="dxa"/>
            <w:tcBorders>
              <w:top w:val="nil"/>
              <w:left w:val="nil"/>
              <w:bottom w:val="nil"/>
              <w:right w:val="single" w:sz="4" w:space="0" w:color="4F81BD"/>
            </w:tcBorders>
            <w:shd w:val="clear" w:color="DCE6F1" w:fill="DCE6F1"/>
            <w:noWrap/>
            <w:vAlign w:val="bottom"/>
            <w:hideMark/>
          </w:tcPr>
          <w:p>
            <w:pPr>
              <w:spacing w:after="0" w:line="240" w:lineRule="auto"/>
              <w:jc w:val="right"/>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69</w:t>
            </w:r>
          </w:p>
        </w:tc>
        <w:tc>
          <w:tcPr>
            <w:tcW w:w="850" w:type="dxa"/>
            <w:tcBorders>
              <w:top w:val="nil"/>
              <w:left w:val="nil"/>
              <w:bottom w:val="nil"/>
              <w:right w:val="single" w:sz="4" w:space="0" w:color="4F81BD"/>
            </w:tcBorders>
            <w:shd w:val="clear" w:color="DCE6F1" w:fill="DCE6F1"/>
            <w:noWrap/>
            <w:vAlign w:val="bottom"/>
            <w:hideMark/>
          </w:tcPr>
          <w:p>
            <w:pPr>
              <w:spacing w:after="0" w:line="240" w:lineRule="auto"/>
              <w:jc w:val="right"/>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131</w:t>
            </w:r>
          </w:p>
        </w:tc>
        <w:tc>
          <w:tcPr>
            <w:tcW w:w="851" w:type="dxa"/>
            <w:tcBorders>
              <w:top w:val="nil"/>
              <w:left w:val="nil"/>
              <w:bottom w:val="nil"/>
              <w:right w:val="single" w:sz="4" w:space="0" w:color="4F81BD"/>
            </w:tcBorders>
            <w:shd w:val="clear" w:color="DCE6F1" w:fill="DCE6F1"/>
            <w:noWrap/>
            <w:vAlign w:val="bottom"/>
            <w:hideMark/>
          </w:tcPr>
          <w:p>
            <w:pPr>
              <w:spacing w:after="0" w:line="240" w:lineRule="auto"/>
              <w:jc w:val="right"/>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148</w:t>
            </w:r>
          </w:p>
        </w:tc>
        <w:tc>
          <w:tcPr>
            <w:tcW w:w="1275" w:type="dxa"/>
            <w:tcBorders>
              <w:top w:val="nil"/>
              <w:left w:val="nil"/>
              <w:bottom w:val="nil"/>
              <w:right w:val="single" w:sz="4" w:space="0" w:color="4F81BD"/>
            </w:tcBorders>
            <w:shd w:val="clear" w:color="DCE6F1" w:fill="DCE6F1"/>
            <w:noWrap/>
            <w:vAlign w:val="bottom"/>
            <w:hideMark/>
          </w:tcPr>
          <w:p>
            <w:pPr>
              <w:spacing w:after="0" w:line="240" w:lineRule="auto"/>
              <w:jc w:val="right"/>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146</w:t>
            </w:r>
          </w:p>
        </w:tc>
        <w:tc>
          <w:tcPr>
            <w:tcW w:w="1276" w:type="dxa"/>
            <w:tcBorders>
              <w:top w:val="nil"/>
              <w:left w:val="nil"/>
              <w:bottom w:val="nil"/>
              <w:right w:val="single" w:sz="4" w:space="0" w:color="4F81BD"/>
            </w:tcBorders>
            <w:shd w:val="clear" w:color="DCE6F1" w:fill="DCE6F1"/>
            <w:noWrap/>
            <w:vAlign w:val="bottom"/>
            <w:hideMark/>
          </w:tcPr>
          <w:p>
            <w:pPr>
              <w:spacing w:after="0" w:line="240" w:lineRule="auto"/>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 </w:t>
            </w:r>
          </w:p>
        </w:tc>
      </w:tr>
      <w:tr>
        <w:trPr>
          <w:trHeight w:val="600"/>
        </w:trPr>
        <w:tc>
          <w:tcPr>
            <w:tcW w:w="3984" w:type="dxa"/>
            <w:tcBorders>
              <w:top w:val="nil"/>
              <w:left w:val="single" w:sz="4" w:space="0" w:color="4F81BD"/>
              <w:bottom w:val="nil"/>
              <w:right w:val="single" w:sz="4" w:space="0" w:color="4F81BD"/>
            </w:tcBorders>
            <w:shd w:val="clear" w:color="auto" w:fill="auto"/>
            <w:vAlign w:val="bottom"/>
            <w:hideMark/>
          </w:tcPr>
          <w:p>
            <w:pPr>
              <w:spacing w:after="0" w:line="240" w:lineRule="auto"/>
              <w:rPr>
                <w:rFonts w:ascii="Calibri" w:eastAsia="Times New Roman" w:hAnsi="Calibri" w:cs="Times New Roman"/>
                <w:noProof/>
                <w:color w:val="000000"/>
                <w:sz w:val="20"/>
                <w:lang w:eastAsia="en-GB"/>
              </w:rPr>
            </w:pPr>
            <w:r>
              <w:rPr>
                <w:rFonts w:ascii="Calibri" w:eastAsia="Times New Roman" w:hAnsi="Calibri" w:cs="Times New Roman"/>
                <w:noProof/>
                <w:color w:val="000000"/>
                <w:sz w:val="20"/>
                <w:lang w:eastAsia="en-GB"/>
              </w:rPr>
              <w:t>Total GHG emissions covered by the Kyoto Protocol 2nd commitment period</w:t>
            </w:r>
          </w:p>
        </w:tc>
        <w:tc>
          <w:tcPr>
            <w:tcW w:w="993" w:type="dxa"/>
            <w:tcBorders>
              <w:top w:val="nil"/>
              <w:left w:val="nil"/>
              <w:bottom w:val="nil"/>
              <w:right w:val="single" w:sz="4" w:space="0" w:color="4F81BD"/>
            </w:tcBorders>
            <w:shd w:val="clear" w:color="auto" w:fill="auto"/>
            <w:noWrap/>
            <w:vAlign w:val="bottom"/>
            <w:hideMark/>
          </w:tcPr>
          <w:p>
            <w:pPr>
              <w:spacing w:after="0" w:line="240" w:lineRule="auto"/>
              <w:jc w:val="right"/>
              <w:rPr>
                <w:rFonts w:ascii="Calibri" w:eastAsia="Times New Roman" w:hAnsi="Calibri" w:cs="Times New Roman"/>
                <w:noProof/>
                <w:color w:val="000000"/>
                <w:sz w:val="20"/>
                <w:lang w:eastAsia="en-GB"/>
              </w:rPr>
            </w:pPr>
            <w:r>
              <w:rPr>
                <w:rFonts w:ascii="Calibri" w:eastAsia="Times New Roman" w:hAnsi="Calibri" w:cs="Times New Roman"/>
                <w:noProof/>
                <w:color w:val="000000"/>
                <w:sz w:val="20"/>
                <w:lang w:eastAsia="en-GB"/>
              </w:rPr>
              <w:t>5 650</w:t>
            </w:r>
          </w:p>
        </w:tc>
        <w:tc>
          <w:tcPr>
            <w:tcW w:w="850" w:type="dxa"/>
            <w:tcBorders>
              <w:top w:val="nil"/>
              <w:left w:val="nil"/>
              <w:bottom w:val="nil"/>
              <w:right w:val="single" w:sz="4" w:space="0" w:color="4F81BD"/>
            </w:tcBorders>
            <w:shd w:val="clear" w:color="auto" w:fill="auto"/>
            <w:noWrap/>
            <w:vAlign w:val="bottom"/>
            <w:hideMark/>
          </w:tcPr>
          <w:p>
            <w:pPr>
              <w:spacing w:after="0" w:line="240" w:lineRule="auto"/>
              <w:jc w:val="right"/>
              <w:rPr>
                <w:rFonts w:ascii="Calibri" w:eastAsia="Times New Roman" w:hAnsi="Calibri" w:cs="Times New Roman"/>
                <w:noProof/>
                <w:color w:val="000000"/>
                <w:sz w:val="20"/>
                <w:lang w:eastAsia="en-GB"/>
              </w:rPr>
            </w:pPr>
            <w:r>
              <w:rPr>
                <w:rFonts w:ascii="Calibri" w:eastAsia="Times New Roman" w:hAnsi="Calibri" w:cs="Times New Roman"/>
                <w:noProof/>
                <w:color w:val="000000"/>
                <w:sz w:val="20"/>
                <w:lang w:eastAsia="en-GB"/>
              </w:rPr>
              <w:t>5 220</w:t>
            </w:r>
          </w:p>
        </w:tc>
        <w:tc>
          <w:tcPr>
            <w:tcW w:w="851" w:type="dxa"/>
            <w:tcBorders>
              <w:top w:val="nil"/>
              <w:left w:val="nil"/>
              <w:bottom w:val="nil"/>
              <w:right w:val="single" w:sz="4" w:space="0" w:color="4F81BD"/>
            </w:tcBorders>
            <w:shd w:val="clear" w:color="auto" w:fill="auto"/>
            <w:noWrap/>
            <w:vAlign w:val="bottom"/>
            <w:hideMark/>
          </w:tcPr>
          <w:p>
            <w:pPr>
              <w:spacing w:after="0" w:line="240" w:lineRule="auto"/>
              <w:jc w:val="right"/>
              <w:rPr>
                <w:rFonts w:ascii="Calibri" w:eastAsia="Times New Roman" w:hAnsi="Calibri" w:cs="Times New Roman"/>
                <w:noProof/>
                <w:color w:val="000000"/>
                <w:sz w:val="20"/>
                <w:lang w:eastAsia="en-GB"/>
              </w:rPr>
            </w:pPr>
            <w:r>
              <w:rPr>
                <w:rFonts w:ascii="Calibri" w:eastAsia="Times New Roman" w:hAnsi="Calibri" w:cs="Times New Roman"/>
                <w:noProof/>
                <w:color w:val="000000"/>
                <w:sz w:val="20"/>
                <w:lang w:eastAsia="en-GB"/>
              </w:rPr>
              <w:t>4 293</w:t>
            </w:r>
          </w:p>
        </w:tc>
        <w:tc>
          <w:tcPr>
            <w:tcW w:w="1275" w:type="dxa"/>
            <w:tcBorders>
              <w:top w:val="nil"/>
              <w:left w:val="nil"/>
              <w:bottom w:val="nil"/>
              <w:right w:val="single" w:sz="4" w:space="0" w:color="4F81BD"/>
            </w:tcBorders>
            <w:shd w:val="clear" w:color="auto" w:fill="auto"/>
            <w:noWrap/>
            <w:vAlign w:val="bottom"/>
            <w:hideMark/>
          </w:tcPr>
          <w:p>
            <w:pPr>
              <w:spacing w:after="0" w:line="240" w:lineRule="auto"/>
              <w:jc w:val="right"/>
              <w:rPr>
                <w:rFonts w:ascii="Calibri" w:eastAsia="Times New Roman" w:hAnsi="Calibri" w:cs="Times New Roman"/>
                <w:noProof/>
                <w:color w:val="000000"/>
                <w:sz w:val="20"/>
                <w:lang w:eastAsia="en-GB"/>
              </w:rPr>
            </w:pPr>
            <w:r>
              <w:rPr>
                <w:rFonts w:ascii="Calibri" w:eastAsia="Times New Roman" w:hAnsi="Calibri" w:cs="Times New Roman"/>
                <w:noProof/>
                <w:color w:val="000000"/>
                <w:sz w:val="20"/>
                <w:lang w:eastAsia="en-GB"/>
              </w:rPr>
              <w:t>4 071</w:t>
            </w:r>
          </w:p>
        </w:tc>
        <w:tc>
          <w:tcPr>
            <w:tcW w:w="1276" w:type="dxa"/>
            <w:tcBorders>
              <w:top w:val="nil"/>
              <w:left w:val="nil"/>
              <w:bottom w:val="nil"/>
              <w:right w:val="single" w:sz="4" w:space="0" w:color="4F81BD"/>
            </w:tcBorders>
            <w:shd w:val="clear" w:color="auto" w:fill="auto"/>
            <w:noWrap/>
            <w:vAlign w:val="bottom"/>
            <w:hideMark/>
          </w:tcPr>
          <w:p>
            <w:pPr>
              <w:spacing w:after="0" w:line="240" w:lineRule="auto"/>
              <w:jc w:val="right"/>
              <w:rPr>
                <w:rFonts w:ascii="Calibri" w:eastAsia="Times New Roman" w:hAnsi="Calibri" w:cs="Times New Roman"/>
                <w:noProof/>
                <w:color w:val="000000"/>
                <w:sz w:val="20"/>
                <w:lang w:eastAsia="en-GB"/>
              </w:rPr>
            </w:pPr>
            <w:r>
              <w:rPr>
                <w:rFonts w:ascii="Calibri" w:eastAsia="Times New Roman" w:hAnsi="Calibri" w:cs="Times New Roman"/>
                <w:noProof/>
                <w:color w:val="000000"/>
                <w:sz w:val="20"/>
                <w:lang w:eastAsia="en-GB"/>
              </w:rPr>
              <w:t>4 701</w:t>
            </w:r>
            <w:r>
              <w:rPr>
                <w:rFonts w:ascii="Calibri" w:eastAsia="Times New Roman" w:hAnsi="Calibri" w:cs="Times New Roman"/>
                <w:noProof/>
                <w:color w:val="000000"/>
                <w:sz w:val="20"/>
                <w:vertAlign w:val="superscript"/>
                <w:lang w:eastAsia="en-GB"/>
              </w:rPr>
              <w:footnoteReference w:id="6"/>
            </w:r>
          </w:p>
        </w:tc>
      </w:tr>
      <w:tr>
        <w:trPr>
          <w:trHeight w:val="300"/>
        </w:trPr>
        <w:tc>
          <w:tcPr>
            <w:tcW w:w="3984" w:type="dxa"/>
            <w:tcBorders>
              <w:top w:val="nil"/>
              <w:left w:val="single" w:sz="4" w:space="0" w:color="4F81BD"/>
              <w:bottom w:val="single" w:sz="4" w:space="0" w:color="4F81BD"/>
              <w:right w:val="single" w:sz="4" w:space="0" w:color="4F81BD"/>
            </w:tcBorders>
            <w:shd w:val="clear" w:color="DCE6F1" w:fill="DCE6F1"/>
            <w:vAlign w:val="bottom"/>
            <w:hideMark/>
          </w:tcPr>
          <w:p>
            <w:pPr>
              <w:spacing w:after="0" w:line="240" w:lineRule="auto"/>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 xml:space="preserve">    of which international aviation</w:t>
            </w:r>
          </w:p>
        </w:tc>
        <w:tc>
          <w:tcPr>
            <w:tcW w:w="993" w:type="dxa"/>
            <w:tcBorders>
              <w:top w:val="nil"/>
              <w:left w:val="nil"/>
              <w:bottom w:val="single" w:sz="4" w:space="0" w:color="4F81BD"/>
              <w:right w:val="single" w:sz="4" w:space="0" w:color="4F81BD"/>
            </w:tcBorders>
            <w:shd w:val="clear" w:color="DCE6F1" w:fill="DCE6F1"/>
            <w:noWrap/>
            <w:vAlign w:val="bottom"/>
            <w:hideMark/>
          </w:tcPr>
          <w:p>
            <w:pPr>
              <w:spacing w:after="0" w:line="240" w:lineRule="auto"/>
              <w:jc w:val="right"/>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69</w:t>
            </w:r>
          </w:p>
        </w:tc>
        <w:tc>
          <w:tcPr>
            <w:tcW w:w="850" w:type="dxa"/>
            <w:tcBorders>
              <w:top w:val="nil"/>
              <w:left w:val="nil"/>
              <w:bottom w:val="single" w:sz="4" w:space="0" w:color="4F81BD"/>
              <w:right w:val="single" w:sz="4" w:space="0" w:color="4F81BD"/>
            </w:tcBorders>
            <w:shd w:val="clear" w:color="DCE6F1" w:fill="DCE6F1"/>
            <w:noWrap/>
            <w:vAlign w:val="bottom"/>
            <w:hideMark/>
          </w:tcPr>
          <w:p>
            <w:pPr>
              <w:spacing w:after="0" w:line="240" w:lineRule="auto"/>
              <w:jc w:val="right"/>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131</w:t>
            </w:r>
          </w:p>
        </w:tc>
        <w:tc>
          <w:tcPr>
            <w:tcW w:w="851" w:type="dxa"/>
            <w:tcBorders>
              <w:top w:val="nil"/>
              <w:left w:val="nil"/>
              <w:bottom w:val="single" w:sz="4" w:space="0" w:color="4F81BD"/>
              <w:right w:val="single" w:sz="4" w:space="0" w:color="4F81BD"/>
            </w:tcBorders>
            <w:shd w:val="clear" w:color="DCE6F1" w:fill="DCE6F1"/>
            <w:noWrap/>
            <w:vAlign w:val="bottom"/>
            <w:hideMark/>
          </w:tcPr>
          <w:p>
            <w:pPr>
              <w:spacing w:after="0" w:line="240" w:lineRule="auto"/>
              <w:jc w:val="right"/>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148</w:t>
            </w:r>
          </w:p>
        </w:tc>
        <w:tc>
          <w:tcPr>
            <w:tcW w:w="1275" w:type="dxa"/>
            <w:tcBorders>
              <w:top w:val="nil"/>
              <w:left w:val="nil"/>
              <w:bottom w:val="single" w:sz="4" w:space="0" w:color="4F81BD"/>
              <w:right w:val="single" w:sz="4" w:space="0" w:color="4F81BD"/>
            </w:tcBorders>
            <w:shd w:val="clear" w:color="DCE6F1" w:fill="DCE6F1"/>
            <w:noWrap/>
            <w:vAlign w:val="bottom"/>
            <w:hideMark/>
          </w:tcPr>
          <w:p>
            <w:pPr>
              <w:spacing w:after="0" w:line="240" w:lineRule="auto"/>
              <w:jc w:val="right"/>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146</w:t>
            </w:r>
          </w:p>
        </w:tc>
        <w:tc>
          <w:tcPr>
            <w:tcW w:w="1276" w:type="dxa"/>
            <w:tcBorders>
              <w:top w:val="nil"/>
              <w:left w:val="nil"/>
              <w:bottom w:val="single" w:sz="4" w:space="0" w:color="4F81BD"/>
              <w:right w:val="single" w:sz="4" w:space="0" w:color="4F81BD"/>
            </w:tcBorders>
            <w:shd w:val="clear" w:color="DCE6F1" w:fill="DCE6F1"/>
            <w:noWrap/>
            <w:vAlign w:val="bottom"/>
            <w:hideMark/>
          </w:tcPr>
          <w:p>
            <w:pPr>
              <w:spacing w:after="0" w:line="240" w:lineRule="auto"/>
              <w:rPr>
                <w:rFonts w:ascii="Calibri" w:eastAsia="Times New Roman" w:hAnsi="Calibri" w:cs="Times New Roman"/>
                <w:i/>
                <w:iCs/>
                <w:noProof/>
                <w:color w:val="000000"/>
                <w:sz w:val="20"/>
                <w:lang w:eastAsia="en-GB"/>
              </w:rPr>
            </w:pPr>
            <w:r>
              <w:rPr>
                <w:rFonts w:ascii="Calibri" w:eastAsia="Times New Roman" w:hAnsi="Calibri" w:cs="Times New Roman"/>
                <w:i/>
                <w:iCs/>
                <w:noProof/>
                <w:color w:val="000000"/>
                <w:sz w:val="20"/>
                <w:lang w:eastAsia="en-GB"/>
              </w:rPr>
              <w:t> </w:t>
            </w:r>
          </w:p>
        </w:tc>
      </w:tr>
    </w:tbl>
    <w:p>
      <w:pPr>
        <w:rPr>
          <w:noProof/>
        </w:rPr>
      </w:pPr>
    </w:p>
    <w:p>
      <w:pPr>
        <w:rPr>
          <w:rFonts w:ascii="Times New Roman" w:eastAsia="Calibri" w:hAnsi="Times New Roman" w:cs="Times New Roman"/>
          <w:b/>
          <w:bCs/>
          <w:noProof/>
        </w:rPr>
      </w:pPr>
    </w:p>
    <w:p>
      <w:pPr>
        <w:rPr>
          <w:rFonts w:asciiTheme="majorHAnsi" w:eastAsiaTheme="majorEastAsia" w:hAnsiTheme="majorHAnsi" w:cstheme="majorBidi"/>
          <w:b/>
          <w:bCs/>
          <w:noProof/>
          <w:color w:val="365F91" w:themeColor="accent1" w:themeShade="BF"/>
          <w:sz w:val="28"/>
          <w:szCs w:val="28"/>
        </w:rPr>
      </w:pPr>
      <w:r>
        <w:rPr>
          <w:noProof/>
        </w:rPr>
        <w:br w:type="page"/>
      </w:r>
    </w:p>
    <w:p>
      <w:pPr>
        <w:pStyle w:val="Heading3"/>
        <w:rPr>
          <w:noProof/>
          <w:color w:val="365F91" w:themeColor="accent1" w:themeShade="BF"/>
          <w:sz w:val="28"/>
        </w:rPr>
      </w:pPr>
      <w:bookmarkStart w:id="11" w:name="_Toc527446993"/>
      <w:bookmarkStart w:id="12" w:name="_Toc527447534"/>
      <w:r>
        <w:rPr>
          <w:noProof/>
          <w:color w:val="365F91" w:themeColor="accent1" w:themeShade="BF"/>
          <w:sz w:val="28"/>
        </w:rPr>
        <w:t>3. EU greenhouse gas emissions by sector</w:t>
      </w:r>
      <w:bookmarkEnd w:id="10"/>
      <w:bookmarkEnd w:id="11"/>
      <w:bookmarkEnd w:id="12"/>
    </w:p>
    <w:p>
      <w:pPr>
        <w:rPr>
          <w:noProof/>
        </w:rPr>
      </w:pPr>
    </w:p>
    <w:p>
      <w:pPr>
        <w:keepNext/>
        <w:rPr>
          <w:noProof/>
        </w:rPr>
      </w:pPr>
      <w:r>
        <w:rPr>
          <w:noProof/>
          <w:lang w:eastAsia="en-GB"/>
        </w:rPr>
        <w:drawing>
          <wp:inline distT="0" distB="0" distL="0" distR="0">
            <wp:extent cx="5381626" cy="4480832"/>
            <wp:effectExtent l="0" t="0" r="9525" b="15240"/>
            <wp:docPr id="231" name="Chart 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Caption"/>
        <w:rPr>
          <w:noProof/>
        </w:rPr>
      </w:pPr>
      <w:r>
        <w:rPr>
          <w:noProof/>
        </w:rPr>
        <w:t>Figure 1: EU greenhouse gas emissions by sector, historical data (1990-2017) and projections (2017-2030).</w:t>
      </w:r>
      <w:r>
        <w:rPr>
          <w:noProof/>
          <w:vertAlign w:val="superscript"/>
        </w:rPr>
        <w:footnoteReference w:id="7"/>
      </w:r>
      <w:r>
        <w:rPr>
          <w:noProof/>
          <w:vertAlign w:val="superscript"/>
        </w:rPr>
        <w:t xml:space="preserve"> </w:t>
      </w:r>
    </w:p>
    <w:p>
      <w:pPr>
        <w:rPr>
          <w:noProof/>
        </w:rPr>
      </w:pPr>
    </w:p>
    <w:p>
      <w:pPr>
        <w:keepNext/>
        <w:rPr>
          <w:noProof/>
        </w:rPr>
      </w:pPr>
      <w:r>
        <w:rPr>
          <w:noProof/>
          <w:lang w:eastAsia="en-GB"/>
        </w:rPr>
        <w:drawing>
          <wp:inline distT="0" distB="0" distL="0" distR="0">
            <wp:extent cx="5765800" cy="2743200"/>
            <wp:effectExtent l="0" t="0" r="25400" b="19050"/>
            <wp:docPr id="233" name="Chart 2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Caption"/>
        <w:rPr>
          <w:noProof/>
        </w:rPr>
      </w:pPr>
      <w:r>
        <w:rPr>
          <w:noProof/>
        </w:rPr>
        <w:t>Figure 2: EU greenhouse gas emissions by sector 2017 (in % of total emissions).</w:t>
      </w:r>
      <w:r>
        <w:rPr>
          <w:noProof/>
          <w:vertAlign w:val="superscript"/>
        </w:rPr>
        <w:footnoteReference w:id="8"/>
      </w:r>
      <w:r>
        <w:rPr>
          <w:noProof/>
        </w:rPr>
        <w:t xml:space="preserve"> </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cs="Times New Roman"/>
          <w:noProof/>
          <w:sz w:val="24"/>
          <w:szCs w:val="24"/>
        </w:rPr>
        <w:t xml:space="preserve">The sectors used in the figures correspond to the following IPCC sectors: </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 xml:space="preserve">Energy supply: 1A1, 1B and 1C, </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 xml:space="preserve">Energy use in manufacturing industries: 1A2, </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 xml:space="preserve">Industrial processes and product use: 2, </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 xml:space="preserve">Transport: 1A3, </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 xml:space="preserve">Other energy use: 1A4, 1A5 and 6, </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 xml:space="preserve">Agriculture: 3, </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 xml:space="preserve">Waste: 5, </w:t>
      </w:r>
    </w:p>
    <w:p>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International aviation: memo item.</w:t>
      </w:r>
    </w:p>
    <w:p>
      <w:pPr>
        <w:rPr>
          <w:rFonts w:asciiTheme="majorHAnsi" w:eastAsia="Calibri" w:hAnsiTheme="majorHAnsi" w:cstheme="majorBidi"/>
          <w:b/>
          <w:bCs/>
          <w:noProof/>
          <w:color w:val="365F91" w:themeColor="accent1" w:themeShade="BF"/>
          <w:sz w:val="28"/>
          <w:szCs w:val="28"/>
          <w:lang w:eastAsia="en-GB"/>
        </w:rPr>
      </w:pPr>
      <w:bookmarkStart w:id="13" w:name="_Toc523734013"/>
      <w:r>
        <w:rPr>
          <w:rFonts w:eastAsia="Calibri"/>
          <w:noProof/>
          <w:lang w:eastAsia="en-GB"/>
        </w:rPr>
        <w:br w:type="page"/>
      </w:r>
    </w:p>
    <w:p>
      <w:pPr>
        <w:pStyle w:val="Heading3"/>
        <w:rPr>
          <w:rFonts w:eastAsia="Calibri"/>
          <w:noProof/>
          <w:color w:val="365F91" w:themeColor="accent1" w:themeShade="BF"/>
          <w:sz w:val="28"/>
          <w:lang w:eastAsia="en-GB"/>
        </w:rPr>
      </w:pPr>
      <w:bookmarkStart w:id="14" w:name="_Toc527446994"/>
      <w:bookmarkStart w:id="15" w:name="_Toc527447535"/>
      <w:r>
        <w:rPr>
          <w:rFonts w:eastAsia="Calibri"/>
          <w:noProof/>
          <w:color w:val="365F91" w:themeColor="accent1" w:themeShade="BF"/>
          <w:sz w:val="28"/>
          <w:lang w:eastAsia="en-GB"/>
        </w:rPr>
        <w:t>4. Greenhouse gas intensity in the EU and its Member States</w:t>
      </w:r>
      <w:bookmarkEnd w:id="13"/>
      <w:bookmarkEnd w:id="14"/>
      <w:bookmarkEnd w:id="15"/>
    </w:p>
    <w:p>
      <w:pPr>
        <w:rPr>
          <w:noProof/>
          <w:lang w:eastAsia="en-GB"/>
        </w:rPr>
      </w:pPr>
    </w:p>
    <w:p>
      <w:pPr>
        <w:keepNext/>
        <w:rPr>
          <w:noProof/>
        </w:rPr>
      </w:pPr>
      <w:r>
        <w:rPr>
          <w:noProof/>
          <w:lang w:eastAsia="en-GB"/>
        </w:rPr>
        <w:drawing>
          <wp:inline distT="0" distB="0" distL="0" distR="0">
            <wp:extent cx="5467350" cy="7054850"/>
            <wp:effectExtent l="0" t="0" r="19050" b="12700"/>
            <wp:docPr id="235" name="Chart 2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Caption"/>
        <w:rPr>
          <w:noProof/>
        </w:rPr>
      </w:pPr>
      <w:r>
        <w:rPr>
          <w:noProof/>
        </w:rPr>
        <w:t>Figure 3: Greenhouse gas emissions intensity (i.e. the ratio between emissions and GDP) in the EU and its Member States 1990, 2005 and 2017 (g CO</w:t>
      </w:r>
      <w:r>
        <w:rPr>
          <w:noProof/>
          <w:vertAlign w:val="subscript"/>
        </w:rPr>
        <w:t>2</w:t>
      </w:r>
      <w:r>
        <w:rPr>
          <w:noProof/>
        </w:rPr>
        <w:t>-eq./ EUR).</w:t>
      </w:r>
      <w:r>
        <w:rPr>
          <w:noProof/>
          <w:vertAlign w:val="superscript"/>
        </w:rPr>
        <w:footnoteReference w:id="9"/>
      </w:r>
      <w:r>
        <w:rPr>
          <w:noProof/>
        </w:rPr>
        <w:br w:type="page"/>
      </w:r>
    </w:p>
    <w:p>
      <w:pPr>
        <w:pStyle w:val="Heading3"/>
        <w:rPr>
          <w:noProof/>
          <w:color w:val="365F91" w:themeColor="accent1" w:themeShade="BF"/>
          <w:sz w:val="24"/>
        </w:rPr>
      </w:pPr>
      <w:bookmarkStart w:id="16" w:name="_Toc523734014"/>
      <w:bookmarkStart w:id="17" w:name="_Toc527446995"/>
      <w:bookmarkStart w:id="18" w:name="_Toc527447536"/>
      <w:r>
        <w:rPr>
          <w:noProof/>
          <w:color w:val="365F91" w:themeColor="accent1" w:themeShade="BF"/>
          <w:sz w:val="24"/>
        </w:rPr>
        <w:t>5. Greenhouse gas emissions per capita in the EU and its Member States</w:t>
      </w:r>
      <w:bookmarkEnd w:id="16"/>
      <w:bookmarkEnd w:id="17"/>
      <w:bookmarkEnd w:id="18"/>
    </w:p>
    <w:p>
      <w:pPr>
        <w:rPr>
          <w:noProof/>
        </w:rPr>
      </w:pPr>
    </w:p>
    <w:p>
      <w:pPr>
        <w:pStyle w:val="Caption"/>
        <w:keepNext/>
        <w:rPr>
          <w:noProof/>
        </w:rPr>
      </w:pPr>
      <w:r>
        <w:rPr>
          <w:noProof/>
          <w:lang w:eastAsia="en-GB"/>
        </w:rPr>
        <w:drawing>
          <wp:inline distT="0" distB="0" distL="0" distR="0">
            <wp:extent cx="5759450" cy="6934200"/>
            <wp:effectExtent l="0" t="0" r="1270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Caption"/>
        <w:rPr>
          <w:noProof/>
        </w:rPr>
      </w:pPr>
      <w:r>
        <w:rPr>
          <w:noProof/>
        </w:rPr>
        <w:t>Figure 4: Greenhouse gas emissions per capita in the EU and its Member States 1990, 2005 and 2016 (tonnes CO2-eq. per capita).</w:t>
      </w:r>
      <w:r>
        <w:rPr>
          <w:noProof/>
          <w:vertAlign w:val="superscript"/>
        </w:rPr>
        <w:footnoteReference w:id="10"/>
      </w:r>
    </w:p>
    <w:p>
      <w:pPr>
        <w:rPr>
          <w:rFonts w:ascii="Times New Roman" w:eastAsia="Calibri" w:hAnsi="Times New Roman" w:cs="Times New Roman"/>
          <w:b/>
          <w:bCs/>
          <w:noProof/>
        </w:rPr>
      </w:pPr>
      <w:r>
        <w:rPr>
          <w:rFonts w:ascii="Times New Roman" w:eastAsia="Calibri" w:hAnsi="Times New Roman" w:cs="Times New Roman"/>
          <w:b/>
          <w:bCs/>
          <w:noProof/>
        </w:rPr>
        <w:br w:type="page"/>
      </w:r>
    </w:p>
    <w:p>
      <w:pPr>
        <w:pStyle w:val="Heading3"/>
        <w:rPr>
          <w:rFonts w:eastAsia="Calibri"/>
          <w:noProof/>
          <w:color w:val="365F91" w:themeColor="accent1" w:themeShade="BF"/>
          <w:sz w:val="28"/>
        </w:rPr>
      </w:pPr>
      <w:bookmarkStart w:id="19" w:name="_Toc523734016"/>
      <w:bookmarkStart w:id="20" w:name="_Toc527446996"/>
      <w:bookmarkStart w:id="21" w:name="_Toc527447537"/>
      <w:r>
        <w:rPr>
          <w:rFonts w:eastAsia="Calibri"/>
          <w:noProof/>
          <w:color w:val="365F91" w:themeColor="accent1" w:themeShade="BF"/>
          <w:sz w:val="28"/>
        </w:rPr>
        <w:t>6. EU ETS emissions</w:t>
      </w:r>
      <w:bookmarkEnd w:id="19"/>
      <w:bookmarkEnd w:id="20"/>
      <w:bookmarkEnd w:id="21"/>
    </w:p>
    <w:p>
      <w:pPr>
        <w:rPr>
          <w:noProof/>
        </w:rPr>
      </w:pP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Verified ETS emissions (Mt CO</w:t>
      </w:r>
      <w:r>
        <w:rPr>
          <w:noProof/>
          <w:vertAlign w:val="subscript"/>
        </w:rPr>
        <w:t>2</w:t>
      </w:r>
      <w:r>
        <w:rPr>
          <w:noProof/>
        </w:rPr>
        <w:t xml:space="preserve">-eq.) and percentage change from year x-1. </w:t>
      </w:r>
    </w:p>
    <w:tbl>
      <w:tblPr>
        <w:tblW w:w="9140" w:type="dxa"/>
        <w:tblInd w:w="93" w:type="dxa"/>
        <w:tblLook w:val="04A0" w:firstRow="1" w:lastRow="0" w:firstColumn="1" w:lastColumn="0" w:noHBand="0" w:noVBand="1"/>
      </w:tblPr>
      <w:tblGrid>
        <w:gridCol w:w="2420"/>
        <w:gridCol w:w="960"/>
        <w:gridCol w:w="960"/>
        <w:gridCol w:w="960"/>
        <w:gridCol w:w="960"/>
        <w:gridCol w:w="960"/>
        <w:gridCol w:w="960"/>
        <w:gridCol w:w="960"/>
      </w:tblGrid>
      <w:tr>
        <w:trPr>
          <w:trHeight w:val="300"/>
        </w:trPr>
        <w:tc>
          <w:tcPr>
            <w:tcW w:w="2420" w:type="dxa"/>
            <w:tcBorders>
              <w:top w:val="single" w:sz="4" w:space="0" w:color="95B3D7"/>
              <w:left w:val="single" w:sz="4" w:space="0" w:color="95B3D7"/>
              <w:bottom w:val="single" w:sz="4" w:space="0" w:color="95B3D7"/>
              <w:right w:val="single" w:sz="4" w:space="0" w:color="95B3D7"/>
            </w:tcBorders>
            <w:shd w:val="clear" w:color="4F81BD" w:fill="4F81BD"/>
            <w:noWrap/>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 </w:t>
            </w:r>
          </w:p>
        </w:tc>
        <w:tc>
          <w:tcPr>
            <w:tcW w:w="960" w:type="dxa"/>
            <w:tcBorders>
              <w:top w:val="single" w:sz="4" w:space="0" w:color="95B3D7"/>
              <w:left w:val="nil"/>
              <w:bottom w:val="single" w:sz="4" w:space="0" w:color="95B3D7"/>
              <w:right w:val="single" w:sz="4" w:space="0" w:color="95B3D7"/>
            </w:tcBorders>
            <w:shd w:val="clear" w:color="4F81BD" w:fill="4F81BD"/>
            <w:noWrap/>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2011</w:t>
            </w:r>
          </w:p>
        </w:tc>
        <w:tc>
          <w:tcPr>
            <w:tcW w:w="960" w:type="dxa"/>
            <w:tcBorders>
              <w:top w:val="single" w:sz="4" w:space="0" w:color="95B3D7"/>
              <w:left w:val="nil"/>
              <w:bottom w:val="single" w:sz="4" w:space="0" w:color="95B3D7"/>
              <w:right w:val="single" w:sz="4" w:space="0" w:color="95B3D7"/>
            </w:tcBorders>
            <w:shd w:val="clear" w:color="4F81BD" w:fill="4F81BD"/>
            <w:noWrap/>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2012</w:t>
            </w:r>
          </w:p>
        </w:tc>
        <w:tc>
          <w:tcPr>
            <w:tcW w:w="960" w:type="dxa"/>
            <w:tcBorders>
              <w:top w:val="single" w:sz="4" w:space="0" w:color="95B3D7"/>
              <w:left w:val="nil"/>
              <w:bottom w:val="single" w:sz="4" w:space="0" w:color="95B3D7"/>
              <w:right w:val="single" w:sz="4" w:space="0" w:color="95B3D7"/>
            </w:tcBorders>
            <w:shd w:val="clear" w:color="4F81BD" w:fill="4F81BD"/>
            <w:noWrap/>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2013</w:t>
            </w:r>
          </w:p>
        </w:tc>
        <w:tc>
          <w:tcPr>
            <w:tcW w:w="960" w:type="dxa"/>
            <w:tcBorders>
              <w:top w:val="single" w:sz="4" w:space="0" w:color="95B3D7"/>
              <w:left w:val="nil"/>
              <w:bottom w:val="single" w:sz="4" w:space="0" w:color="95B3D7"/>
              <w:right w:val="single" w:sz="4" w:space="0" w:color="95B3D7"/>
            </w:tcBorders>
            <w:shd w:val="clear" w:color="4F81BD" w:fill="4F81BD"/>
            <w:noWrap/>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2014</w:t>
            </w:r>
          </w:p>
        </w:tc>
        <w:tc>
          <w:tcPr>
            <w:tcW w:w="960" w:type="dxa"/>
            <w:tcBorders>
              <w:top w:val="single" w:sz="4" w:space="0" w:color="95B3D7"/>
              <w:left w:val="nil"/>
              <w:bottom w:val="single" w:sz="4" w:space="0" w:color="95B3D7"/>
              <w:right w:val="single" w:sz="4" w:space="0" w:color="95B3D7"/>
            </w:tcBorders>
            <w:shd w:val="clear" w:color="4F81BD" w:fill="4F81BD"/>
            <w:noWrap/>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2015</w:t>
            </w:r>
          </w:p>
        </w:tc>
        <w:tc>
          <w:tcPr>
            <w:tcW w:w="960" w:type="dxa"/>
            <w:tcBorders>
              <w:top w:val="single" w:sz="4" w:space="0" w:color="95B3D7"/>
              <w:left w:val="nil"/>
              <w:bottom w:val="single" w:sz="4" w:space="0" w:color="95B3D7"/>
              <w:right w:val="single" w:sz="4" w:space="0" w:color="95B3D7"/>
            </w:tcBorders>
            <w:shd w:val="clear" w:color="4F81BD" w:fill="4F81BD"/>
            <w:noWrap/>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2016</w:t>
            </w:r>
          </w:p>
        </w:tc>
        <w:tc>
          <w:tcPr>
            <w:tcW w:w="960" w:type="dxa"/>
            <w:tcBorders>
              <w:top w:val="single" w:sz="4" w:space="0" w:color="95B3D7"/>
              <w:left w:val="nil"/>
              <w:bottom w:val="single" w:sz="4" w:space="0" w:color="95B3D7"/>
              <w:right w:val="single" w:sz="4" w:space="0" w:color="95B3D7"/>
            </w:tcBorders>
            <w:shd w:val="clear" w:color="4F81BD" w:fill="4F81BD"/>
            <w:noWrap/>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2017</w:t>
            </w:r>
          </w:p>
        </w:tc>
      </w:tr>
      <w:tr>
        <w:trPr>
          <w:trHeight w:val="300"/>
        </w:trPr>
        <w:tc>
          <w:tcPr>
            <w:tcW w:w="2420" w:type="dxa"/>
            <w:tcBorders>
              <w:top w:val="nil"/>
              <w:left w:val="single" w:sz="4" w:space="0" w:color="95B3D7"/>
              <w:bottom w:val="single" w:sz="4" w:space="0" w:color="95B3D7"/>
              <w:right w:val="single" w:sz="4" w:space="0" w:color="95B3D7"/>
            </w:tcBorders>
            <w:shd w:val="clear" w:color="DCE6F1" w:fill="DCE6F1"/>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xml:space="preserve">Verified total emissions </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1 904</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val="en" w:eastAsia="en-GB"/>
              </w:rPr>
              <w:t>1 867</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1 908</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1 814</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1 803</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1 751</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1 754</w:t>
            </w:r>
          </w:p>
        </w:tc>
      </w:tr>
      <w:tr>
        <w:trPr>
          <w:trHeight w:val="300"/>
        </w:trPr>
        <w:tc>
          <w:tcPr>
            <w:tcW w:w="2420" w:type="dxa"/>
            <w:tcBorders>
              <w:top w:val="nil"/>
              <w:left w:val="single" w:sz="4" w:space="0" w:color="95B3D7"/>
              <w:bottom w:val="single" w:sz="4" w:space="0" w:color="95B3D7"/>
              <w:right w:val="single" w:sz="4" w:space="0" w:color="95B3D7"/>
            </w:tcBorders>
            <w:shd w:val="clear" w:color="auto" w:fill="auto"/>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Change to year x-1</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-4.9%</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-0.6%</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-2.9%</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0.2%</w:t>
            </w:r>
          </w:p>
        </w:tc>
      </w:tr>
      <w:tr>
        <w:trPr>
          <w:trHeight w:val="600"/>
        </w:trPr>
        <w:tc>
          <w:tcPr>
            <w:tcW w:w="2420" w:type="dxa"/>
            <w:tcBorders>
              <w:top w:val="nil"/>
              <w:left w:val="single" w:sz="4" w:space="0" w:color="95B3D7"/>
              <w:bottom w:val="single" w:sz="4" w:space="0" w:color="95B3D7"/>
              <w:right w:val="single" w:sz="4" w:space="0" w:color="95B3D7"/>
            </w:tcBorders>
            <w:shd w:val="clear" w:color="DCE6F1" w:fill="DCE6F1"/>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xml:space="preserve">Verified emissions from power sector </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1 155</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1 153</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1 101</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1 011</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1 005</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957</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949</w:t>
            </w:r>
          </w:p>
        </w:tc>
      </w:tr>
      <w:tr>
        <w:trPr>
          <w:trHeight w:val="300"/>
        </w:trPr>
        <w:tc>
          <w:tcPr>
            <w:tcW w:w="2420" w:type="dxa"/>
            <w:tcBorders>
              <w:top w:val="nil"/>
              <w:left w:val="single" w:sz="4" w:space="0" w:color="95B3D7"/>
              <w:bottom w:val="single" w:sz="4" w:space="0" w:color="95B3D7"/>
              <w:right w:val="single" w:sz="4" w:space="0" w:color="95B3D7"/>
            </w:tcBorders>
            <w:shd w:val="clear" w:color="auto" w:fill="auto"/>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Change to year x-1</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-0.2%</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-4.5%</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-8.1%</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-0.6%</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-4.8%</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-0.8%</w:t>
            </w:r>
          </w:p>
        </w:tc>
      </w:tr>
      <w:tr>
        <w:trPr>
          <w:trHeight w:val="600"/>
        </w:trPr>
        <w:tc>
          <w:tcPr>
            <w:tcW w:w="2420" w:type="dxa"/>
            <w:tcBorders>
              <w:top w:val="nil"/>
              <w:left w:val="single" w:sz="4" w:space="0" w:color="95B3D7"/>
              <w:bottom w:val="single" w:sz="4" w:space="0" w:color="95B3D7"/>
              <w:right w:val="single" w:sz="4" w:space="0" w:color="95B3D7"/>
            </w:tcBorders>
            <w:shd w:val="clear" w:color="DCE6F1" w:fill="DCE6F1"/>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xml:space="preserve">Verified emissions from industrial installations </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749</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714</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807</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803</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798</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794</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805</w:t>
            </w:r>
          </w:p>
        </w:tc>
      </w:tr>
      <w:tr>
        <w:trPr>
          <w:trHeight w:val="300"/>
        </w:trPr>
        <w:tc>
          <w:tcPr>
            <w:tcW w:w="2420" w:type="dxa"/>
            <w:tcBorders>
              <w:top w:val="nil"/>
              <w:left w:val="single" w:sz="4" w:space="0" w:color="95B3D7"/>
              <w:bottom w:val="single" w:sz="4" w:space="0" w:color="95B3D7"/>
              <w:right w:val="single" w:sz="4" w:space="0" w:color="95B3D7"/>
            </w:tcBorders>
            <w:shd w:val="clear" w:color="auto" w:fill="auto"/>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Change to year x-1</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-4.7%</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-13.1%</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-0.6%</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-0.6%</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-0.5%</w:t>
            </w:r>
          </w:p>
        </w:tc>
        <w:tc>
          <w:tcPr>
            <w:tcW w:w="96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r>
      <w:tr>
        <w:trPr>
          <w:trHeight w:val="300"/>
        </w:trPr>
        <w:tc>
          <w:tcPr>
            <w:tcW w:w="2420" w:type="dxa"/>
            <w:tcBorders>
              <w:top w:val="nil"/>
              <w:left w:val="single" w:sz="4" w:space="0" w:color="95B3D7"/>
              <w:bottom w:val="single" w:sz="4" w:space="0" w:color="95B3D7"/>
              <w:right w:val="single" w:sz="4" w:space="0" w:color="95B3D7"/>
            </w:tcBorders>
            <w:shd w:val="clear" w:color="DCE6F1" w:fill="DCE6F1"/>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footnoteReference w:customMarkFollows="1" w:id="11"/>
              <w:t>Real GDP growth rate EU-28</w:t>
            </w:r>
            <w:r>
              <w:rPr>
                <w:rFonts w:ascii="Calibri" w:eastAsia="Times New Roman" w:hAnsi="Calibri" w:cs="Times New Roman"/>
                <w:noProof/>
                <w:color w:val="000000"/>
                <w:lang w:eastAsia="en-GB"/>
              </w:rPr>
              <w:footnoteReference w:id="12"/>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-0.5%</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0.2%</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c>
          <w:tcPr>
            <w:tcW w:w="96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2.4%</w:t>
            </w:r>
          </w:p>
        </w:tc>
      </w:tr>
    </w:tbl>
    <w:p>
      <w:pPr>
        <w:rPr>
          <w:noProof/>
        </w:rPr>
      </w:pPr>
    </w:p>
    <w:p>
      <w:pPr>
        <w:rPr>
          <w:noProof/>
        </w:rPr>
      </w:pPr>
    </w:p>
    <w:p>
      <w:pPr>
        <w:keepNext/>
        <w:rPr>
          <w:noProof/>
        </w:rPr>
      </w:pPr>
      <w:r>
        <w:rPr>
          <w:noProof/>
          <w:lang w:eastAsia="en-GB"/>
        </w:rPr>
        <w:drawing>
          <wp:inline distT="0" distB="0" distL="0" distR="0">
            <wp:extent cx="4925695" cy="242062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25695" cy="2420620"/>
                    </a:xfrm>
                    <a:prstGeom prst="rect">
                      <a:avLst/>
                    </a:prstGeom>
                    <a:noFill/>
                  </pic:spPr>
                </pic:pic>
              </a:graphicData>
            </a:graphic>
          </wp:inline>
        </w:drawing>
      </w:r>
    </w:p>
    <w:p>
      <w:pPr>
        <w:pStyle w:val="Caption"/>
        <w:rPr>
          <w:rFonts w:ascii="Times New Roman" w:eastAsia="Times New Roman" w:hAnsi="Times New Roman" w:cs="Times New Roman"/>
          <w:noProof/>
          <w:sz w:val="24"/>
          <w:szCs w:val="24"/>
        </w:rPr>
      </w:pPr>
      <w:r>
        <w:rPr>
          <w:noProof/>
        </w:rPr>
        <w:t>Figure 5: Development of the surplus in the European carbon market 2013-2017.</w:t>
      </w:r>
    </w:p>
    <w:p>
      <w:pPr>
        <w:jc w:val="both"/>
        <w:rPr>
          <w:rFonts w:ascii="Times New Roman" w:eastAsia="Times New Roman" w:hAnsi="Times New Roman" w:cs="Times New Roman"/>
          <w:noProof/>
          <w:sz w:val="24"/>
          <w:szCs w:val="24"/>
        </w:rPr>
      </w:pPr>
    </w:p>
    <w:p>
      <w:pPr>
        <w:rPr>
          <w:noProof/>
        </w:rPr>
      </w:pPr>
    </w:p>
    <w:p>
      <w:pPr>
        <w:rPr>
          <w:noProof/>
        </w:rPr>
      </w:pPr>
    </w:p>
    <w:p>
      <w:pPr>
        <w:pStyle w:val="Heading3"/>
        <w:rPr>
          <w:noProof/>
          <w:color w:val="365F91" w:themeColor="accent1" w:themeShade="BF"/>
          <w:sz w:val="28"/>
        </w:rPr>
      </w:pPr>
      <w:bookmarkStart w:id="22" w:name="_Toc523734017"/>
      <w:bookmarkStart w:id="23" w:name="_Toc527446997"/>
      <w:bookmarkStart w:id="24" w:name="_Toc527447538"/>
      <w:r>
        <w:rPr>
          <w:noProof/>
          <w:color w:val="365F91" w:themeColor="accent1" w:themeShade="BF"/>
          <w:sz w:val="28"/>
        </w:rPr>
        <w:t>7. Emissions covered by the effort-sharing legislation</w:t>
      </w:r>
      <w:bookmarkEnd w:id="22"/>
      <w:bookmarkEnd w:id="23"/>
      <w:bookmarkEnd w:id="24"/>
    </w:p>
    <w:p>
      <w:pPr>
        <w:pStyle w:val="Caption"/>
        <w:keepNext/>
        <w:rPr>
          <w:noProof/>
        </w:rPr>
      </w:pP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xml:space="preserve">: Member States targets, emissions and distance to targets under the effort-sharing legislation in percentage change from 2005 base year emissions. For distance to targets, negative values indicate overachievement while positive values indicate underachievement. </w:t>
      </w:r>
    </w:p>
    <w:tbl>
      <w:tblPr>
        <w:tblW w:w="8180" w:type="dxa"/>
        <w:tblInd w:w="93" w:type="dxa"/>
        <w:tblLook w:val="04A0" w:firstRow="1" w:lastRow="0" w:firstColumn="1" w:lastColumn="0" w:noHBand="0" w:noVBand="1"/>
      </w:tblPr>
      <w:tblGrid>
        <w:gridCol w:w="2260"/>
        <w:gridCol w:w="1480"/>
        <w:gridCol w:w="1480"/>
        <w:gridCol w:w="1480"/>
        <w:gridCol w:w="1480"/>
      </w:tblGrid>
      <w:tr>
        <w:trPr>
          <w:trHeight w:val="600"/>
          <w:tblHeader/>
        </w:trPr>
        <w:tc>
          <w:tcPr>
            <w:tcW w:w="2260" w:type="dxa"/>
            <w:tcBorders>
              <w:top w:val="single" w:sz="4" w:space="0" w:color="95B3D7"/>
              <w:left w:val="single" w:sz="4" w:space="0" w:color="95B3D7"/>
              <w:bottom w:val="nil"/>
              <w:right w:val="nil"/>
            </w:tcBorders>
            <w:shd w:val="clear" w:color="4F81BD" w:fill="4F81BD"/>
            <w:noWrap/>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Member State</w:t>
            </w:r>
          </w:p>
        </w:tc>
        <w:tc>
          <w:tcPr>
            <w:tcW w:w="1480" w:type="dxa"/>
            <w:tcBorders>
              <w:top w:val="single" w:sz="4" w:space="0" w:color="95B3D7"/>
              <w:left w:val="single" w:sz="4" w:space="0" w:color="95B3D7"/>
              <w:bottom w:val="nil"/>
              <w:right w:val="nil"/>
            </w:tcBorders>
            <w:shd w:val="clear" w:color="4F81BD" w:fill="4F81BD"/>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 xml:space="preserve">2016 </w:t>
            </w:r>
          </w:p>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(final)</w:t>
            </w:r>
          </w:p>
        </w:tc>
        <w:tc>
          <w:tcPr>
            <w:tcW w:w="1480" w:type="dxa"/>
            <w:tcBorders>
              <w:top w:val="single" w:sz="4" w:space="0" w:color="95B3D7"/>
              <w:left w:val="single" w:sz="4" w:space="0" w:color="95B3D7"/>
              <w:bottom w:val="nil"/>
              <w:right w:val="nil"/>
            </w:tcBorders>
            <w:shd w:val="clear" w:color="4F81BD" w:fill="4F81BD"/>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2017 (preliminary)</w:t>
            </w:r>
          </w:p>
        </w:tc>
        <w:tc>
          <w:tcPr>
            <w:tcW w:w="1480" w:type="dxa"/>
            <w:tcBorders>
              <w:top w:val="single" w:sz="4" w:space="0" w:color="95B3D7"/>
              <w:left w:val="single" w:sz="4" w:space="0" w:color="95B3D7"/>
              <w:bottom w:val="nil"/>
              <w:right w:val="nil"/>
            </w:tcBorders>
            <w:shd w:val="clear" w:color="4F81BD" w:fill="4F81BD"/>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2020 (projections)</w:t>
            </w:r>
          </w:p>
        </w:tc>
        <w:tc>
          <w:tcPr>
            <w:tcW w:w="1480" w:type="dxa"/>
            <w:tcBorders>
              <w:top w:val="single" w:sz="4" w:space="0" w:color="95B3D7"/>
              <w:left w:val="single" w:sz="4" w:space="0" w:color="95B3D7"/>
              <w:bottom w:val="nil"/>
              <w:right w:val="single" w:sz="4" w:space="0" w:color="95B3D7"/>
            </w:tcBorders>
            <w:shd w:val="clear" w:color="4F81BD" w:fill="4F81BD"/>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2030 (projections)</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Austria</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-36%</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FCF5F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480" w:type="dxa"/>
            <w:tcBorders>
              <w:top w:val="single" w:sz="4" w:space="0" w:color="95B3D7"/>
              <w:left w:val="single" w:sz="4" w:space="0" w:color="95B3D7"/>
              <w:bottom w:val="nil"/>
              <w:right w:val="nil"/>
            </w:tcBorders>
            <w:shd w:val="clear" w:color="000000" w:fill="FCE2E4"/>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480" w:type="dxa"/>
            <w:tcBorders>
              <w:top w:val="single" w:sz="4" w:space="0" w:color="95B3D7"/>
              <w:left w:val="single" w:sz="4" w:space="0" w:color="95B3D7"/>
              <w:bottom w:val="nil"/>
              <w:right w:val="nil"/>
            </w:tcBorders>
            <w:shd w:val="clear" w:color="000000" w:fill="FCE5E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1480" w:type="dxa"/>
            <w:tcBorders>
              <w:top w:val="single" w:sz="4" w:space="0" w:color="95B3D7"/>
              <w:left w:val="single" w:sz="4" w:space="0" w:color="95B3D7"/>
              <w:bottom w:val="nil"/>
              <w:right w:val="single" w:sz="4" w:space="0" w:color="95B3D7"/>
            </w:tcBorders>
            <w:shd w:val="clear" w:color="000000" w:fill="FDA8AA"/>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Belgium</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-35%</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FCF0F3"/>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1480" w:type="dxa"/>
            <w:tcBorders>
              <w:top w:val="single" w:sz="4" w:space="0" w:color="95B3D7"/>
              <w:left w:val="single" w:sz="4" w:space="0" w:color="95B3D7"/>
              <w:bottom w:val="nil"/>
              <w:right w:val="nil"/>
            </w:tcBorders>
            <w:shd w:val="clear" w:color="000000" w:fill="FCF2F5"/>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1480" w:type="dxa"/>
            <w:tcBorders>
              <w:top w:val="single" w:sz="4" w:space="0" w:color="95B3D7"/>
              <w:left w:val="single" w:sz="4" w:space="0" w:color="95B3D7"/>
              <w:bottom w:val="nil"/>
              <w:right w:val="nil"/>
            </w:tcBorders>
            <w:shd w:val="clear" w:color="000000" w:fill="FCE0E3"/>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480" w:type="dxa"/>
            <w:tcBorders>
              <w:top w:val="single" w:sz="4" w:space="0" w:color="95B3D7"/>
              <w:left w:val="single" w:sz="4" w:space="0" w:color="95B3D7"/>
              <w:bottom w:val="nil"/>
              <w:right w:val="single" w:sz="4" w:space="0" w:color="95B3D7"/>
            </w:tcBorders>
            <w:shd w:val="clear" w:color="000000" w:fill="FD868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Bulgaria</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CDEEDF"/>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nil"/>
            </w:tcBorders>
            <w:shd w:val="clear" w:color="000000" w:fill="FCEDF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480" w:type="dxa"/>
            <w:tcBorders>
              <w:top w:val="single" w:sz="4" w:space="0" w:color="95B3D7"/>
              <w:left w:val="single" w:sz="4" w:space="0" w:color="95B3D7"/>
              <w:bottom w:val="nil"/>
              <w:right w:val="nil"/>
            </w:tcBorders>
            <w:shd w:val="clear" w:color="000000" w:fill="84D8AC"/>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1480" w:type="dxa"/>
            <w:tcBorders>
              <w:top w:val="single" w:sz="4" w:space="0" w:color="95B3D7"/>
              <w:left w:val="single" w:sz="4" w:space="0" w:color="95B3D7"/>
              <w:bottom w:val="nil"/>
              <w:right w:val="single" w:sz="4" w:space="0" w:color="95B3D7"/>
            </w:tcBorders>
            <w:shd w:val="clear" w:color="000000" w:fill="FCEFF2"/>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Croatia</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76D3A2"/>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-24%</w:t>
            </w:r>
          </w:p>
        </w:tc>
        <w:tc>
          <w:tcPr>
            <w:tcW w:w="1480" w:type="dxa"/>
            <w:tcBorders>
              <w:top w:val="single" w:sz="4" w:space="0" w:color="95B3D7"/>
              <w:left w:val="single" w:sz="4" w:space="0" w:color="95B3D7"/>
              <w:bottom w:val="nil"/>
              <w:right w:val="nil"/>
            </w:tcBorders>
            <w:shd w:val="clear" w:color="000000" w:fill="ADE4C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480" w:type="dxa"/>
            <w:tcBorders>
              <w:top w:val="single" w:sz="4" w:space="0" w:color="95B3D7"/>
              <w:left w:val="single" w:sz="4" w:space="0" w:color="95B3D7"/>
              <w:bottom w:val="nil"/>
              <w:right w:val="nil"/>
            </w:tcBorders>
            <w:shd w:val="clear" w:color="000000" w:fill="79D4A4"/>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w:t>
            </w:r>
          </w:p>
        </w:tc>
        <w:tc>
          <w:tcPr>
            <w:tcW w:w="1480" w:type="dxa"/>
            <w:tcBorders>
              <w:top w:val="single" w:sz="4" w:space="0" w:color="95B3D7"/>
              <w:left w:val="single" w:sz="4" w:space="0" w:color="95B3D7"/>
              <w:bottom w:val="nil"/>
              <w:right w:val="single" w:sz="4" w:space="0" w:color="95B3D7"/>
            </w:tcBorders>
            <w:shd w:val="clear" w:color="000000" w:fill="FCF7FA"/>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Cyprus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42%</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-24%</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00B05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-43%</w:t>
            </w:r>
          </w:p>
        </w:tc>
        <w:tc>
          <w:tcPr>
            <w:tcW w:w="1480" w:type="dxa"/>
            <w:tcBorders>
              <w:top w:val="single" w:sz="4" w:space="0" w:color="95B3D7"/>
              <w:left w:val="single" w:sz="4" w:space="0" w:color="95B3D7"/>
              <w:bottom w:val="nil"/>
              <w:right w:val="nil"/>
            </w:tcBorders>
            <w:shd w:val="clear" w:color="000000" w:fill="FCE3E6"/>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480" w:type="dxa"/>
            <w:tcBorders>
              <w:top w:val="single" w:sz="4" w:space="0" w:color="95B3D7"/>
              <w:left w:val="single" w:sz="4" w:space="0" w:color="95B3D7"/>
              <w:bottom w:val="nil"/>
              <w:right w:val="nil"/>
            </w:tcBorders>
            <w:shd w:val="clear" w:color="000000" w:fill="FCB2B4"/>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480" w:type="dxa"/>
            <w:tcBorders>
              <w:top w:val="single" w:sz="4" w:space="0" w:color="95B3D7"/>
              <w:left w:val="single" w:sz="4" w:space="0" w:color="95B3D7"/>
              <w:bottom w:val="nil"/>
              <w:right w:val="single" w:sz="4" w:space="0" w:color="95B3D7"/>
            </w:tcBorders>
            <w:shd w:val="clear" w:color="000000" w:fill="FF000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47%</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Czech Republic</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F6FAFB"/>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480" w:type="dxa"/>
            <w:tcBorders>
              <w:top w:val="single" w:sz="4" w:space="0" w:color="95B3D7"/>
              <w:left w:val="single" w:sz="4" w:space="0" w:color="95B3D7"/>
              <w:bottom w:val="nil"/>
              <w:right w:val="nil"/>
            </w:tcBorders>
            <w:shd w:val="clear" w:color="000000" w:fill="FCFCFF"/>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1480" w:type="dxa"/>
            <w:tcBorders>
              <w:top w:val="single" w:sz="4" w:space="0" w:color="95B3D7"/>
              <w:left w:val="single" w:sz="4" w:space="0" w:color="95B3D7"/>
              <w:bottom w:val="nil"/>
              <w:right w:val="nil"/>
            </w:tcBorders>
            <w:shd w:val="clear" w:color="000000" w:fill="D5F0E4"/>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480" w:type="dxa"/>
            <w:tcBorders>
              <w:top w:val="single" w:sz="4" w:space="0" w:color="95B3D7"/>
              <w:left w:val="single" w:sz="4" w:space="0" w:color="95B3D7"/>
              <w:bottom w:val="nil"/>
              <w:right w:val="single" w:sz="4" w:space="0" w:color="95B3D7"/>
            </w:tcBorders>
            <w:shd w:val="clear" w:color="000000" w:fill="FCE6E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Denmark</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-39%</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-24%</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FAFBFD"/>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1480" w:type="dxa"/>
            <w:tcBorders>
              <w:top w:val="single" w:sz="4" w:space="0" w:color="95B3D7"/>
              <w:left w:val="single" w:sz="4" w:space="0" w:color="95B3D7"/>
              <w:bottom w:val="nil"/>
              <w:right w:val="nil"/>
            </w:tcBorders>
            <w:shd w:val="clear" w:color="000000" w:fill="E8F5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480" w:type="dxa"/>
            <w:tcBorders>
              <w:top w:val="single" w:sz="4" w:space="0" w:color="95B3D7"/>
              <w:left w:val="single" w:sz="4" w:space="0" w:color="95B3D7"/>
              <w:bottom w:val="nil"/>
              <w:right w:val="nil"/>
            </w:tcBorders>
            <w:shd w:val="clear" w:color="000000" w:fill="FBFBFE"/>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1480" w:type="dxa"/>
            <w:tcBorders>
              <w:top w:val="single" w:sz="4" w:space="0" w:color="95B3D7"/>
              <w:left w:val="single" w:sz="4" w:space="0" w:color="95B3D7"/>
              <w:bottom w:val="nil"/>
              <w:right w:val="single" w:sz="4" w:space="0" w:color="95B3D7"/>
            </w:tcBorders>
            <w:shd w:val="clear" w:color="000000" w:fill="FDA5A7"/>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Estonia</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F8FAFC"/>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480" w:type="dxa"/>
            <w:tcBorders>
              <w:top w:val="single" w:sz="4" w:space="0" w:color="95B3D7"/>
              <w:left w:val="single" w:sz="4" w:space="0" w:color="95B3D7"/>
              <w:bottom w:val="nil"/>
              <w:right w:val="nil"/>
            </w:tcBorders>
            <w:shd w:val="clear" w:color="000000" w:fill="FCEDF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480" w:type="dxa"/>
            <w:tcBorders>
              <w:top w:val="single" w:sz="4" w:space="0" w:color="95B3D7"/>
              <w:left w:val="single" w:sz="4" w:space="0" w:color="95B3D7"/>
              <w:bottom w:val="nil"/>
              <w:right w:val="nil"/>
            </w:tcBorders>
            <w:shd w:val="clear" w:color="000000" w:fill="FCF3F6"/>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1480" w:type="dxa"/>
            <w:tcBorders>
              <w:top w:val="single" w:sz="4" w:space="0" w:color="95B3D7"/>
              <w:left w:val="single" w:sz="4" w:space="0" w:color="95B3D7"/>
              <w:bottom w:val="nil"/>
              <w:right w:val="single" w:sz="4" w:space="0" w:color="95B3D7"/>
            </w:tcBorders>
            <w:shd w:val="clear" w:color="000000" w:fill="FD6D6E"/>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Finland</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-39%</w:t>
            </w:r>
          </w:p>
        </w:tc>
      </w:tr>
      <w:tr>
        <w:trPr>
          <w:trHeight w:val="300"/>
        </w:trPr>
        <w:tc>
          <w:tcPr>
            <w:tcW w:w="2260" w:type="dxa"/>
            <w:tcBorders>
              <w:top w:val="single" w:sz="4" w:space="0" w:color="95B3D7"/>
              <w:left w:val="single" w:sz="4" w:space="0" w:color="95B3D7"/>
              <w:bottom w:val="single" w:sz="4" w:space="0" w:color="95B3D7"/>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single" w:sz="4" w:space="0" w:color="95B3D7"/>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480" w:type="dxa"/>
            <w:tcBorders>
              <w:top w:val="single" w:sz="4" w:space="0" w:color="95B3D7"/>
              <w:left w:val="single" w:sz="4" w:space="0" w:color="95B3D7"/>
              <w:bottom w:val="single" w:sz="4" w:space="0" w:color="95B3D7"/>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480" w:type="dxa"/>
            <w:tcBorders>
              <w:top w:val="single" w:sz="4" w:space="0" w:color="95B3D7"/>
              <w:left w:val="single" w:sz="4" w:space="0" w:color="95B3D7"/>
              <w:bottom w:val="single" w:sz="4" w:space="0" w:color="95B3D7"/>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480" w:type="dxa"/>
            <w:tcBorders>
              <w:top w:val="single" w:sz="4" w:space="0" w:color="95B3D7"/>
              <w:left w:val="single" w:sz="4" w:space="0" w:color="95B3D7"/>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r>
      <w:tr>
        <w:trPr>
          <w:trHeight w:val="300"/>
        </w:trPr>
        <w:tc>
          <w:tcPr>
            <w:tcW w:w="2260" w:type="dxa"/>
            <w:tcBorders>
              <w:top w:val="single" w:sz="4" w:space="0" w:color="95B3D7"/>
              <w:left w:val="single" w:sz="4" w:space="0" w:color="95B3D7"/>
              <w:bottom w:val="single" w:sz="4" w:space="0" w:color="95B3D7"/>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single" w:sz="4" w:space="0" w:color="95B3D7"/>
              <w:right w:val="nil"/>
            </w:tcBorders>
            <w:shd w:val="clear" w:color="000000" w:fill="FCE2E5"/>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480" w:type="dxa"/>
            <w:tcBorders>
              <w:top w:val="single" w:sz="4" w:space="0" w:color="95B3D7"/>
              <w:left w:val="single" w:sz="4" w:space="0" w:color="95B3D7"/>
              <w:bottom w:val="single" w:sz="4" w:space="0" w:color="95B3D7"/>
              <w:right w:val="nil"/>
            </w:tcBorders>
            <w:shd w:val="clear" w:color="000000" w:fill="FCE9EB"/>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1480" w:type="dxa"/>
            <w:tcBorders>
              <w:top w:val="single" w:sz="4" w:space="0" w:color="95B3D7"/>
              <w:left w:val="single" w:sz="4" w:space="0" w:color="95B3D7"/>
              <w:bottom w:val="single" w:sz="4" w:space="0" w:color="95B3D7"/>
              <w:right w:val="nil"/>
            </w:tcBorders>
            <w:shd w:val="clear" w:color="000000" w:fill="FCEE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480" w:type="dxa"/>
            <w:tcBorders>
              <w:top w:val="single" w:sz="4" w:space="0" w:color="95B3D7"/>
              <w:left w:val="single" w:sz="4" w:space="0" w:color="95B3D7"/>
              <w:bottom w:val="single" w:sz="4" w:space="0" w:color="95B3D7"/>
              <w:right w:val="single" w:sz="4" w:space="0" w:color="95B3D7"/>
            </w:tcBorders>
            <w:shd w:val="clear" w:color="000000" w:fill="FD9D9E"/>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r>
      <w:tr>
        <w:trPr>
          <w:trHeight w:val="300"/>
        </w:trPr>
        <w:tc>
          <w:tcPr>
            <w:tcW w:w="2260" w:type="dxa"/>
            <w:tcBorders>
              <w:top w:val="single" w:sz="4" w:space="0" w:color="95B3D7"/>
              <w:left w:val="single" w:sz="4" w:space="0" w:color="95B3D7"/>
              <w:bottom w:val="single" w:sz="4" w:space="0" w:color="95B3D7"/>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France</w:t>
            </w:r>
          </w:p>
        </w:tc>
        <w:tc>
          <w:tcPr>
            <w:tcW w:w="1480" w:type="dxa"/>
            <w:tcBorders>
              <w:top w:val="single" w:sz="4" w:space="0" w:color="95B3D7"/>
              <w:left w:val="single" w:sz="4" w:space="0" w:color="95B3D7"/>
              <w:bottom w:val="single" w:sz="4" w:space="0" w:color="95B3D7"/>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single" w:sz="4" w:space="0" w:color="95B3D7"/>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single" w:sz="4" w:space="0" w:color="95B3D7"/>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-37%</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-28%</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DFF3EA"/>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480" w:type="dxa"/>
            <w:tcBorders>
              <w:top w:val="single" w:sz="4" w:space="0" w:color="95B3D7"/>
              <w:left w:val="single" w:sz="4" w:space="0" w:color="95B3D7"/>
              <w:bottom w:val="nil"/>
              <w:right w:val="nil"/>
            </w:tcBorders>
            <w:shd w:val="clear" w:color="000000" w:fill="FCF6F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480" w:type="dxa"/>
            <w:tcBorders>
              <w:top w:val="single" w:sz="4" w:space="0" w:color="95B3D7"/>
              <w:left w:val="single" w:sz="4" w:space="0" w:color="95B3D7"/>
              <w:bottom w:val="nil"/>
              <w:right w:val="nil"/>
            </w:tcBorders>
            <w:shd w:val="clear" w:color="000000" w:fill="E3F4EE"/>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480" w:type="dxa"/>
            <w:tcBorders>
              <w:top w:val="single" w:sz="4" w:space="0" w:color="95B3D7"/>
              <w:left w:val="single" w:sz="4" w:space="0" w:color="95B3D7"/>
              <w:bottom w:val="nil"/>
              <w:right w:val="single" w:sz="4" w:space="0" w:color="95B3D7"/>
            </w:tcBorders>
            <w:shd w:val="clear" w:color="000000" w:fill="FCC4C6"/>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Germany</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-38%</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FCF0F3"/>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1480" w:type="dxa"/>
            <w:tcBorders>
              <w:top w:val="single" w:sz="4" w:space="0" w:color="95B3D7"/>
              <w:left w:val="single" w:sz="4" w:space="0" w:color="95B3D7"/>
              <w:bottom w:val="nil"/>
              <w:right w:val="nil"/>
            </w:tcBorders>
            <w:shd w:val="clear" w:color="000000" w:fill="FCCFD2"/>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480" w:type="dxa"/>
            <w:tcBorders>
              <w:top w:val="single" w:sz="4" w:space="0" w:color="95B3D7"/>
              <w:left w:val="single" w:sz="4" w:space="0" w:color="95B3D7"/>
              <w:bottom w:val="nil"/>
              <w:right w:val="nil"/>
            </w:tcBorders>
            <w:shd w:val="clear" w:color="000000" w:fill="FCE1E4"/>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480" w:type="dxa"/>
            <w:tcBorders>
              <w:top w:val="single" w:sz="4" w:space="0" w:color="95B3D7"/>
              <w:left w:val="single" w:sz="4" w:space="0" w:color="95B3D7"/>
              <w:bottom w:val="nil"/>
              <w:right w:val="single" w:sz="4" w:space="0" w:color="95B3D7"/>
            </w:tcBorders>
            <w:shd w:val="clear" w:color="000000" w:fill="FDA1A3"/>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Greece</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-28%</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-29%</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-22%</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76D3A2"/>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-24%</w:t>
            </w:r>
          </w:p>
        </w:tc>
        <w:tc>
          <w:tcPr>
            <w:tcW w:w="1480" w:type="dxa"/>
            <w:tcBorders>
              <w:top w:val="single" w:sz="4" w:space="0" w:color="95B3D7"/>
              <w:left w:val="single" w:sz="4" w:space="0" w:color="95B3D7"/>
              <w:bottom w:val="nil"/>
              <w:right w:val="nil"/>
            </w:tcBorders>
            <w:shd w:val="clear" w:color="000000" w:fill="77D4A3"/>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-24%</w:t>
            </w:r>
          </w:p>
        </w:tc>
        <w:tc>
          <w:tcPr>
            <w:tcW w:w="1480" w:type="dxa"/>
            <w:tcBorders>
              <w:top w:val="single" w:sz="4" w:space="0" w:color="95B3D7"/>
              <w:left w:val="single" w:sz="4" w:space="0" w:color="95B3D7"/>
              <w:bottom w:val="nil"/>
              <w:right w:val="nil"/>
            </w:tcBorders>
            <w:shd w:val="clear" w:color="000000" w:fill="9CDFBC"/>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c>
          <w:tcPr>
            <w:tcW w:w="1480" w:type="dxa"/>
            <w:tcBorders>
              <w:top w:val="single" w:sz="4" w:space="0" w:color="95B3D7"/>
              <w:left w:val="single" w:sz="4" w:space="0" w:color="95B3D7"/>
              <w:bottom w:val="nil"/>
              <w:right w:val="single" w:sz="4" w:space="0" w:color="95B3D7"/>
            </w:tcBorders>
            <w:shd w:val="clear" w:color="000000" w:fill="DFF3EB"/>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Hungary</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74D3A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-24%</w:t>
            </w:r>
          </w:p>
        </w:tc>
        <w:tc>
          <w:tcPr>
            <w:tcW w:w="1480" w:type="dxa"/>
            <w:tcBorders>
              <w:top w:val="single" w:sz="4" w:space="0" w:color="95B3D7"/>
              <w:left w:val="single" w:sz="4" w:space="0" w:color="95B3D7"/>
              <w:bottom w:val="nil"/>
              <w:right w:val="nil"/>
            </w:tcBorders>
            <w:shd w:val="clear" w:color="000000" w:fill="B9E7D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480" w:type="dxa"/>
            <w:tcBorders>
              <w:top w:val="single" w:sz="4" w:space="0" w:color="95B3D7"/>
              <w:left w:val="single" w:sz="4" w:space="0" w:color="95B3D7"/>
              <w:bottom w:val="nil"/>
              <w:right w:val="nil"/>
            </w:tcBorders>
            <w:shd w:val="clear" w:color="000000" w:fill="5ACB8F"/>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-29%</w:t>
            </w:r>
          </w:p>
        </w:tc>
        <w:tc>
          <w:tcPr>
            <w:tcW w:w="1480" w:type="dxa"/>
            <w:tcBorders>
              <w:top w:val="single" w:sz="4" w:space="0" w:color="95B3D7"/>
              <w:left w:val="single" w:sz="4" w:space="0" w:color="95B3D7"/>
              <w:bottom w:val="nil"/>
              <w:right w:val="single" w:sz="4" w:space="0" w:color="95B3D7"/>
            </w:tcBorders>
            <w:shd w:val="clear" w:color="000000" w:fill="C7ECDA"/>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Ireland</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-30%</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FCEE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480" w:type="dxa"/>
            <w:tcBorders>
              <w:top w:val="single" w:sz="4" w:space="0" w:color="95B3D7"/>
              <w:left w:val="single" w:sz="4" w:space="0" w:color="95B3D7"/>
              <w:bottom w:val="nil"/>
              <w:right w:val="nil"/>
            </w:tcBorders>
            <w:shd w:val="clear" w:color="000000" w:fill="FCD0D2"/>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480" w:type="dxa"/>
            <w:tcBorders>
              <w:top w:val="single" w:sz="4" w:space="0" w:color="95B3D7"/>
              <w:left w:val="single" w:sz="4" w:space="0" w:color="95B3D7"/>
              <w:bottom w:val="nil"/>
              <w:right w:val="nil"/>
            </w:tcBorders>
            <w:shd w:val="clear" w:color="000000" w:fill="FD8E9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480" w:type="dxa"/>
            <w:tcBorders>
              <w:top w:val="single" w:sz="4" w:space="0" w:color="95B3D7"/>
              <w:left w:val="single" w:sz="4" w:space="0" w:color="95B3D7"/>
              <w:bottom w:val="nil"/>
              <w:right w:val="single" w:sz="4" w:space="0" w:color="95B3D7"/>
            </w:tcBorders>
            <w:shd w:val="clear" w:color="000000" w:fill="FE5354"/>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31%</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Italy</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-33%</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CFEEE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480" w:type="dxa"/>
            <w:tcBorders>
              <w:top w:val="single" w:sz="4" w:space="0" w:color="95B3D7"/>
              <w:left w:val="single" w:sz="4" w:space="0" w:color="95B3D7"/>
              <w:bottom w:val="nil"/>
              <w:right w:val="nil"/>
            </w:tcBorders>
            <w:shd w:val="clear" w:color="000000" w:fill="D3EFE2"/>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480" w:type="dxa"/>
            <w:tcBorders>
              <w:top w:val="single" w:sz="4" w:space="0" w:color="95B3D7"/>
              <w:left w:val="single" w:sz="4" w:space="0" w:color="95B3D7"/>
              <w:bottom w:val="nil"/>
              <w:right w:val="nil"/>
            </w:tcBorders>
            <w:shd w:val="clear" w:color="000000" w:fill="D5F0E4"/>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480" w:type="dxa"/>
            <w:tcBorders>
              <w:top w:val="single" w:sz="4" w:space="0" w:color="95B3D7"/>
              <w:left w:val="single" w:sz="4" w:space="0" w:color="95B3D7"/>
              <w:bottom w:val="nil"/>
              <w:right w:val="single" w:sz="4" w:space="0" w:color="95B3D7"/>
            </w:tcBorders>
            <w:shd w:val="clear" w:color="000000" w:fill="FCCBCE"/>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Latvia</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EAF6F2"/>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480" w:type="dxa"/>
            <w:tcBorders>
              <w:top w:val="single" w:sz="4" w:space="0" w:color="95B3D7"/>
              <w:left w:val="single" w:sz="4" w:space="0" w:color="95B3D7"/>
              <w:bottom w:val="nil"/>
              <w:right w:val="nil"/>
            </w:tcBorders>
            <w:shd w:val="clear" w:color="000000" w:fill="E5F5EF"/>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480" w:type="dxa"/>
            <w:tcBorders>
              <w:top w:val="single" w:sz="4" w:space="0" w:color="95B3D7"/>
              <w:left w:val="single" w:sz="4" w:space="0" w:color="95B3D7"/>
              <w:bottom w:val="nil"/>
              <w:right w:val="nil"/>
            </w:tcBorders>
            <w:shd w:val="clear" w:color="000000" w:fill="D1EFE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480" w:type="dxa"/>
            <w:tcBorders>
              <w:top w:val="single" w:sz="4" w:space="0" w:color="95B3D7"/>
              <w:left w:val="single" w:sz="4" w:space="0" w:color="95B3D7"/>
              <w:bottom w:val="nil"/>
              <w:right w:val="single" w:sz="4" w:space="0" w:color="95B3D7"/>
            </w:tcBorders>
            <w:shd w:val="clear" w:color="000000" w:fill="FD8F9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Lithuania</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FCF5F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480" w:type="dxa"/>
            <w:tcBorders>
              <w:top w:val="single" w:sz="4" w:space="0" w:color="95B3D7"/>
              <w:left w:val="single" w:sz="4" w:space="0" w:color="95B3D7"/>
              <w:bottom w:val="nil"/>
              <w:right w:val="nil"/>
            </w:tcBorders>
            <w:shd w:val="clear" w:color="000000" w:fill="FCEDF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480" w:type="dxa"/>
            <w:tcBorders>
              <w:top w:val="single" w:sz="4" w:space="0" w:color="95B3D7"/>
              <w:left w:val="single" w:sz="4" w:space="0" w:color="95B3D7"/>
              <w:bottom w:val="nil"/>
              <w:right w:val="nil"/>
            </w:tcBorders>
            <w:shd w:val="clear" w:color="000000" w:fill="BCE8D2"/>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480" w:type="dxa"/>
            <w:tcBorders>
              <w:top w:val="single" w:sz="4" w:space="0" w:color="95B3D7"/>
              <w:left w:val="single" w:sz="4" w:space="0" w:color="95B3D7"/>
              <w:bottom w:val="nil"/>
              <w:right w:val="single" w:sz="4" w:space="0" w:color="95B3D7"/>
            </w:tcBorders>
            <w:shd w:val="clear" w:color="000000" w:fill="FDA7A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Luxembourg</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-40%</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F0F8F6"/>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480" w:type="dxa"/>
            <w:tcBorders>
              <w:top w:val="single" w:sz="4" w:space="0" w:color="95B3D7"/>
              <w:left w:val="single" w:sz="4" w:space="0" w:color="95B3D7"/>
              <w:bottom w:val="nil"/>
              <w:right w:val="nil"/>
            </w:tcBorders>
            <w:shd w:val="clear" w:color="000000" w:fill="FCF5F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480" w:type="dxa"/>
            <w:tcBorders>
              <w:top w:val="single" w:sz="4" w:space="0" w:color="95B3D7"/>
              <w:left w:val="single" w:sz="4" w:space="0" w:color="95B3D7"/>
              <w:bottom w:val="nil"/>
              <w:right w:val="nil"/>
            </w:tcBorders>
            <w:shd w:val="clear" w:color="000000" w:fill="FCE4E7"/>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480" w:type="dxa"/>
            <w:tcBorders>
              <w:top w:val="single" w:sz="4" w:space="0" w:color="95B3D7"/>
              <w:left w:val="single" w:sz="4" w:space="0" w:color="95B3D7"/>
              <w:bottom w:val="nil"/>
              <w:right w:val="single" w:sz="4" w:space="0" w:color="95B3D7"/>
            </w:tcBorders>
            <w:shd w:val="clear" w:color="000000" w:fill="FD8A8C"/>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Malta</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28%</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27%</w:t>
            </w:r>
          </w:p>
        </w:tc>
      </w:tr>
      <w:tr>
        <w:trPr>
          <w:trHeight w:val="300"/>
        </w:trPr>
        <w:tc>
          <w:tcPr>
            <w:tcW w:w="2260" w:type="dxa"/>
            <w:tcBorders>
              <w:top w:val="single" w:sz="4" w:space="0" w:color="95B3D7"/>
              <w:left w:val="single" w:sz="4" w:space="0" w:color="95B3D7"/>
              <w:bottom w:val="single" w:sz="4" w:space="0" w:color="95B3D7"/>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single" w:sz="4" w:space="0" w:color="95B3D7"/>
              <w:right w:val="nil"/>
            </w:tcBorders>
            <w:shd w:val="clear" w:color="000000" w:fill="FDA6A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480" w:type="dxa"/>
            <w:tcBorders>
              <w:top w:val="single" w:sz="4" w:space="0" w:color="95B3D7"/>
              <w:left w:val="single" w:sz="4" w:space="0" w:color="95B3D7"/>
              <w:bottom w:val="single" w:sz="4" w:space="0" w:color="95B3D7"/>
              <w:right w:val="nil"/>
            </w:tcBorders>
            <w:shd w:val="clear" w:color="000000" w:fill="FD7C7D"/>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w:t>
            </w:r>
          </w:p>
        </w:tc>
        <w:tc>
          <w:tcPr>
            <w:tcW w:w="1480" w:type="dxa"/>
            <w:tcBorders>
              <w:top w:val="single" w:sz="4" w:space="0" w:color="95B3D7"/>
              <w:left w:val="single" w:sz="4" w:space="0" w:color="95B3D7"/>
              <w:bottom w:val="single" w:sz="4" w:space="0" w:color="95B3D7"/>
              <w:right w:val="nil"/>
            </w:tcBorders>
            <w:shd w:val="clear" w:color="000000" w:fill="FCB7B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480" w:type="dxa"/>
            <w:tcBorders>
              <w:top w:val="single" w:sz="4" w:space="0" w:color="95B3D7"/>
              <w:left w:val="single" w:sz="4" w:space="0" w:color="95B3D7"/>
              <w:bottom w:val="single" w:sz="4" w:space="0" w:color="95B3D7"/>
              <w:right w:val="single" w:sz="4" w:space="0" w:color="95B3D7"/>
            </w:tcBorders>
            <w:shd w:val="clear" w:color="000000" w:fill="FE0505"/>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46%</w:t>
            </w:r>
          </w:p>
        </w:tc>
      </w:tr>
      <w:tr>
        <w:trPr>
          <w:trHeight w:val="300"/>
        </w:trPr>
        <w:tc>
          <w:tcPr>
            <w:tcW w:w="2260"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lang w:eastAsia="en-GB"/>
              </w:rPr>
            </w:pPr>
          </w:p>
        </w:tc>
        <w:tc>
          <w:tcPr>
            <w:tcW w:w="1480"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lang w:eastAsia="en-GB"/>
              </w:rPr>
            </w:pPr>
          </w:p>
        </w:tc>
        <w:tc>
          <w:tcPr>
            <w:tcW w:w="1480"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lang w:eastAsia="en-GB"/>
              </w:rPr>
            </w:pPr>
          </w:p>
        </w:tc>
        <w:tc>
          <w:tcPr>
            <w:tcW w:w="1480"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lang w:eastAsia="en-GB"/>
              </w:rPr>
            </w:pPr>
          </w:p>
        </w:tc>
        <w:tc>
          <w:tcPr>
            <w:tcW w:w="1480"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lang w:eastAsia="en-GB"/>
              </w:rPr>
            </w:pPr>
          </w:p>
        </w:tc>
      </w:tr>
      <w:tr>
        <w:trPr>
          <w:trHeight w:val="300"/>
        </w:trPr>
        <w:tc>
          <w:tcPr>
            <w:tcW w:w="2260" w:type="dxa"/>
            <w:shd w:val="clear" w:color="auto" w:fill="auto"/>
            <w:noWrap/>
            <w:vAlign w:val="bottom"/>
          </w:tcPr>
          <w:p>
            <w:pPr>
              <w:spacing w:after="0" w:line="240" w:lineRule="auto"/>
              <w:rPr>
                <w:rFonts w:ascii="Calibri" w:eastAsia="Times New Roman" w:hAnsi="Calibri" w:cs="Times New Roman"/>
                <w:b/>
                <w:bCs/>
                <w:noProof/>
                <w:color w:val="000000"/>
                <w:lang w:eastAsia="en-GB"/>
              </w:rPr>
            </w:pPr>
          </w:p>
        </w:tc>
        <w:tc>
          <w:tcPr>
            <w:tcW w:w="1480" w:type="dxa"/>
            <w:shd w:val="clear" w:color="auto" w:fill="auto"/>
            <w:noWrap/>
            <w:vAlign w:val="bottom"/>
          </w:tcPr>
          <w:p>
            <w:pPr>
              <w:spacing w:after="0" w:line="240" w:lineRule="auto"/>
              <w:rPr>
                <w:rFonts w:ascii="Calibri" w:eastAsia="Times New Roman" w:hAnsi="Calibri" w:cs="Times New Roman"/>
                <w:b/>
                <w:bCs/>
                <w:noProof/>
                <w:color w:val="000000"/>
                <w:lang w:eastAsia="en-GB"/>
              </w:rPr>
            </w:pPr>
          </w:p>
        </w:tc>
        <w:tc>
          <w:tcPr>
            <w:tcW w:w="1480" w:type="dxa"/>
            <w:shd w:val="clear" w:color="auto" w:fill="auto"/>
            <w:noWrap/>
            <w:vAlign w:val="bottom"/>
          </w:tcPr>
          <w:p>
            <w:pPr>
              <w:spacing w:after="0" w:line="240" w:lineRule="auto"/>
              <w:rPr>
                <w:rFonts w:ascii="Calibri" w:eastAsia="Times New Roman" w:hAnsi="Calibri" w:cs="Times New Roman"/>
                <w:b/>
                <w:bCs/>
                <w:noProof/>
                <w:color w:val="000000"/>
                <w:lang w:eastAsia="en-GB"/>
              </w:rPr>
            </w:pPr>
          </w:p>
        </w:tc>
        <w:tc>
          <w:tcPr>
            <w:tcW w:w="1480" w:type="dxa"/>
            <w:shd w:val="clear" w:color="auto" w:fill="auto"/>
            <w:noWrap/>
            <w:vAlign w:val="bottom"/>
          </w:tcPr>
          <w:p>
            <w:pPr>
              <w:spacing w:after="0" w:line="240" w:lineRule="auto"/>
              <w:rPr>
                <w:rFonts w:ascii="Calibri" w:eastAsia="Times New Roman" w:hAnsi="Calibri" w:cs="Times New Roman"/>
                <w:b/>
                <w:bCs/>
                <w:noProof/>
                <w:color w:val="000000"/>
                <w:lang w:eastAsia="en-GB"/>
              </w:rPr>
            </w:pPr>
          </w:p>
        </w:tc>
        <w:tc>
          <w:tcPr>
            <w:tcW w:w="1480" w:type="dxa"/>
            <w:shd w:val="clear" w:color="auto" w:fill="auto"/>
            <w:noWrap/>
            <w:vAlign w:val="bottom"/>
          </w:tcPr>
          <w:p>
            <w:pPr>
              <w:spacing w:after="0" w:line="240" w:lineRule="auto"/>
              <w:rPr>
                <w:rFonts w:ascii="Calibri" w:eastAsia="Times New Roman" w:hAnsi="Calibri" w:cs="Times New Roman"/>
                <w:b/>
                <w:bCs/>
                <w:noProof/>
                <w:color w:val="000000"/>
                <w:lang w:eastAsia="en-GB"/>
              </w:rPr>
            </w:pPr>
          </w:p>
        </w:tc>
      </w:tr>
      <w:tr>
        <w:trPr>
          <w:trHeight w:val="300"/>
        </w:trPr>
        <w:tc>
          <w:tcPr>
            <w:tcW w:w="2260" w:type="dxa"/>
            <w:tcBorders>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Netherlands</w:t>
            </w:r>
          </w:p>
        </w:tc>
        <w:tc>
          <w:tcPr>
            <w:tcW w:w="1480" w:type="dxa"/>
            <w:tcBorders>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-36%</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-31%</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C2EAD7"/>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480" w:type="dxa"/>
            <w:tcBorders>
              <w:top w:val="single" w:sz="4" w:space="0" w:color="95B3D7"/>
              <w:left w:val="single" w:sz="4" w:space="0" w:color="95B3D7"/>
              <w:bottom w:val="nil"/>
              <w:right w:val="nil"/>
            </w:tcBorders>
            <w:shd w:val="clear" w:color="000000" w:fill="CBEDDD"/>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nil"/>
            </w:tcBorders>
            <w:shd w:val="clear" w:color="000000" w:fill="CBEDDD"/>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single" w:sz="4" w:space="0" w:color="95B3D7"/>
            </w:tcBorders>
            <w:shd w:val="clear" w:color="000000" w:fill="FCD7DA"/>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Poland</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FCEE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480" w:type="dxa"/>
            <w:tcBorders>
              <w:top w:val="single" w:sz="4" w:space="0" w:color="95B3D7"/>
              <w:left w:val="single" w:sz="4" w:space="0" w:color="95B3D7"/>
              <w:bottom w:val="nil"/>
              <w:right w:val="nil"/>
            </w:tcBorders>
            <w:shd w:val="clear" w:color="000000" w:fill="FCE4E7"/>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480" w:type="dxa"/>
            <w:tcBorders>
              <w:top w:val="single" w:sz="4" w:space="0" w:color="95B3D7"/>
              <w:left w:val="single" w:sz="4" w:space="0" w:color="95B3D7"/>
              <w:bottom w:val="nil"/>
              <w:right w:val="nil"/>
            </w:tcBorders>
            <w:shd w:val="clear" w:color="000000" w:fill="D5F0E4"/>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480" w:type="dxa"/>
            <w:tcBorders>
              <w:top w:val="single" w:sz="4" w:space="0" w:color="95B3D7"/>
              <w:left w:val="single" w:sz="4" w:space="0" w:color="95B3D7"/>
              <w:bottom w:val="nil"/>
              <w:right w:val="single" w:sz="4" w:space="0" w:color="95B3D7"/>
            </w:tcBorders>
            <w:shd w:val="clear" w:color="000000" w:fill="FCBDBF"/>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Portugal</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-24%</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9DDFBD"/>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c>
          <w:tcPr>
            <w:tcW w:w="1480" w:type="dxa"/>
            <w:tcBorders>
              <w:top w:val="single" w:sz="4" w:space="0" w:color="95B3D7"/>
              <w:left w:val="single" w:sz="4" w:space="0" w:color="95B3D7"/>
              <w:bottom w:val="nil"/>
              <w:right w:val="nil"/>
            </w:tcBorders>
            <w:shd w:val="clear" w:color="000000" w:fill="BBE8D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480" w:type="dxa"/>
            <w:tcBorders>
              <w:top w:val="single" w:sz="4" w:space="0" w:color="95B3D7"/>
              <w:left w:val="single" w:sz="4" w:space="0" w:color="95B3D7"/>
              <w:bottom w:val="nil"/>
              <w:right w:val="nil"/>
            </w:tcBorders>
            <w:shd w:val="clear" w:color="000000" w:fill="9DDFBD"/>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c>
          <w:tcPr>
            <w:tcW w:w="1480" w:type="dxa"/>
            <w:tcBorders>
              <w:top w:val="single" w:sz="4" w:space="0" w:color="95B3D7"/>
              <w:left w:val="single" w:sz="4" w:space="0" w:color="95B3D7"/>
              <w:bottom w:val="nil"/>
              <w:right w:val="single" w:sz="4" w:space="0" w:color="95B3D7"/>
            </w:tcBorders>
            <w:shd w:val="clear" w:color="000000" w:fill="DCF2E8"/>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Romania</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C8ECDB"/>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-11%</w:t>
            </w:r>
          </w:p>
        </w:tc>
        <w:tc>
          <w:tcPr>
            <w:tcW w:w="1480" w:type="dxa"/>
            <w:tcBorders>
              <w:top w:val="single" w:sz="4" w:space="0" w:color="95B3D7"/>
              <w:left w:val="single" w:sz="4" w:space="0" w:color="95B3D7"/>
              <w:bottom w:val="nil"/>
              <w:right w:val="nil"/>
            </w:tcBorders>
            <w:shd w:val="clear" w:color="000000" w:fill="B9E7D0"/>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480" w:type="dxa"/>
            <w:tcBorders>
              <w:top w:val="single" w:sz="4" w:space="0" w:color="95B3D7"/>
              <w:left w:val="single" w:sz="4" w:space="0" w:color="95B3D7"/>
              <w:bottom w:val="nil"/>
              <w:right w:val="nil"/>
            </w:tcBorders>
            <w:shd w:val="clear" w:color="000000" w:fill="9DDFBD"/>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w:t>
            </w:r>
          </w:p>
        </w:tc>
        <w:tc>
          <w:tcPr>
            <w:tcW w:w="1480" w:type="dxa"/>
            <w:tcBorders>
              <w:top w:val="single" w:sz="4" w:space="0" w:color="95B3D7"/>
              <w:left w:val="single" w:sz="4" w:space="0" w:color="95B3D7"/>
              <w:bottom w:val="nil"/>
              <w:right w:val="single" w:sz="4" w:space="0" w:color="95B3D7"/>
            </w:tcBorders>
            <w:shd w:val="clear" w:color="000000" w:fill="FCB2B4"/>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Slovakia</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7BD5A5"/>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w:t>
            </w:r>
          </w:p>
        </w:tc>
        <w:tc>
          <w:tcPr>
            <w:tcW w:w="1480" w:type="dxa"/>
            <w:tcBorders>
              <w:top w:val="single" w:sz="4" w:space="0" w:color="95B3D7"/>
              <w:left w:val="single" w:sz="4" w:space="0" w:color="95B3D7"/>
              <w:bottom w:val="nil"/>
              <w:right w:val="nil"/>
            </w:tcBorders>
            <w:shd w:val="clear" w:color="000000" w:fill="7CD5A6"/>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-23%</w:t>
            </w:r>
          </w:p>
        </w:tc>
        <w:tc>
          <w:tcPr>
            <w:tcW w:w="1480" w:type="dxa"/>
            <w:tcBorders>
              <w:top w:val="single" w:sz="4" w:space="0" w:color="95B3D7"/>
              <w:left w:val="single" w:sz="4" w:space="0" w:color="95B3D7"/>
              <w:bottom w:val="nil"/>
              <w:right w:val="nil"/>
            </w:tcBorders>
            <w:shd w:val="clear" w:color="000000" w:fill="6FD19D"/>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w:t>
            </w:r>
          </w:p>
        </w:tc>
        <w:tc>
          <w:tcPr>
            <w:tcW w:w="1480" w:type="dxa"/>
            <w:tcBorders>
              <w:top w:val="single" w:sz="4" w:space="0" w:color="95B3D7"/>
              <w:left w:val="single" w:sz="4" w:space="0" w:color="95B3D7"/>
              <w:bottom w:val="nil"/>
              <w:right w:val="single" w:sz="4" w:space="0" w:color="95B3D7"/>
            </w:tcBorders>
            <w:shd w:val="clear" w:color="000000" w:fill="FCF3F6"/>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Slovenia</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CCEDDE"/>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nil"/>
            </w:tcBorders>
            <w:shd w:val="clear" w:color="000000" w:fill="CCEDDE"/>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nil"/>
            </w:tcBorders>
            <w:shd w:val="clear" w:color="000000" w:fill="B7E7CF"/>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480" w:type="dxa"/>
            <w:tcBorders>
              <w:top w:val="single" w:sz="4" w:space="0" w:color="95B3D7"/>
              <w:left w:val="single" w:sz="4" w:space="0" w:color="95B3D7"/>
              <w:bottom w:val="nil"/>
              <w:right w:val="single" w:sz="4" w:space="0" w:color="95B3D7"/>
            </w:tcBorders>
            <w:shd w:val="clear" w:color="000000" w:fill="FCF1F4"/>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Spain</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CCEDDE"/>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nil"/>
            </w:tcBorders>
            <w:shd w:val="clear" w:color="000000" w:fill="D9F1E7"/>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w:t>
            </w:r>
          </w:p>
        </w:tc>
        <w:tc>
          <w:tcPr>
            <w:tcW w:w="1480" w:type="dxa"/>
            <w:tcBorders>
              <w:top w:val="single" w:sz="4" w:space="0" w:color="95B3D7"/>
              <w:left w:val="single" w:sz="4" w:space="0" w:color="95B3D7"/>
              <w:bottom w:val="nil"/>
              <w:right w:val="nil"/>
            </w:tcBorders>
            <w:shd w:val="clear" w:color="000000" w:fill="CCEDDE"/>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nil"/>
              <w:right w:val="single" w:sz="4" w:space="0" w:color="95B3D7"/>
            </w:tcBorders>
            <w:shd w:val="clear" w:color="000000" w:fill="FCBFC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Sweden</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-40%</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-32%</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-40%</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nil"/>
              <w:right w:val="nil"/>
            </w:tcBorders>
            <w:shd w:val="clear" w:color="000000" w:fill="A4E1C2"/>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480" w:type="dxa"/>
            <w:tcBorders>
              <w:top w:val="single" w:sz="4" w:space="0" w:color="95B3D7"/>
              <w:left w:val="single" w:sz="4" w:space="0" w:color="95B3D7"/>
              <w:bottom w:val="nil"/>
              <w:right w:val="nil"/>
            </w:tcBorders>
            <w:shd w:val="clear" w:color="000000" w:fill="C1EAD6"/>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-12%</w:t>
            </w:r>
          </w:p>
        </w:tc>
        <w:tc>
          <w:tcPr>
            <w:tcW w:w="1480" w:type="dxa"/>
            <w:tcBorders>
              <w:top w:val="single" w:sz="4" w:space="0" w:color="95B3D7"/>
              <w:left w:val="single" w:sz="4" w:space="0" w:color="95B3D7"/>
              <w:bottom w:val="nil"/>
              <w:right w:val="nil"/>
            </w:tcBorders>
            <w:shd w:val="clear" w:color="000000" w:fill="AEE4C9"/>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w:t>
            </w:r>
          </w:p>
        </w:tc>
        <w:tc>
          <w:tcPr>
            <w:tcW w:w="1480" w:type="dxa"/>
            <w:tcBorders>
              <w:top w:val="single" w:sz="4" w:space="0" w:color="95B3D7"/>
              <w:left w:val="single" w:sz="4" w:space="0" w:color="95B3D7"/>
              <w:bottom w:val="nil"/>
              <w:right w:val="single" w:sz="4" w:space="0" w:color="95B3D7"/>
            </w:tcBorders>
            <w:shd w:val="clear" w:color="000000" w:fill="FCF3F6"/>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United Kingdom</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lang w:eastAsia="en-GB"/>
              </w:rPr>
            </w:pPr>
            <w:r>
              <w:rPr>
                <w:rFonts w:ascii="Calibri" w:eastAsia="Times New Roman" w:hAnsi="Calibri" w:cs="Times New Roman"/>
                <w:b/>
                <w:bCs/>
                <w:noProof/>
                <w:color w:val="000000"/>
                <w:lang w:eastAsia="en-GB"/>
              </w:rPr>
              <w:t> </w:t>
            </w:r>
          </w:p>
        </w:tc>
      </w:tr>
      <w:tr>
        <w:trPr>
          <w:trHeight w:val="300"/>
        </w:trPr>
        <w:tc>
          <w:tcPr>
            <w:tcW w:w="2260" w:type="dxa"/>
            <w:tcBorders>
              <w:top w:val="single" w:sz="4" w:space="0" w:color="95B3D7"/>
              <w:left w:val="single" w:sz="4" w:space="0" w:color="95B3D7"/>
              <w:bottom w:val="nil"/>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Target</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-17%</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w:t>
            </w:r>
          </w:p>
        </w:tc>
        <w:tc>
          <w:tcPr>
            <w:tcW w:w="1480" w:type="dxa"/>
            <w:tcBorders>
              <w:top w:val="single" w:sz="4" w:space="0" w:color="95B3D7"/>
              <w:left w:val="single" w:sz="4" w:space="0" w:color="95B3D7"/>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-16%</w:t>
            </w:r>
          </w:p>
        </w:tc>
        <w:tc>
          <w:tcPr>
            <w:tcW w:w="1480" w:type="dxa"/>
            <w:tcBorders>
              <w:top w:val="single" w:sz="4" w:space="0" w:color="95B3D7"/>
              <w:left w:val="single" w:sz="4" w:space="0" w:color="95B3D7"/>
              <w:bottom w:val="nil"/>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-37%</w:t>
            </w:r>
          </w:p>
        </w:tc>
      </w:tr>
      <w:tr>
        <w:trPr>
          <w:trHeight w:val="300"/>
        </w:trPr>
        <w:tc>
          <w:tcPr>
            <w:tcW w:w="226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Emissions</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-20%</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-21%</w:t>
            </w:r>
          </w:p>
        </w:tc>
        <w:tc>
          <w:tcPr>
            <w:tcW w:w="1480" w:type="dxa"/>
            <w:tcBorders>
              <w:top w:val="single" w:sz="4" w:space="0" w:color="95B3D7"/>
              <w:left w:val="single" w:sz="4" w:space="0" w:color="95B3D7"/>
              <w:bottom w:val="nil"/>
              <w:right w:val="nil"/>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w:t>
            </w:r>
          </w:p>
        </w:tc>
        <w:tc>
          <w:tcPr>
            <w:tcW w:w="1480" w:type="dxa"/>
            <w:tcBorders>
              <w:top w:val="single" w:sz="4" w:space="0" w:color="95B3D7"/>
              <w:left w:val="single" w:sz="4" w:space="0" w:color="95B3D7"/>
              <w:bottom w:val="nil"/>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-30%</w:t>
            </w:r>
          </w:p>
        </w:tc>
      </w:tr>
      <w:tr>
        <w:trPr>
          <w:trHeight w:val="300"/>
        </w:trPr>
        <w:tc>
          <w:tcPr>
            <w:tcW w:w="2260" w:type="dxa"/>
            <w:tcBorders>
              <w:top w:val="single" w:sz="4" w:space="0" w:color="95B3D7"/>
              <w:left w:val="single" w:sz="4" w:space="0" w:color="95B3D7"/>
              <w:bottom w:val="single" w:sz="4" w:space="0" w:color="95B3D7"/>
              <w:right w:val="nil"/>
            </w:tcBorders>
            <w:shd w:val="clear" w:color="auto" w:fill="auto"/>
            <w:noWrap/>
            <w:vAlign w:val="bottom"/>
            <w:hideMark/>
          </w:tcPr>
          <w:p>
            <w:pPr>
              <w:spacing w:after="0" w:line="240" w:lineRule="auto"/>
              <w:ind w:firstLineChars="100" w:firstLine="220"/>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Distance to target</w:t>
            </w:r>
          </w:p>
        </w:tc>
        <w:tc>
          <w:tcPr>
            <w:tcW w:w="1480" w:type="dxa"/>
            <w:tcBorders>
              <w:top w:val="single" w:sz="4" w:space="0" w:color="95B3D7"/>
              <w:left w:val="single" w:sz="4" w:space="0" w:color="95B3D7"/>
              <w:bottom w:val="single" w:sz="4" w:space="0" w:color="95B3D7"/>
              <w:right w:val="nil"/>
            </w:tcBorders>
            <w:shd w:val="clear" w:color="000000" w:fill="F8FAFC"/>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w:t>
            </w:r>
          </w:p>
        </w:tc>
        <w:tc>
          <w:tcPr>
            <w:tcW w:w="1480" w:type="dxa"/>
            <w:tcBorders>
              <w:top w:val="single" w:sz="4" w:space="0" w:color="95B3D7"/>
              <w:left w:val="single" w:sz="4" w:space="0" w:color="95B3D7"/>
              <w:bottom w:val="single" w:sz="4" w:space="0" w:color="95B3D7"/>
              <w:right w:val="nil"/>
            </w:tcBorders>
            <w:shd w:val="clear" w:color="000000" w:fill="DFF3EB"/>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c>
          <w:tcPr>
            <w:tcW w:w="1480" w:type="dxa"/>
            <w:tcBorders>
              <w:top w:val="single" w:sz="4" w:space="0" w:color="95B3D7"/>
              <w:left w:val="single" w:sz="4" w:space="0" w:color="95B3D7"/>
              <w:bottom w:val="single" w:sz="4" w:space="0" w:color="95B3D7"/>
              <w:right w:val="nil"/>
            </w:tcBorders>
            <w:shd w:val="clear" w:color="000000" w:fill="CCEDDE"/>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w:t>
            </w:r>
          </w:p>
        </w:tc>
        <w:tc>
          <w:tcPr>
            <w:tcW w:w="1480" w:type="dxa"/>
            <w:tcBorders>
              <w:top w:val="single" w:sz="4" w:space="0" w:color="95B3D7"/>
              <w:left w:val="single" w:sz="4" w:space="0" w:color="95B3D7"/>
              <w:bottom w:val="single" w:sz="4" w:space="0" w:color="95B3D7"/>
              <w:right w:val="single" w:sz="4" w:space="0" w:color="95B3D7"/>
            </w:tcBorders>
            <w:shd w:val="clear" w:color="000000" w:fill="FCD0D2"/>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w:t>
            </w:r>
          </w:p>
        </w:tc>
      </w:tr>
    </w:tbl>
    <w:p>
      <w:pPr>
        <w:rPr>
          <w:noProof/>
        </w:rPr>
      </w:pPr>
      <w:r>
        <w:rPr>
          <w:noProof/>
        </w:rPr>
        <w:br w:type="page"/>
      </w:r>
    </w:p>
    <w:p>
      <w:pPr>
        <w:rPr>
          <w:noProof/>
        </w:rPr>
      </w:pPr>
    </w:p>
    <w:p>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Annual emissions allocations</w:t>
      </w:r>
      <w:r>
        <w:rPr>
          <w:rStyle w:val="FootnoteReference"/>
          <w:noProof/>
        </w:rPr>
        <w:footnoteReference w:id="13"/>
      </w:r>
      <w:r>
        <w:rPr>
          <w:noProof/>
        </w:rPr>
        <w:t>, emissions and gap to targets under the Effort Sharing Decision (Mt. CO</w:t>
      </w:r>
      <w:r>
        <w:rPr>
          <w:noProof/>
          <w:vertAlign w:val="subscript"/>
        </w:rPr>
        <w:t>2</w:t>
      </w:r>
      <w:r>
        <w:rPr>
          <w:noProof/>
        </w:rPr>
        <w:t xml:space="preserve">-eq.). Positive gap to target indicate overachievement, negative values indicate underachievement. </w:t>
      </w:r>
    </w:p>
    <w:tbl>
      <w:tblPr>
        <w:tblW w:w="9072" w:type="dxa"/>
        <w:tblInd w:w="103" w:type="dxa"/>
        <w:tblLayout w:type="fixed"/>
        <w:tblLook w:val="04A0" w:firstRow="1" w:lastRow="0" w:firstColumn="1" w:lastColumn="0" w:noHBand="0" w:noVBand="1"/>
      </w:tblPr>
      <w:tblGrid>
        <w:gridCol w:w="1548"/>
        <w:gridCol w:w="836"/>
        <w:gridCol w:w="836"/>
        <w:gridCol w:w="836"/>
        <w:gridCol w:w="836"/>
        <w:gridCol w:w="836"/>
        <w:gridCol w:w="836"/>
        <w:gridCol w:w="836"/>
        <w:gridCol w:w="836"/>
        <w:gridCol w:w="836"/>
      </w:tblGrid>
      <w:tr>
        <w:trPr>
          <w:trHeight w:val="900"/>
          <w:tblHeader/>
        </w:trPr>
        <w:tc>
          <w:tcPr>
            <w:tcW w:w="1548" w:type="dxa"/>
            <w:tcBorders>
              <w:top w:val="single" w:sz="4" w:space="0" w:color="95B3D7"/>
              <w:left w:val="single" w:sz="4" w:space="0" w:color="95B3D7"/>
              <w:bottom w:val="single" w:sz="4" w:space="0" w:color="95B3D7"/>
              <w:right w:val="single" w:sz="4" w:space="0" w:color="95B3D7"/>
            </w:tcBorders>
            <w:shd w:val="clear" w:color="4F81BD" w:fill="4F81BD"/>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Member State</w:t>
            </w:r>
          </w:p>
        </w:tc>
        <w:tc>
          <w:tcPr>
            <w:tcW w:w="836" w:type="dxa"/>
            <w:tcBorders>
              <w:top w:val="single" w:sz="4" w:space="0" w:color="95B3D7"/>
              <w:left w:val="nil"/>
              <w:bottom w:val="single" w:sz="4" w:space="0" w:color="95B3D7"/>
              <w:right w:val="single" w:sz="4" w:space="0" w:color="95B3D7"/>
            </w:tcBorders>
            <w:shd w:val="clear" w:color="4F81BD" w:fill="4F81BD"/>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 xml:space="preserve">2005 </w:t>
            </w:r>
          </w:p>
        </w:tc>
        <w:tc>
          <w:tcPr>
            <w:tcW w:w="836" w:type="dxa"/>
            <w:tcBorders>
              <w:top w:val="single" w:sz="4" w:space="0" w:color="95B3D7"/>
              <w:left w:val="nil"/>
              <w:bottom w:val="single" w:sz="4" w:space="0" w:color="95B3D7"/>
              <w:right w:val="single" w:sz="4" w:space="0" w:color="95B3D7"/>
            </w:tcBorders>
            <w:shd w:val="clear" w:color="4F81BD" w:fill="4F81BD"/>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2013</w:t>
            </w:r>
          </w:p>
        </w:tc>
        <w:tc>
          <w:tcPr>
            <w:tcW w:w="836" w:type="dxa"/>
            <w:tcBorders>
              <w:top w:val="single" w:sz="4" w:space="0" w:color="95B3D7"/>
              <w:left w:val="nil"/>
              <w:bottom w:val="single" w:sz="4" w:space="0" w:color="95B3D7"/>
              <w:right w:val="single" w:sz="4" w:space="0" w:color="95B3D7"/>
            </w:tcBorders>
            <w:shd w:val="clear" w:color="4F81BD" w:fill="4F81BD"/>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2014</w:t>
            </w:r>
          </w:p>
        </w:tc>
        <w:tc>
          <w:tcPr>
            <w:tcW w:w="836" w:type="dxa"/>
            <w:tcBorders>
              <w:top w:val="single" w:sz="4" w:space="0" w:color="95B3D7"/>
              <w:left w:val="nil"/>
              <w:bottom w:val="single" w:sz="4" w:space="0" w:color="95B3D7"/>
              <w:right w:val="single" w:sz="4" w:space="0" w:color="95B3D7"/>
            </w:tcBorders>
            <w:shd w:val="clear" w:color="4F81BD" w:fill="4F81BD"/>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2015</w:t>
            </w:r>
          </w:p>
        </w:tc>
        <w:tc>
          <w:tcPr>
            <w:tcW w:w="836" w:type="dxa"/>
            <w:tcBorders>
              <w:top w:val="single" w:sz="4" w:space="0" w:color="95B3D7"/>
              <w:left w:val="nil"/>
              <w:bottom w:val="single" w:sz="4" w:space="0" w:color="95B3D7"/>
              <w:right w:val="single" w:sz="4" w:space="0" w:color="95B3D7"/>
            </w:tcBorders>
            <w:shd w:val="clear" w:color="4F81BD" w:fill="4F81BD"/>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2016</w:t>
            </w:r>
          </w:p>
        </w:tc>
        <w:tc>
          <w:tcPr>
            <w:tcW w:w="836" w:type="dxa"/>
            <w:tcBorders>
              <w:top w:val="single" w:sz="4" w:space="0" w:color="95B3D7"/>
              <w:left w:val="nil"/>
              <w:bottom w:val="single" w:sz="4" w:space="0" w:color="95B3D7"/>
              <w:right w:val="single" w:sz="4" w:space="0" w:color="95B3D7"/>
            </w:tcBorders>
            <w:shd w:val="clear" w:color="4F81BD" w:fill="4F81BD"/>
            <w:vAlign w:val="bottom"/>
            <w:hideMark/>
          </w:tcPr>
          <w:p>
            <w:pPr>
              <w:spacing w:after="0" w:line="240" w:lineRule="auto"/>
              <w:jc w:val="right"/>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2017</w:t>
            </w:r>
          </w:p>
        </w:tc>
        <w:tc>
          <w:tcPr>
            <w:tcW w:w="836" w:type="dxa"/>
            <w:tcBorders>
              <w:top w:val="single" w:sz="4" w:space="0" w:color="95B3D7"/>
              <w:left w:val="nil"/>
              <w:bottom w:val="single" w:sz="4" w:space="0" w:color="95B3D7"/>
              <w:right w:val="single" w:sz="4" w:space="0" w:color="95B3D7"/>
            </w:tcBorders>
            <w:shd w:val="clear" w:color="4F81BD" w:fill="4F81BD"/>
            <w:vAlign w:val="bottom"/>
            <w:hideMark/>
          </w:tcPr>
          <w:p>
            <w:pPr>
              <w:spacing w:after="0" w:line="240" w:lineRule="auto"/>
              <w:jc w:val="right"/>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2018</w:t>
            </w:r>
          </w:p>
        </w:tc>
        <w:tc>
          <w:tcPr>
            <w:tcW w:w="836" w:type="dxa"/>
            <w:tcBorders>
              <w:top w:val="single" w:sz="4" w:space="0" w:color="95B3D7"/>
              <w:left w:val="nil"/>
              <w:bottom w:val="single" w:sz="4" w:space="0" w:color="95B3D7"/>
              <w:right w:val="single" w:sz="4" w:space="0" w:color="95B3D7"/>
            </w:tcBorders>
            <w:shd w:val="clear" w:color="4F81BD" w:fill="4F81BD"/>
            <w:vAlign w:val="bottom"/>
            <w:hideMark/>
          </w:tcPr>
          <w:p>
            <w:pPr>
              <w:spacing w:after="0" w:line="240" w:lineRule="auto"/>
              <w:jc w:val="right"/>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2019</w:t>
            </w:r>
          </w:p>
        </w:tc>
        <w:tc>
          <w:tcPr>
            <w:tcW w:w="836" w:type="dxa"/>
            <w:tcBorders>
              <w:top w:val="single" w:sz="4" w:space="0" w:color="95B3D7"/>
              <w:left w:val="nil"/>
              <w:bottom w:val="single" w:sz="4" w:space="0" w:color="95B3D7"/>
              <w:right w:val="single" w:sz="4" w:space="0" w:color="95B3D7"/>
            </w:tcBorders>
            <w:shd w:val="clear" w:color="4F81BD" w:fill="4F81BD"/>
            <w:vAlign w:val="bottom"/>
            <w:hideMark/>
          </w:tcPr>
          <w:p>
            <w:pPr>
              <w:spacing w:after="0" w:line="240" w:lineRule="auto"/>
              <w:jc w:val="right"/>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2020</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4F81BD" w:themeFill="accent1"/>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nil"/>
              <w:left w:val="nil"/>
              <w:bottom w:val="single" w:sz="4" w:space="0" w:color="95B3D7"/>
              <w:right w:val="single" w:sz="4" w:space="0" w:color="95B3D7"/>
            </w:tcBorders>
            <w:shd w:val="clear" w:color="auto" w:fill="4F81BD" w:themeFill="accent1"/>
            <w:noWrap/>
            <w:vAlign w:val="bottom"/>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FFFFFF" w:themeColor="background1"/>
                <w:sz w:val="14"/>
                <w:szCs w:val="20"/>
                <w:lang w:eastAsia="en-GB"/>
              </w:rPr>
              <w:t>Base year emissions</w:t>
            </w:r>
          </w:p>
        </w:tc>
        <w:tc>
          <w:tcPr>
            <w:tcW w:w="3344" w:type="dxa"/>
            <w:gridSpan w:val="4"/>
            <w:tcBorders>
              <w:top w:val="nil"/>
              <w:left w:val="nil"/>
              <w:bottom w:val="single" w:sz="4" w:space="0" w:color="95B3D7"/>
              <w:right w:val="single" w:sz="4" w:space="0" w:color="95B3D7"/>
            </w:tcBorders>
            <w:shd w:val="clear" w:color="auto" w:fill="4F81BD" w:themeFill="accent1"/>
            <w:noWrap/>
            <w:vAlign w:val="bottom"/>
          </w:tcPr>
          <w:p>
            <w:pPr>
              <w:spacing w:after="0" w:line="240" w:lineRule="auto"/>
              <w:jc w:val="center"/>
              <w:rPr>
                <w:rFonts w:ascii="Calibri" w:eastAsia="Times New Roman" w:hAnsi="Calibri" w:cs="Times New Roman"/>
                <w:b/>
                <w:bCs/>
                <w:noProof/>
                <w:color w:val="FFFFFF" w:themeColor="background1"/>
                <w:sz w:val="16"/>
                <w:szCs w:val="20"/>
                <w:lang w:eastAsia="en-GB"/>
              </w:rPr>
            </w:pPr>
            <w:r>
              <w:rPr>
                <w:rFonts w:ascii="Calibri" w:eastAsia="Times New Roman" w:hAnsi="Calibri" w:cs="Times New Roman"/>
                <w:b/>
                <w:bCs/>
                <w:noProof/>
                <w:color w:val="FFFFFF" w:themeColor="background1"/>
                <w:sz w:val="14"/>
                <w:szCs w:val="20"/>
                <w:lang w:eastAsia="en-GB"/>
              </w:rPr>
              <w:t>Final data 2013-2016</w:t>
            </w:r>
          </w:p>
        </w:tc>
        <w:tc>
          <w:tcPr>
            <w:tcW w:w="836" w:type="dxa"/>
            <w:tcBorders>
              <w:top w:val="nil"/>
              <w:left w:val="nil"/>
              <w:bottom w:val="single" w:sz="4" w:space="0" w:color="95B3D7"/>
              <w:right w:val="single" w:sz="4" w:space="0" w:color="95B3D7"/>
            </w:tcBorders>
            <w:shd w:val="clear" w:color="auto" w:fill="4F81BD" w:themeFill="accent1"/>
            <w:noWrap/>
            <w:vAlign w:val="bottom"/>
          </w:tcPr>
          <w:p>
            <w:pPr>
              <w:spacing w:after="0" w:line="240" w:lineRule="auto"/>
              <w:rPr>
                <w:rFonts w:ascii="Calibri" w:eastAsia="Times New Roman" w:hAnsi="Calibri" w:cs="Times New Roman"/>
                <w:b/>
                <w:bCs/>
                <w:noProof/>
                <w:color w:val="FFFFFF" w:themeColor="background1"/>
                <w:sz w:val="16"/>
                <w:szCs w:val="20"/>
                <w:lang w:eastAsia="en-GB"/>
              </w:rPr>
            </w:pPr>
            <w:r>
              <w:rPr>
                <w:rFonts w:ascii="Calibri" w:eastAsia="Times New Roman" w:hAnsi="Calibri" w:cs="Times New Roman"/>
                <w:b/>
                <w:bCs/>
                <w:noProof/>
                <w:color w:val="FFFFFF" w:themeColor="background1"/>
                <w:sz w:val="12"/>
                <w:szCs w:val="20"/>
                <w:lang w:eastAsia="en-GB"/>
              </w:rPr>
              <w:t>Preliminary data</w:t>
            </w:r>
          </w:p>
        </w:tc>
        <w:tc>
          <w:tcPr>
            <w:tcW w:w="2508" w:type="dxa"/>
            <w:gridSpan w:val="3"/>
            <w:tcBorders>
              <w:top w:val="nil"/>
              <w:left w:val="nil"/>
              <w:bottom w:val="single" w:sz="4" w:space="0" w:color="95B3D7"/>
              <w:right w:val="single" w:sz="4" w:space="0" w:color="95B3D7"/>
            </w:tcBorders>
            <w:shd w:val="clear" w:color="auto" w:fill="4F81BD" w:themeFill="accent1"/>
            <w:noWrap/>
            <w:vAlign w:val="bottom"/>
          </w:tcPr>
          <w:p>
            <w:pPr>
              <w:spacing w:after="0" w:line="240" w:lineRule="auto"/>
              <w:jc w:val="center"/>
              <w:rPr>
                <w:rFonts w:ascii="Calibri" w:eastAsia="Times New Roman" w:hAnsi="Calibri" w:cs="Times New Roman"/>
                <w:b/>
                <w:bCs/>
                <w:noProof/>
                <w:color w:val="FFFFFF" w:themeColor="background1"/>
                <w:sz w:val="16"/>
                <w:szCs w:val="20"/>
                <w:lang w:eastAsia="en-GB"/>
              </w:rPr>
            </w:pPr>
            <w:r>
              <w:rPr>
                <w:rFonts w:ascii="Calibri" w:eastAsia="Times New Roman" w:hAnsi="Calibri" w:cs="Times New Roman"/>
                <w:b/>
                <w:bCs/>
                <w:noProof/>
                <w:color w:val="FFFFFF" w:themeColor="background1"/>
                <w:sz w:val="14"/>
                <w:szCs w:val="20"/>
                <w:lang w:eastAsia="en-GB"/>
              </w:rPr>
              <w:t>Projections 2018-2020</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Austria</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52.6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52.1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51.5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51.0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49.5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48.9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48.3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47.8</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56.8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50.1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48.2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49.3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50.6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51.3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49.4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49.3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49.1</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0.4</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-0.5</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Belgium</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78.4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76.9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75.3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73.8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72.5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71.1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69.7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68.2</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80.3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74.3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70.1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72.7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74.1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72.4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71.7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71.5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71.0</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0.1</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-0.7</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-2.8</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Bulgaria</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25.9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26.5</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25.4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25.6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21.7</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4.8</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Croatia</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19.3</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17.4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15.1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15.6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16.0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16.1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15.2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15.2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15.2</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Cyprus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4.0</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4.5</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-0.1</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-0.2</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-0.3</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-0.5</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Czech Republic</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62.5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63.2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64.0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64.7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65.2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65.9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66.5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67.2</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61.7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61.5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57.6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61.3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62.8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64.0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60.2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61.1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61.9</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5.3</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Denmark</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36.8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34.1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34.8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33.9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33.0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32.1</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40.1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33.7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32.6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32.5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33.1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32.6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31.1</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0.9</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Estonia</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6.0</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6.0</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0.2</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0.0</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-0.1</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0.0</w:t>
            </w:r>
          </w:p>
        </w:tc>
      </w:tr>
      <w:tr>
        <w:trPr>
          <w:trHeight w:val="300"/>
        </w:trPr>
        <w:tc>
          <w:tcPr>
            <w:tcW w:w="1548"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jc w:val="right"/>
              <w:rPr>
                <w:rFonts w:ascii="Calibri" w:eastAsia="Times New Roman" w:hAnsi="Calibri" w:cs="Times New Roman"/>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r>
      <w:tr>
        <w:trPr>
          <w:trHeight w:val="300"/>
        </w:trPr>
        <w:tc>
          <w:tcPr>
            <w:tcW w:w="1548" w:type="dxa"/>
            <w:tcBorders>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Finland</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29.6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29.1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28.5</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33.9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29.9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29.4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29.1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28.8</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0.9</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0.2</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0.0</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-0.3</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France</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394.1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389.5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384.4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379.4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358.2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352.9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347.7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342.5</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398.2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366.1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353.5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353.0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351.9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354.7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332.1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325.2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318.2</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28.0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24.3</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Germany</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472.5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465.8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459.1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452.4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432.3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425.2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418.1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410.9</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477.8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460.2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436.8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444.1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454.2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464.7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436.3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431.2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426.5</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29.0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15.1</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-1.7</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-32.4</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-11.1</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-13.1</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-15.6</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Greece</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59.0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59.3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59.6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59.9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59.1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59.4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59.7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60.0</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62.6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44.2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44.4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45.4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44.9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44.3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48.2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48.7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48.9</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15.0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11.1</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Hungary</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50.4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51.5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52.6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53.8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50.1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51.0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51.9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52.8</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48.0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38.4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38.4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42.1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43.8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40.0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39.5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39.1</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13.7</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Ireland</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46.9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45.8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44.6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43.5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40.9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39.8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38.7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37.7</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47.1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42.2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43.0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43.8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44.0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45.9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46.4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46.8</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1.6</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-0.3</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-6.1</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-7.7</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-9.2</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Italy</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308.2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306.2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304.2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302.3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298.3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295.8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293.4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291.0</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334.5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273.3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265.3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273.3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270.7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268.9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267.5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265.1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262.7</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34.8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40.9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29.3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28.4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28.3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28.3</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Latvia</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10.0</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9.2</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0.8</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Lithuania</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15.2</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13.6</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0.1</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1.7</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Luxembourg</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8.1</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8.4</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0.2</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0.0</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-0.3</w:t>
            </w:r>
          </w:p>
        </w:tc>
      </w:tr>
      <w:tr>
        <w:trPr>
          <w:trHeight w:val="300"/>
        </w:trPr>
        <w:tc>
          <w:tcPr>
            <w:tcW w:w="1548"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jc w:val="right"/>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c>
          <w:tcPr>
            <w:tcW w:w="836" w:type="dxa"/>
            <w:tcBorders>
              <w:top w:val="single" w:sz="4" w:space="0" w:color="95B3D7"/>
            </w:tcBorders>
            <w:shd w:val="clear" w:color="auto" w:fill="auto"/>
            <w:noWrap/>
            <w:vAlign w:val="bottom"/>
          </w:tcPr>
          <w:p>
            <w:pPr>
              <w:spacing w:after="0" w:line="240" w:lineRule="auto"/>
              <w:rPr>
                <w:rFonts w:ascii="Calibri" w:eastAsia="Times New Roman" w:hAnsi="Calibri" w:cs="Times New Roman"/>
                <w:b/>
                <w:bCs/>
                <w:noProof/>
                <w:color w:val="000000"/>
                <w:sz w:val="20"/>
                <w:szCs w:val="20"/>
                <w:lang w:eastAsia="en-GB"/>
              </w:rPr>
            </w:pPr>
          </w:p>
        </w:tc>
      </w:tr>
      <w:tr>
        <w:trPr>
          <w:trHeight w:val="300"/>
        </w:trPr>
        <w:tc>
          <w:tcPr>
            <w:tcW w:w="1548" w:type="dxa"/>
            <w:tcBorders>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Malta</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-0.1</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-0.1</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-0.1</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-0.2</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-0.3</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-0.1</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-0.1</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-0.1</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Netherlands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122.9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120.7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118.4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116.1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114.1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111.8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109.6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107.4</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127.8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108.3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97.9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101.1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101.3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101.1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96.9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96.0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94.6</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17.3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12.8</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Poland</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193.6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194.9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196.1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197.4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200.0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203.4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205.2</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180.0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186.1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181.5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186.8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198.7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204.8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189.5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189.8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190.1</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9.4</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w:t>
            </w:r>
          </w:p>
        </w:tc>
        <w:tc>
          <w:tcPr>
            <w:tcW w:w="836" w:type="dxa"/>
            <w:tcBorders>
              <w:top w:val="single" w:sz="4" w:space="0" w:color="95B3D7"/>
              <w:left w:val="single" w:sz="4" w:space="0" w:color="95B3D7"/>
              <w:bottom w:val="single" w:sz="4" w:space="0" w:color="95B3D7"/>
              <w:right w:val="single" w:sz="4" w:space="0" w:color="95B3D7"/>
            </w:tcBorders>
            <w:shd w:val="clear" w:color="000000" w:fill="FFC7CE"/>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15.1</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Portugal</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49.3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49.6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49.9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50.1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47.9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48.3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48.7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49.1</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48.6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38.6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38.8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40.6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40.5</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8.6</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Romania</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75.6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77.5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79.3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81.1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84.1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86.0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87.9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89.8</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75.5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72.7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72.5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74.6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73.1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74.2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75.6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76.0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76.5</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8.0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9.9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13.3</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Slovakia</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24.0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24.4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24.7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25.1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25.0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25.3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25.6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25.9</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23.0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20.1</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20.2</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5.8</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Slovenia</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12.3</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10.7</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1.6</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Spain</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227.6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225.6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223.7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221.8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218.3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216.3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214.3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212.4</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236.0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200.3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199.8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196.2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198.5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199.9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191.2</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190.4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189.1</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25.9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27.6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23.3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18.4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25.1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23.9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23.3</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Sweden</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41.0</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40.4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39.8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37.8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37.2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36.7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36.1</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43.5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35.3</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34.5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33.9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32.6</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32.7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29.7</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7.2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5.9</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6.4</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United Kingdom</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b/>
                <w:bCs/>
                <w:noProof/>
                <w:color w:val="000000"/>
                <w:sz w:val="20"/>
                <w:szCs w:val="20"/>
                <w:lang w:eastAsia="en-GB"/>
              </w:rPr>
            </w:pPr>
            <w:r>
              <w:rPr>
                <w:rFonts w:ascii="Calibri" w:eastAsia="Times New Roman" w:hAnsi="Calibri" w:cs="Times New Roman"/>
                <w:b/>
                <w:bCs/>
                <w:noProof/>
                <w:color w:val="000000"/>
                <w:sz w:val="20"/>
                <w:szCs w:val="20"/>
                <w:lang w:eastAsia="en-GB"/>
              </w:rPr>
              <w:t> </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AEAs</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358.7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354.2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349.7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345.2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360.4</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357.2</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354.1</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350.9</w:t>
            </w:r>
          </w:p>
        </w:tc>
      </w:tr>
      <w:tr>
        <w:trPr>
          <w:trHeight w:val="300"/>
        </w:trPr>
        <w:tc>
          <w:tcPr>
            <w:tcW w:w="1548"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Emissions</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417.8</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339.5</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324.4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326.0</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333.9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331.9</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316.7</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314.4</w:t>
            </w:r>
          </w:p>
        </w:tc>
        <w:tc>
          <w:tcPr>
            <w:tcW w:w="836"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309.4</w:t>
            </w:r>
          </w:p>
        </w:tc>
      </w:tr>
      <w:tr>
        <w:trPr>
          <w:trHeight w:val="300"/>
        </w:trPr>
        <w:tc>
          <w:tcPr>
            <w:tcW w:w="1548"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ind w:firstLineChars="100" w:firstLine="200"/>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gap to target</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 </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19.3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29.8</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23.7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11.3</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28.5</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40.6</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39.7</w:t>
            </w:r>
          </w:p>
        </w:tc>
        <w:tc>
          <w:tcPr>
            <w:tcW w:w="836"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sz w:val="20"/>
                <w:szCs w:val="20"/>
                <w:lang w:eastAsia="en-GB"/>
              </w:rPr>
            </w:pPr>
            <w:r>
              <w:rPr>
                <w:rFonts w:ascii="Calibri" w:eastAsia="Times New Roman" w:hAnsi="Calibri" w:cs="Times New Roman"/>
                <w:noProof/>
                <w:color w:val="000000"/>
                <w:sz w:val="20"/>
                <w:szCs w:val="20"/>
                <w:lang w:eastAsia="en-GB"/>
              </w:rPr>
              <w:t>41.5</w:t>
            </w:r>
          </w:p>
        </w:tc>
      </w:tr>
    </w:tbl>
    <w:p>
      <w:pPr>
        <w:pStyle w:val="Heading3"/>
        <w:rPr>
          <w:noProof/>
        </w:rPr>
      </w:pPr>
      <w:r>
        <w:rPr>
          <w:noProof/>
        </w:rPr>
        <w:br w:type="page"/>
      </w:r>
      <w:bookmarkStart w:id="25" w:name="_Toc523734019"/>
      <w:bookmarkStart w:id="26" w:name="_Toc527446998"/>
      <w:bookmarkStart w:id="27" w:name="_Toc527447539"/>
      <w:r>
        <w:rPr>
          <w:noProof/>
          <w:color w:val="365F91" w:themeColor="accent1" w:themeShade="BF"/>
          <w:sz w:val="28"/>
        </w:rPr>
        <w:t>8. Use of revenues from auctioning of ETS allowances</w:t>
      </w:r>
      <w:bookmarkEnd w:id="25"/>
      <w:bookmarkEnd w:id="26"/>
      <w:bookmarkEnd w:id="27"/>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Pr>
          <w:noProof/>
        </w:rPr>
        <w:t>: Member States' revenues from auctioning of ETS allowances and amounts of the revenues spent on climate and energy purposes, 2017 (EUR 1000).</w:t>
      </w:r>
    </w:p>
    <w:tbl>
      <w:tblPr>
        <w:tblW w:w="8540" w:type="dxa"/>
        <w:tblInd w:w="103" w:type="dxa"/>
        <w:tblLook w:val="04A0" w:firstRow="1" w:lastRow="0" w:firstColumn="1" w:lastColumn="0" w:noHBand="0" w:noVBand="1"/>
      </w:tblPr>
      <w:tblGrid>
        <w:gridCol w:w="2320"/>
        <w:gridCol w:w="2940"/>
        <w:gridCol w:w="3280"/>
      </w:tblGrid>
      <w:tr>
        <w:trPr>
          <w:trHeight w:val="900"/>
        </w:trPr>
        <w:tc>
          <w:tcPr>
            <w:tcW w:w="2320" w:type="dxa"/>
            <w:tcBorders>
              <w:top w:val="single" w:sz="4" w:space="0" w:color="95B3D7"/>
              <w:left w:val="single" w:sz="4" w:space="0" w:color="95B3D7"/>
              <w:bottom w:val="single" w:sz="4" w:space="0" w:color="95B3D7"/>
              <w:right w:val="single" w:sz="4" w:space="0" w:color="95B3D7"/>
            </w:tcBorders>
            <w:shd w:val="clear" w:color="4F81BD" w:fill="4F81BD"/>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Member State</w:t>
            </w:r>
          </w:p>
        </w:tc>
        <w:tc>
          <w:tcPr>
            <w:tcW w:w="2940" w:type="dxa"/>
            <w:tcBorders>
              <w:top w:val="single" w:sz="4" w:space="0" w:color="95B3D7"/>
              <w:left w:val="nil"/>
              <w:bottom w:val="single" w:sz="4" w:space="0" w:color="95B3D7"/>
              <w:right w:val="single" w:sz="4" w:space="0" w:color="95B3D7"/>
            </w:tcBorders>
            <w:shd w:val="clear" w:color="4F81BD" w:fill="4F81BD"/>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Total revenues from the auctioning of allowances from EU ETS (EUR 1000)</w:t>
            </w:r>
          </w:p>
        </w:tc>
        <w:tc>
          <w:tcPr>
            <w:tcW w:w="3280" w:type="dxa"/>
            <w:tcBorders>
              <w:top w:val="single" w:sz="4" w:space="0" w:color="95B3D7"/>
              <w:left w:val="nil"/>
              <w:bottom w:val="single" w:sz="4" w:space="0" w:color="95B3D7"/>
              <w:right w:val="single" w:sz="4" w:space="0" w:color="95B3D7"/>
            </w:tcBorders>
            <w:shd w:val="clear" w:color="4F81BD" w:fill="4F81BD"/>
            <w:vAlign w:val="bottom"/>
            <w:hideMark/>
          </w:tcPr>
          <w:p>
            <w:pPr>
              <w:spacing w:after="0" w:line="240" w:lineRule="auto"/>
              <w:rPr>
                <w:rFonts w:ascii="Calibri" w:eastAsia="Times New Roman" w:hAnsi="Calibri" w:cs="Times New Roman"/>
                <w:b/>
                <w:bCs/>
                <w:noProof/>
                <w:color w:val="FFFFFF"/>
                <w:lang w:eastAsia="en-GB"/>
              </w:rPr>
            </w:pPr>
            <w:r>
              <w:rPr>
                <w:rFonts w:ascii="Calibri" w:eastAsia="Times New Roman" w:hAnsi="Calibri" w:cs="Times New Roman"/>
                <w:b/>
                <w:bCs/>
                <w:noProof/>
                <w:color w:val="FFFFFF"/>
                <w:lang w:eastAsia="en-GB"/>
              </w:rPr>
              <w:t>Total revenues used (or planned to be used) for climate related purposes (EUR 1000)</w:t>
            </w:r>
          </w:p>
        </w:tc>
      </w:tr>
      <w:tr>
        <w:trPr>
          <w:trHeight w:val="300"/>
        </w:trPr>
        <w:tc>
          <w:tcPr>
            <w:tcW w:w="2320"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Austria</w:t>
            </w:r>
            <w:r>
              <w:rPr>
                <w:rFonts w:ascii="Calibri" w:eastAsia="Times New Roman" w:hAnsi="Calibri" w:cs="Times New Roman"/>
                <w:noProof/>
                <w:color w:val="000000"/>
                <w:vertAlign w:val="superscript"/>
                <w:lang w:eastAsia="en-GB"/>
              </w:rPr>
              <w:footnoteReference w:id="14"/>
            </w:r>
          </w:p>
        </w:tc>
        <w:tc>
          <w:tcPr>
            <w:tcW w:w="294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157 380</w:t>
            </w:r>
          </w:p>
        </w:tc>
        <w:tc>
          <w:tcPr>
            <w:tcW w:w="328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 </w:t>
            </w:r>
          </w:p>
        </w:tc>
      </w:tr>
      <w:tr>
        <w:trPr>
          <w:trHeight w:val="300"/>
        </w:trPr>
        <w:tc>
          <w:tcPr>
            <w:tcW w:w="2320"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Belgium</w:t>
            </w:r>
          </w:p>
        </w:tc>
        <w:tc>
          <w:tcPr>
            <w:tcW w:w="294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145 100</w:t>
            </w:r>
          </w:p>
        </w:tc>
        <w:tc>
          <w:tcPr>
            <w:tcW w:w="328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133 097</w:t>
            </w:r>
          </w:p>
        </w:tc>
      </w:tr>
      <w:tr>
        <w:trPr>
          <w:trHeight w:val="300"/>
        </w:trPr>
        <w:tc>
          <w:tcPr>
            <w:tcW w:w="2320"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Bulgaria</w:t>
            </w:r>
          </w:p>
        </w:tc>
        <w:tc>
          <w:tcPr>
            <w:tcW w:w="294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130 418</w:t>
            </w:r>
          </w:p>
        </w:tc>
        <w:tc>
          <w:tcPr>
            <w:tcW w:w="328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138 240</w:t>
            </w:r>
          </w:p>
        </w:tc>
      </w:tr>
      <w:tr>
        <w:trPr>
          <w:trHeight w:val="300"/>
        </w:trPr>
        <w:tc>
          <w:tcPr>
            <w:tcW w:w="2320"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Croatia</w:t>
            </w:r>
          </w:p>
        </w:tc>
        <w:tc>
          <w:tcPr>
            <w:tcW w:w="294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27 152</w:t>
            </w:r>
          </w:p>
        </w:tc>
        <w:tc>
          <w:tcPr>
            <w:tcW w:w="328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18 920</w:t>
            </w:r>
          </w:p>
        </w:tc>
      </w:tr>
      <w:tr>
        <w:trPr>
          <w:trHeight w:val="300"/>
        </w:trPr>
        <w:tc>
          <w:tcPr>
            <w:tcW w:w="2320"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Cyprus</w:t>
            </w:r>
          </w:p>
        </w:tc>
        <w:tc>
          <w:tcPr>
            <w:tcW w:w="294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6 393</w:t>
            </w:r>
          </w:p>
        </w:tc>
        <w:tc>
          <w:tcPr>
            <w:tcW w:w="328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788</w:t>
            </w:r>
          </w:p>
        </w:tc>
      </w:tr>
      <w:tr>
        <w:trPr>
          <w:trHeight w:val="300"/>
        </w:trPr>
        <w:tc>
          <w:tcPr>
            <w:tcW w:w="2320"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Czech Republic</w:t>
            </w:r>
          </w:p>
        </w:tc>
        <w:tc>
          <w:tcPr>
            <w:tcW w:w="294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199 775</w:t>
            </w:r>
          </w:p>
        </w:tc>
        <w:tc>
          <w:tcPr>
            <w:tcW w:w="328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199 775</w:t>
            </w:r>
          </w:p>
        </w:tc>
      </w:tr>
      <w:tr>
        <w:trPr>
          <w:trHeight w:val="300"/>
        </w:trPr>
        <w:tc>
          <w:tcPr>
            <w:tcW w:w="2320"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Denmark</w:t>
            </w:r>
          </w:p>
        </w:tc>
        <w:tc>
          <w:tcPr>
            <w:tcW w:w="294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71 723</w:t>
            </w:r>
          </w:p>
        </w:tc>
        <w:tc>
          <w:tcPr>
            <w:tcW w:w="328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71 723</w:t>
            </w:r>
          </w:p>
        </w:tc>
      </w:tr>
      <w:tr>
        <w:trPr>
          <w:trHeight w:val="300"/>
        </w:trPr>
        <w:tc>
          <w:tcPr>
            <w:tcW w:w="2320"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Estonia</w:t>
            </w:r>
          </w:p>
        </w:tc>
        <w:tc>
          <w:tcPr>
            <w:tcW w:w="294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39 354</w:t>
            </w:r>
          </w:p>
        </w:tc>
        <w:tc>
          <w:tcPr>
            <w:tcW w:w="328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15 905</w:t>
            </w:r>
          </w:p>
        </w:tc>
      </w:tr>
      <w:tr>
        <w:trPr>
          <w:trHeight w:val="300"/>
        </w:trPr>
        <w:tc>
          <w:tcPr>
            <w:tcW w:w="2320"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Finland</w:t>
            </w:r>
            <w:r>
              <w:rPr>
                <w:rFonts w:ascii="Calibri" w:eastAsia="Times New Roman" w:hAnsi="Calibri" w:cs="Times New Roman"/>
                <w:noProof/>
                <w:color w:val="000000"/>
                <w:vertAlign w:val="superscript"/>
                <w:lang w:eastAsia="en-GB"/>
              </w:rPr>
              <w:footnoteReference w:id="15"/>
            </w:r>
          </w:p>
        </w:tc>
        <w:tc>
          <w:tcPr>
            <w:tcW w:w="294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95 260</w:t>
            </w:r>
          </w:p>
        </w:tc>
        <w:tc>
          <w:tcPr>
            <w:tcW w:w="328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9 530</w:t>
            </w:r>
          </w:p>
        </w:tc>
      </w:tr>
      <w:tr>
        <w:trPr>
          <w:trHeight w:val="300"/>
        </w:trPr>
        <w:tc>
          <w:tcPr>
            <w:tcW w:w="2320"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France</w:t>
            </w:r>
          </w:p>
        </w:tc>
        <w:tc>
          <w:tcPr>
            <w:tcW w:w="294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313 402</w:t>
            </w:r>
          </w:p>
        </w:tc>
        <w:tc>
          <w:tcPr>
            <w:tcW w:w="328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313 402</w:t>
            </w:r>
          </w:p>
        </w:tc>
      </w:tr>
      <w:tr>
        <w:trPr>
          <w:trHeight w:val="300"/>
        </w:trPr>
        <w:tc>
          <w:tcPr>
            <w:tcW w:w="2320"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Germany</w:t>
            </w:r>
          </w:p>
        </w:tc>
        <w:tc>
          <w:tcPr>
            <w:tcW w:w="294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1 146 818</w:t>
            </w:r>
          </w:p>
        </w:tc>
        <w:tc>
          <w:tcPr>
            <w:tcW w:w="328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1 130 840</w:t>
            </w:r>
          </w:p>
        </w:tc>
      </w:tr>
      <w:tr>
        <w:trPr>
          <w:trHeight w:val="300"/>
        </w:trPr>
        <w:tc>
          <w:tcPr>
            <w:tcW w:w="2320"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Greece</w:t>
            </w:r>
          </w:p>
        </w:tc>
        <w:tc>
          <w:tcPr>
            <w:tcW w:w="294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198 028</w:t>
            </w:r>
          </w:p>
        </w:tc>
        <w:tc>
          <w:tcPr>
            <w:tcW w:w="328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198 028</w:t>
            </w:r>
          </w:p>
        </w:tc>
      </w:tr>
      <w:tr>
        <w:trPr>
          <w:trHeight w:val="300"/>
        </w:trPr>
        <w:tc>
          <w:tcPr>
            <w:tcW w:w="2320"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Hungary</w:t>
            </w:r>
          </w:p>
        </w:tc>
        <w:tc>
          <w:tcPr>
            <w:tcW w:w="294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85 129</w:t>
            </w:r>
          </w:p>
        </w:tc>
        <w:tc>
          <w:tcPr>
            <w:tcW w:w="328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300"/>
        </w:trPr>
        <w:tc>
          <w:tcPr>
            <w:tcW w:w="2320"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Ireland</w:t>
            </w:r>
          </w:p>
        </w:tc>
        <w:tc>
          <w:tcPr>
            <w:tcW w:w="294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53 560</w:t>
            </w:r>
          </w:p>
        </w:tc>
        <w:tc>
          <w:tcPr>
            <w:tcW w:w="328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53 560</w:t>
            </w:r>
          </w:p>
        </w:tc>
      </w:tr>
      <w:tr>
        <w:trPr>
          <w:trHeight w:val="300"/>
        </w:trPr>
        <w:tc>
          <w:tcPr>
            <w:tcW w:w="2320"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Italy</w:t>
            </w:r>
          </w:p>
        </w:tc>
        <w:tc>
          <w:tcPr>
            <w:tcW w:w="294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549 806</w:t>
            </w:r>
          </w:p>
        </w:tc>
        <w:tc>
          <w:tcPr>
            <w:tcW w:w="328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383 692</w:t>
            </w:r>
          </w:p>
        </w:tc>
      </w:tr>
      <w:tr>
        <w:trPr>
          <w:trHeight w:val="300"/>
        </w:trPr>
        <w:tc>
          <w:tcPr>
            <w:tcW w:w="2320"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Latvia</w:t>
            </w:r>
          </w:p>
        </w:tc>
        <w:tc>
          <w:tcPr>
            <w:tcW w:w="294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15 391</w:t>
            </w:r>
          </w:p>
        </w:tc>
        <w:tc>
          <w:tcPr>
            <w:tcW w:w="328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3 790</w:t>
            </w:r>
          </w:p>
        </w:tc>
      </w:tr>
      <w:tr>
        <w:trPr>
          <w:trHeight w:val="300"/>
        </w:trPr>
        <w:tc>
          <w:tcPr>
            <w:tcW w:w="2320"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Lithuania</w:t>
            </w:r>
          </w:p>
        </w:tc>
        <w:tc>
          <w:tcPr>
            <w:tcW w:w="294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31 513</w:t>
            </w:r>
          </w:p>
        </w:tc>
        <w:tc>
          <w:tcPr>
            <w:tcW w:w="328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31 513</w:t>
            </w:r>
          </w:p>
        </w:tc>
      </w:tr>
      <w:tr>
        <w:trPr>
          <w:trHeight w:val="300"/>
        </w:trPr>
        <w:tc>
          <w:tcPr>
            <w:tcW w:w="2320"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Luxembourg</w:t>
            </w:r>
          </w:p>
        </w:tc>
        <w:tc>
          <w:tcPr>
            <w:tcW w:w="294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6 875</w:t>
            </w:r>
          </w:p>
        </w:tc>
        <w:tc>
          <w:tcPr>
            <w:tcW w:w="328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3 471</w:t>
            </w:r>
          </w:p>
        </w:tc>
      </w:tr>
      <w:tr>
        <w:trPr>
          <w:trHeight w:val="300"/>
        </w:trPr>
        <w:tc>
          <w:tcPr>
            <w:tcW w:w="2320"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Malta</w:t>
            </w:r>
          </w:p>
        </w:tc>
        <w:tc>
          <w:tcPr>
            <w:tcW w:w="294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5 952</w:t>
            </w:r>
          </w:p>
        </w:tc>
        <w:tc>
          <w:tcPr>
            <w:tcW w:w="328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6 878</w:t>
            </w:r>
          </w:p>
        </w:tc>
      </w:tr>
      <w:tr>
        <w:trPr>
          <w:trHeight w:val="300"/>
        </w:trPr>
        <w:tc>
          <w:tcPr>
            <w:tcW w:w="2320"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Netherlands</w:t>
            </w:r>
          </w:p>
        </w:tc>
        <w:tc>
          <w:tcPr>
            <w:tcW w:w="294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190 706</w:t>
            </w:r>
          </w:p>
        </w:tc>
        <w:tc>
          <w:tcPr>
            <w:tcW w:w="328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190 706</w:t>
            </w:r>
          </w:p>
        </w:tc>
      </w:tr>
      <w:tr>
        <w:trPr>
          <w:trHeight w:val="300"/>
        </w:trPr>
        <w:tc>
          <w:tcPr>
            <w:tcW w:w="2320"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Poland</w:t>
            </w:r>
          </w:p>
        </w:tc>
        <w:tc>
          <w:tcPr>
            <w:tcW w:w="294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505 994</w:t>
            </w:r>
          </w:p>
        </w:tc>
        <w:tc>
          <w:tcPr>
            <w:tcW w:w="328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290 378</w:t>
            </w:r>
          </w:p>
        </w:tc>
      </w:tr>
      <w:tr>
        <w:trPr>
          <w:trHeight w:val="300"/>
        </w:trPr>
        <w:tc>
          <w:tcPr>
            <w:tcW w:w="2320"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Portugal</w:t>
            </w:r>
          </w:p>
        </w:tc>
        <w:tc>
          <w:tcPr>
            <w:tcW w:w="294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100 350</w:t>
            </w:r>
          </w:p>
        </w:tc>
        <w:tc>
          <w:tcPr>
            <w:tcW w:w="328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95 096</w:t>
            </w:r>
          </w:p>
        </w:tc>
      </w:tr>
      <w:tr>
        <w:trPr>
          <w:trHeight w:val="300"/>
        </w:trPr>
        <w:tc>
          <w:tcPr>
            <w:tcW w:w="2320"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Romania</w:t>
            </w:r>
          </w:p>
        </w:tc>
        <w:tc>
          <w:tcPr>
            <w:tcW w:w="294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260 752</w:t>
            </w:r>
          </w:p>
        </w:tc>
        <w:tc>
          <w:tcPr>
            <w:tcW w:w="328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0</w:t>
            </w:r>
          </w:p>
        </w:tc>
      </w:tr>
      <w:tr>
        <w:trPr>
          <w:trHeight w:val="300"/>
        </w:trPr>
        <w:tc>
          <w:tcPr>
            <w:tcW w:w="2320"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Slovakia</w:t>
            </w:r>
          </w:p>
        </w:tc>
        <w:tc>
          <w:tcPr>
            <w:tcW w:w="294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87 064</w:t>
            </w:r>
          </w:p>
        </w:tc>
        <w:tc>
          <w:tcPr>
            <w:tcW w:w="328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40 873</w:t>
            </w:r>
          </w:p>
        </w:tc>
      </w:tr>
      <w:tr>
        <w:trPr>
          <w:trHeight w:val="300"/>
        </w:trPr>
        <w:tc>
          <w:tcPr>
            <w:tcW w:w="2320"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Slovenia</w:t>
            </w:r>
            <w:r>
              <w:rPr>
                <w:rFonts w:ascii="Calibri" w:eastAsia="Times New Roman" w:hAnsi="Calibri" w:cs="Times New Roman"/>
                <w:noProof/>
                <w:color w:val="000000"/>
                <w:vertAlign w:val="superscript"/>
                <w:lang w:eastAsia="en-GB"/>
              </w:rPr>
              <w:footnoteReference w:id="16"/>
            </w:r>
          </w:p>
        </w:tc>
        <w:tc>
          <w:tcPr>
            <w:tcW w:w="2940" w:type="dxa"/>
            <w:tcBorders>
              <w:top w:val="nil"/>
              <w:left w:val="nil"/>
              <w:bottom w:val="single" w:sz="4" w:space="0" w:color="95B3D7"/>
              <w:right w:val="single" w:sz="4" w:space="0" w:color="95B3D7"/>
            </w:tcBorders>
            <w:shd w:val="clear" w:color="auto" w:fill="DBE5F1" w:themeFill="accent1" w:themeFillTint="33"/>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25 093</w:t>
            </w:r>
          </w:p>
        </w:tc>
        <w:tc>
          <w:tcPr>
            <w:tcW w:w="3280" w:type="dxa"/>
            <w:tcBorders>
              <w:top w:val="nil"/>
              <w:left w:val="nil"/>
              <w:bottom w:val="single" w:sz="4" w:space="0" w:color="95B3D7"/>
              <w:right w:val="single" w:sz="4" w:space="0" w:color="95B3D7"/>
            </w:tcBorders>
            <w:shd w:val="clear" w:color="auto" w:fill="DBE5F1" w:themeFill="accent1" w:themeFillTint="33"/>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25 093</w:t>
            </w:r>
          </w:p>
        </w:tc>
      </w:tr>
      <w:tr>
        <w:trPr>
          <w:trHeight w:val="300"/>
        </w:trPr>
        <w:tc>
          <w:tcPr>
            <w:tcW w:w="2320"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Spain</w:t>
            </w:r>
          </w:p>
        </w:tc>
        <w:tc>
          <w:tcPr>
            <w:tcW w:w="294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493 551</w:t>
            </w:r>
          </w:p>
        </w:tc>
        <w:tc>
          <w:tcPr>
            <w:tcW w:w="328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445 466</w:t>
            </w:r>
          </w:p>
        </w:tc>
      </w:tr>
      <w:tr>
        <w:trPr>
          <w:trHeight w:val="300"/>
        </w:trPr>
        <w:tc>
          <w:tcPr>
            <w:tcW w:w="2320"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Sweden</w:t>
            </w:r>
          </w:p>
        </w:tc>
        <w:tc>
          <w:tcPr>
            <w:tcW w:w="294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52 572</w:t>
            </w:r>
          </w:p>
        </w:tc>
        <w:tc>
          <w:tcPr>
            <w:tcW w:w="328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28 808</w:t>
            </w:r>
          </w:p>
        </w:tc>
      </w:tr>
      <w:tr>
        <w:trPr>
          <w:trHeight w:val="300"/>
        </w:trPr>
        <w:tc>
          <w:tcPr>
            <w:tcW w:w="2320" w:type="dxa"/>
            <w:tcBorders>
              <w:top w:val="nil"/>
              <w:left w:val="single" w:sz="4" w:space="0" w:color="95B3D7"/>
              <w:bottom w:val="single" w:sz="4" w:space="0" w:color="95B3D7"/>
              <w:right w:val="single" w:sz="4" w:space="0" w:color="95B3D7"/>
            </w:tcBorders>
            <w:shd w:val="clear" w:color="auto" w:fill="auto"/>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United Kingdom</w:t>
            </w:r>
          </w:p>
        </w:tc>
        <w:tc>
          <w:tcPr>
            <w:tcW w:w="294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614 758</w:t>
            </w:r>
          </w:p>
        </w:tc>
        <w:tc>
          <w:tcPr>
            <w:tcW w:w="3280" w:type="dxa"/>
            <w:tcBorders>
              <w:top w:val="nil"/>
              <w:left w:val="nil"/>
              <w:bottom w:val="single" w:sz="4" w:space="0" w:color="95B3D7"/>
              <w:right w:val="single" w:sz="4" w:space="0" w:color="95B3D7"/>
            </w:tcBorders>
            <w:shd w:val="clear" w:color="auto" w:fill="auto"/>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614 758</w:t>
            </w:r>
          </w:p>
        </w:tc>
      </w:tr>
      <w:tr>
        <w:trPr>
          <w:trHeight w:val="300"/>
        </w:trPr>
        <w:tc>
          <w:tcPr>
            <w:tcW w:w="2320" w:type="dxa"/>
            <w:tcBorders>
              <w:top w:val="nil"/>
              <w:left w:val="single" w:sz="4" w:space="0" w:color="95B3D7"/>
              <w:bottom w:val="single" w:sz="4" w:space="0" w:color="95B3D7"/>
              <w:right w:val="single" w:sz="4" w:space="0" w:color="95B3D7"/>
            </w:tcBorders>
            <w:shd w:val="clear" w:color="DCE6F1" w:fill="DCE6F1"/>
            <w:noWrap/>
            <w:vAlign w:val="bottom"/>
            <w:hideMark/>
          </w:tcPr>
          <w:p>
            <w:pPr>
              <w:spacing w:after="0" w:line="240" w:lineRule="auto"/>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EU 28</w:t>
            </w:r>
          </w:p>
        </w:tc>
        <w:tc>
          <w:tcPr>
            <w:tcW w:w="294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5 609 868</w:t>
            </w:r>
          </w:p>
        </w:tc>
        <w:tc>
          <w:tcPr>
            <w:tcW w:w="3280" w:type="dxa"/>
            <w:tcBorders>
              <w:top w:val="nil"/>
              <w:left w:val="nil"/>
              <w:bottom w:val="single" w:sz="4" w:space="0" w:color="95B3D7"/>
              <w:right w:val="single" w:sz="4" w:space="0" w:color="95B3D7"/>
            </w:tcBorders>
            <w:shd w:val="clear" w:color="DCE6F1" w:fill="DCE6F1"/>
            <w:noWrap/>
            <w:vAlign w:val="bottom"/>
            <w:hideMark/>
          </w:tcPr>
          <w:p>
            <w:pPr>
              <w:spacing w:after="0" w:line="240" w:lineRule="auto"/>
              <w:jc w:val="right"/>
              <w:rPr>
                <w:rFonts w:ascii="Calibri" w:eastAsia="Times New Roman" w:hAnsi="Calibri" w:cs="Times New Roman"/>
                <w:noProof/>
                <w:color w:val="000000"/>
                <w:lang w:eastAsia="en-GB"/>
              </w:rPr>
            </w:pPr>
            <w:r>
              <w:rPr>
                <w:rFonts w:ascii="Calibri" w:eastAsia="Times New Roman" w:hAnsi="Calibri" w:cs="Times New Roman"/>
                <w:noProof/>
                <w:color w:val="000000"/>
                <w:lang w:eastAsia="en-GB"/>
              </w:rPr>
              <w:t>4 444 330</w:t>
            </w:r>
          </w:p>
        </w:tc>
      </w:tr>
    </w:tbl>
    <w:p>
      <w:pPr>
        <w:rPr>
          <w:rFonts w:ascii="Times New Roman" w:eastAsia="Calibri" w:hAnsi="Times New Roman" w:cs="Times New Roman"/>
          <w:b/>
          <w:bCs/>
          <w:noProof/>
        </w:rPr>
      </w:pPr>
    </w:p>
    <w:sectPr>
      <w:headerReference w:type="even" r:id="rId33"/>
      <w:headerReference w:type="default" r:id="rId34"/>
      <w:footerReference w:type="even" r:id="rId35"/>
      <w:footerReference w:type="default" r:id="rId36"/>
      <w:headerReference w:type="first" r:id="rId37"/>
      <w:footerReference w:type="firs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014552"/>
      <w:docPartObj>
        <w:docPartGallery w:val="Page Numbers (Bottom of Page)"/>
        <w:docPartUnique/>
      </w:docPartObj>
    </w:sdtPr>
    <w:sdtEndPr>
      <w:rPr>
        <w:noProof/>
      </w:rPr>
    </w:sdtEndPr>
    <w:sdtContent>
      <w:p>
        <w:pPr>
          <w:jc w:val="center"/>
        </w:pPr>
        <w:r>
          <w:fldChar w:fldCharType="begin"/>
        </w:r>
        <w:r>
          <w:instrText xml:space="preserve"> PAGE   \* MERGEFORMAT </w:instrText>
        </w:r>
        <w:r>
          <w:fldChar w:fldCharType="separate"/>
        </w:r>
        <w:r>
          <w:rPr>
            <w:noProof/>
          </w:rPr>
          <w:t>101</w:t>
        </w:r>
        <w:r>
          <w:rPr>
            <w:noProof/>
          </w:rPr>
          <w:fldChar w:fldCharType="end"/>
        </w:r>
      </w:p>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9507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548923"/>
      <w:docPartObj>
        <w:docPartGallery w:val="Page Numbers (Bottom of Page)"/>
        <w:docPartUnique/>
      </w:docPartObj>
    </w:sdtPr>
    <w:sdtEndPr>
      <w:rPr>
        <w:noProof/>
      </w:rPr>
    </w:sdtEndPr>
    <w:sdtContent>
      <w:p>
        <w:pPr>
          <w:jc w:val="center"/>
        </w:pPr>
        <w:r>
          <w:fldChar w:fldCharType="begin"/>
        </w:r>
        <w:r>
          <w:instrText xml:space="preserve"> PAGE   \* MERGEFORMAT </w:instrText>
        </w:r>
        <w:r>
          <w:fldChar w:fldCharType="separate"/>
        </w:r>
        <w:r>
          <w:rPr>
            <w:noProof/>
          </w:rPr>
          <w:t>94</w:t>
        </w:r>
        <w:r>
          <w:rPr>
            <w:noProof/>
          </w:rPr>
          <w:fldChar w:fldCharType="end"/>
        </w:r>
      </w:p>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vertAlign w:val="superscript"/>
        </w:rPr>
        <w:footnoteRef/>
      </w:r>
      <w:r>
        <w:t xml:space="preserve"> </w:t>
      </w:r>
      <w:r>
        <w:rPr>
          <w:noProof/>
          <w:color w:val="000000"/>
          <w:lang w:eastAsia="de-DE"/>
        </w:rPr>
        <w:t xml:space="preserve">May be reviewed in the light of the implementation of ICAO's global measure.  </w:t>
      </w:r>
    </w:p>
  </w:footnote>
  <w:footnote w:id="2">
    <w:p>
      <w:pPr>
        <w:pStyle w:val="FootnoteText"/>
      </w:pPr>
      <w:r>
        <w:rPr>
          <w:vertAlign w:val="superscript"/>
        </w:rPr>
        <w:footnoteRef/>
      </w:r>
      <w:r>
        <w:t xml:space="preserve"> Member States that do not use their 3 % limit for the use of international credits in any specific year can transfer the unused part of their limit to another Member State or bank it for their own use until 2020. Member States fulfilling additional criteria (Austria, Belgium, Cyprus, Denmark, Finland, Ireland, Italy, Luxembourg, Portugal, Slovenia, Spain and Sweden) may use credits from projects in Least Developed Countries (LDCs) and Small Island Developing States (SIDS) up to an additional 1 % of their verified emissions in 2005. These credits are not bankable and transferable. A maximum of approximately 750 Mt of international credits can be used during the period from 2013 to 2020 in the ESD.</w:t>
      </w:r>
    </w:p>
  </w:footnote>
  <w:footnote w:id="3">
    <w:p>
      <w:pPr>
        <w:pStyle w:val="FootnoteText"/>
      </w:pPr>
      <w:r>
        <w:rPr>
          <w:vertAlign w:val="superscript"/>
        </w:rPr>
        <w:footnoteRef/>
      </w:r>
      <w:r>
        <w:t xml:space="preserve"> </w:t>
      </w:r>
      <w:r>
        <w:rPr>
          <w:noProof/>
        </w:rPr>
        <w:t xml:space="preserve">For the CP2 it refers to carry over from CP1. For the ETS it refers to carry-over from previous trading period under the scheme itself. </w:t>
      </w:r>
    </w:p>
  </w:footnote>
  <w:footnote w:id="4">
    <w:p>
      <w:pPr>
        <w:pStyle w:val="FootnoteText"/>
      </w:pPr>
      <w:r>
        <w:rPr>
          <w:vertAlign w:val="superscript"/>
        </w:rPr>
        <w:footnoteRef/>
      </w:r>
      <w:r>
        <w:t xml:space="preserve"> In addition to the 28 MS, </w:t>
      </w:r>
      <w:r>
        <w:rPr>
          <w:noProof/>
          <w:color w:val="000000"/>
          <w:lang w:eastAsia="de-DE"/>
        </w:rPr>
        <w:t xml:space="preserve">Iceland, Liechtenstein and Norway are also covered under the EU-ETS. </w:t>
      </w:r>
    </w:p>
  </w:footnote>
  <w:footnote w:id="5">
    <w:p>
      <w:pPr>
        <w:pStyle w:val="FootnoteText"/>
      </w:pPr>
      <w:r>
        <w:rPr>
          <w:vertAlign w:val="superscript"/>
        </w:rPr>
        <w:footnoteRef/>
      </w:r>
      <w:r>
        <w:rPr>
          <w:vertAlign w:val="superscript"/>
        </w:rPr>
        <w:t xml:space="preserve"> </w:t>
      </w:r>
      <w:r>
        <w:t xml:space="preserve">Emissions from international aviation are covered by the EU climate and energy package, but not by the EU's obligations under the Kyoto Protocol. For further information about the scope of the EU 2020 targets, see </w:t>
      </w:r>
      <w:hyperlink r:id="rId1" w:history="1">
        <w:r>
          <w:rPr>
            <w:rStyle w:val="Hyperlink"/>
          </w:rPr>
          <w:t>http://unfccc.int/files/national_reports/annex_i_natcom/submitted_natcom/application/pdf/459381_european_union-nc7-br3-1-nc7_br3_combined_version.pdf</w:t>
        </w:r>
      </w:hyperlink>
      <w:r>
        <w:t xml:space="preserve"> p. 227-235. </w:t>
      </w:r>
    </w:p>
  </w:footnote>
  <w:footnote w:id="6">
    <w:p>
      <w:pPr>
        <w:pStyle w:val="FootnoteText"/>
      </w:pPr>
      <w:r>
        <w:rPr>
          <w:vertAlign w:val="superscript"/>
        </w:rPr>
        <w:footnoteRef/>
      </w:r>
      <w:r>
        <w:t xml:space="preserve"> Kyoto base year emissions differ from 1990 inventory emissions. Kyoto base year emissions have been set to 5 876 Mt CO2-eq., including deforestation and including Iceland. </w:t>
      </w:r>
    </w:p>
  </w:footnote>
  <w:footnote w:id="7">
    <w:p>
      <w:pPr>
        <w:pStyle w:val="FootnoteText"/>
      </w:pPr>
      <w:r>
        <w:rPr>
          <w:vertAlign w:val="superscript"/>
        </w:rPr>
        <w:footnoteRef/>
      </w:r>
      <w:r>
        <w:t xml:space="preserve"> Sources: EU greenhouse gas inventory 1990-2016. EU approximated greenhouse gas inventory 2017 (EEA). Member States projections reviewed by EEA (2018).</w:t>
      </w:r>
    </w:p>
  </w:footnote>
  <w:footnote w:id="8">
    <w:p>
      <w:pPr>
        <w:pStyle w:val="FootnoteText"/>
      </w:pPr>
      <w:r>
        <w:rPr>
          <w:vertAlign w:val="superscript"/>
        </w:rPr>
        <w:footnoteRef/>
      </w:r>
      <w:r>
        <w:t xml:space="preserve"> Source: EU approximated greenhouse gas inventory 2017 (EEA).</w:t>
      </w:r>
    </w:p>
  </w:footnote>
  <w:footnote w:id="9">
    <w:p>
      <w:pPr>
        <w:pStyle w:val="FootnoteText"/>
      </w:pPr>
      <w:r>
        <w:rPr>
          <w:vertAlign w:val="superscript"/>
        </w:rPr>
        <w:footnoteRef/>
      </w:r>
      <w:r>
        <w:t xml:space="preserve"> Sources: EU greenhouse gas inventory 1990-2016, EU approximated greenhouse gas inventory 2017 (EEA). GDP data from Ameco database (European Commission, DG ECFIN). </w:t>
      </w:r>
    </w:p>
  </w:footnote>
  <w:footnote w:id="10">
    <w:p>
      <w:pPr>
        <w:pStyle w:val="FootnoteText"/>
      </w:pPr>
      <w:r>
        <w:rPr>
          <w:vertAlign w:val="superscript"/>
        </w:rPr>
        <w:footnoteRef/>
      </w:r>
      <w:r>
        <w:t xml:space="preserve"> Sources: EU greenhouse gas inventory 1990-2016, EU approximated greenhouse gas inventory 2017 (EEA). Average population (total) (Eurostat (1990 value gap-filled for France by EEA)). </w:t>
      </w:r>
    </w:p>
  </w:footnote>
  <w:footnote w:id="11">
    <w:p/>
  </w:footnote>
  <w:footnote w:id="12">
    <w:p>
      <w:pPr>
        <w:pStyle w:val="FootnoteText"/>
      </w:pPr>
      <w:r>
        <w:rPr>
          <w:vertAlign w:val="superscript"/>
        </w:rPr>
        <w:footnoteRef/>
      </w:r>
      <w:r>
        <w:t xml:space="preserve"> GDP data as reported on: </w:t>
      </w:r>
      <w:hyperlink r:id="rId2" w:history="1">
        <w:r>
          <w:rPr>
            <w:rStyle w:val="Hyperlink"/>
          </w:rPr>
          <w:t>http://epp.eurostat.ec.europa.eu/tgm/table.do?tab=table&amp;init=1&amp;plugin=1&amp;language=en&amp;pcode=tec00115</w:t>
        </w:r>
      </w:hyperlink>
      <w:r>
        <w:t xml:space="preserve"> (accessed in July 2018). </w:t>
      </w:r>
    </w:p>
  </w:footnote>
  <w:footnote w:id="13">
    <w:p>
      <w:pPr>
        <w:pStyle w:val="FootnoteText"/>
      </w:pPr>
      <w:r>
        <w:rPr>
          <w:rStyle w:val="FootnoteReference"/>
        </w:rPr>
        <w:footnoteRef/>
      </w:r>
      <w:r>
        <w:t xml:space="preserve"> </w:t>
      </w:r>
      <w:r>
        <w:rPr>
          <w:sz w:val="18"/>
        </w:rPr>
        <w:t>AEAs for the years 2017-2020 have been recalculated for all Member States to reflect updates in methodologies for reporting of GHG inventories. This recalculation ensures maintaining of the originally intended effort of each Member State (in % of 2005 emissions).</w:t>
      </w:r>
    </w:p>
  </w:footnote>
  <w:footnote w:id="14">
    <w:p>
      <w:pPr>
        <w:pStyle w:val="FootnoteText"/>
      </w:pPr>
      <w:r>
        <w:rPr>
          <w:vertAlign w:val="superscript"/>
        </w:rPr>
        <w:footnoteRef/>
      </w:r>
      <w:r>
        <w:t xml:space="preserve"> Austria reported the following: Revenues are not ear-marked. Actual climate-related spending exceeds the total amount of revenues.</w:t>
      </w:r>
    </w:p>
  </w:footnote>
  <w:footnote w:id="15">
    <w:p>
      <w:pPr>
        <w:pStyle w:val="FootnoteText"/>
        <w:rPr>
          <w:lang w:val="en-US"/>
        </w:rPr>
      </w:pPr>
      <w:r>
        <w:rPr>
          <w:vertAlign w:val="superscript"/>
        </w:rPr>
        <w:footnoteRef/>
      </w:r>
      <w:r>
        <w:rPr>
          <w:vertAlign w:val="superscript"/>
        </w:rPr>
        <w:t xml:space="preserve"> </w:t>
      </w:r>
      <w:r>
        <w:t>Finland does not ear mark revenues for specific uses, including the auctioning revenues from the operation of EU ETS in Finland. Finland’s total spending in 2017 on the purposes specified under Article 10 (3) of the EU Emission Trading Directive 2003/87/EC is higher than the equivalent financial value of auction revenues in 2016 but is not reported here.</w:t>
      </w:r>
    </w:p>
  </w:footnote>
  <w:footnote w:id="16">
    <w:p>
      <w:pPr>
        <w:pStyle w:val="FootnoteText"/>
      </w:pPr>
      <w:r>
        <w:rPr>
          <w:vertAlign w:val="superscript"/>
        </w:rPr>
        <w:footnoteRef/>
      </w:r>
      <w:r>
        <w:t xml:space="preserve"> Slovenia reported billion EUR 25.093. In the table it is assumed that the correct figure is 1000 EUR 25 093.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C47BA"/>
    <w:multiLevelType w:val="hybridMultilevel"/>
    <w:tmpl w:val="E38E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0356FD"/>
    <w:multiLevelType w:val="hybridMultilevel"/>
    <w:tmpl w:val="03C290FA"/>
    <w:lvl w:ilvl="0" w:tplc="69B6E9E0">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5C9C63C-6EDC-493B-B122-1EA18427F728"/>
    <w:docVar w:name="LW_COVERPAGE_TYPE" w:val="1"/>
    <w:docVar w:name="LW_CROSSREFERENCE" w:val="{COM(2018) 716 final}"/>
    <w:docVar w:name="LW_DocType" w:val="NORMAL"/>
    <w:docVar w:name="LW_EMISSION" w:val="26.10.2018"/>
    <w:docVar w:name="LW_EMISSION_ISODATE" w:val="2018-10-26"/>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U and the Paris Climate Agreement: Taking stock of progress at Katowice COP"/>
    <w:docVar w:name="LW_PART_NBR" w:val="6"/>
    <w:docVar w:name="LW_PART_NBR_TOTAL" w:val="6"/>
    <w:docVar w:name="LW_REF.INST.NEW" w:val="SWD"/>
    <w:docVar w:name="LW_REF.INST.NEW_ADOPTED" w:val="final"/>
    <w:docVar w:name="LW_REF.INST.NEW_TEXT" w:val="(2018) 4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echnical information"/>
    <w:docVar w:name="LW_TYPE.DOC.CP" w:val="COMMISSION STAFF WORKING DOCUMENT"/>
    <w:docVar w:name="LW_TYPEACTEPRINCIPAL.CP" w:val="Report from the European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Strong">
    <w:name w:val="Strong"/>
    <w:uiPriority w:val="22"/>
    <w:qFormat/>
    <w:rPr>
      <w:rFonts w:cs="Times New Roman"/>
      <w:b/>
      <w:bCs/>
      <w:shd w:val="clear" w:color="auto" w:fill="auto"/>
    </w:rPr>
  </w:style>
  <w:style w:type="paragraph" w:customStyle="1" w:styleId="Tableheading">
    <w:name w:val="Table heading"/>
    <w:basedOn w:val="Caption"/>
    <w:link w:val="TableheadingChar"/>
    <w:qFormat/>
    <w:pPr>
      <w:keepNext/>
    </w:pPr>
    <w:rPr>
      <w:color w:val="auto"/>
      <w:sz w:val="22"/>
      <w:szCs w:val="22"/>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customStyle="1" w:styleId="TableheadingChar">
    <w:name w:val="Table heading Char"/>
    <w:basedOn w:val="DefaultParagraphFont"/>
    <w:link w:val="Tableheading"/>
    <w:rPr>
      <w:b/>
      <w:bCs/>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tabs>
        <w:tab w:val="right" w:leader="dot" w:pos="9062"/>
      </w:tabs>
      <w:spacing w:after="100"/>
    </w:pPr>
    <w:rPr>
      <w:b/>
      <w:noProof/>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IntenseQuoteChar">
    <w:name w:val="Intense Quote Char"/>
    <w:basedOn w:val="DefaultParagraphFont"/>
    <w:link w:val="IntenseQuote"/>
    <w:uiPriority w:val="30"/>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1">
    <w:name w:val="Intense Quote Char1"/>
    <w:basedOn w:val="DefaultParagraphFont"/>
    <w:uiPriority w:val="30"/>
    <w:rPr>
      <w:b/>
      <w:bCs/>
      <w:i/>
      <w:iCs/>
      <w:color w:val="4F81BD" w:themeColor="accent1"/>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color w:val="365F91" w:themeColor="accent1" w:themeShade="BF"/>
      <w:sz w:val="24"/>
      <w:szCs w:val="2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bCs w:val="0"/>
      <w:color w:val="365F91" w:themeColor="accent1" w:themeShade="BF"/>
      <w:sz w:val="32"/>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color w:val="365F91" w:themeColor="accent1" w:themeShade="BF"/>
      <w:sz w:val="24"/>
      <w:szCs w:val="2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bCs w:val="0"/>
      <w:color w:val="365F91" w:themeColor="accent1" w:themeShade="BF"/>
      <w:sz w:val="32"/>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u w:val="single"/>
    </w:rPr>
  </w:style>
  <w:style w:type="paragraph" w:customStyle="1" w:styleId="xl6694">
    <w:name w:val="xl6694"/>
    <w:basedOn w:val="Normal"/>
    <w:pPr>
      <w:pBdr>
        <w:top w:val="single" w:sz="4" w:space="0" w:color="95B3D7"/>
        <w:left w:val="single" w:sz="4" w:space="0" w:color="95B3D7"/>
        <w:bottom w:val="single" w:sz="4" w:space="0" w:color="95B3D7"/>
        <w:right w:val="single" w:sz="4" w:space="0" w:color="95B3D7"/>
      </w:pBdr>
      <w:shd w:val="clear" w:color="4F81BD" w:fill="4F81BD"/>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6695">
    <w:name w:val="xl6695"/>
    <w:basedOn w:val="Normal"/>
    <w:pPr>
      <w:pBdr>
        <w:top w:val="single" w:sz="4" w:space="0" w:color="95B3D7"/>
        <w:left w:val="single" w:sz="4" w:space="0" w:color="95B3D7"/>
        <w:bottom w:val="single" w:sz="4" w:space="0" w:color="95B3D7"/>
        <w:right w:val="single" w:sz="4" w:space="0" w:color="95B3D7"/>
      </w:pBdr>
      <w:shd w:val="clear" w:color="4F81BD" w:fill="4F81BD"/>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6696">
    <w:name w:val="xl6696"/>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97">
    <w:name w:val="xl6697"/>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98">
    <w:name w:val="xl6698"/>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99">
    <w:name w:val="xl6699"/>
    <w:basedOn w:val="Normal"/>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00">
    <w:name w:val="xl6700"/>
    <w:basedOn w:val="Normal"/>
    <w:pPr>
      <w:pBdr>
        <w:top w:val="single" w:sz="4" w:space="0" w:color="95B3D7"/>
        <w:left w:val="single" w:sz="4" w:space="7" w:color="95B3D7"/>
        <w:bottom w:val="single" w:sz="4" w:space="0" w:color="95B3D7"/>
        <w:right w:val="single" w:sz="4" w:space="0" w:color="95B3D7"/>
      </w:pBdr>
      <w:shd w:val="clear" w:color="DCE6F1" w:fill="DCE6F1"/>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01">
    <w:name w:val="xl6701"/>
    <w:basedOn w:val="Normal"/>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02">
    <w:name w:val="xl6702"/>
    <w:basedOn w:val="Normal"/>
    <w:pPr>
      <w:pBdr>
        <w:top w:val="single" w:sz="4" w:space="0" w:color="95B3D7"/>
        <w:left w:val="single" w:sz="4" w:space="0" w:color="95B3D7"/>
        <w:bottom w:val="single" w:sz="4" w:space="0" w:color="95B3D7"/>
        <w:right w:val="single" w:sz="4" w:space="7" w:color="95B3D7"/>
      </w:pBdr>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en-GB"/>
    </w:rPr>
  </w:style>
  <w:style w:type="paragraph" w:customStyle="1" w:styleId="xl6703">
    <w:name w:val="xl6703"/>
    <w:basedOn w:val="Normal"/>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04">
    <w:name w:val="xl6704"/>
    <w:basedOn w:val="Normal"/>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05">
    <w:name w:val="xl6705"/>
    <w:basedOn w:val="Normal"/>
    <w:pPr>
      <w:pBdr>
        <w:top w:val="single" w:sz="4" w:space="0" w:color="95B3D7"/>
        <w:left w:val="single" w:sz="4" w:space="0" w:color="95B3D7"/>
        <w:bottom w:val="single" w:sz="4" w:space="0" w:color="95B3D7"/>
        <w:right w:val="single" w:sz="4" w:space="7" w:color="95B3D7"/>
      </w:pBdr>
      <w:shd w:val="clear" w:color="DCE6F1" w:fill="DCE6F1"/>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en-GB"/>
    </w:rPr>
  </w:style>
  <w:style w:type="paragraph" w:customStyle="1" w:styleId="xl6706">
    <w:name w:val="xl6706"/>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07">
    <w:name w:val="xl6707"/>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08">
    <w:name w:val="xl6708"/>
    <w:basedOn w:val="Normal"/>
    <w:pPr>
      <w:pBdr>
        <w:top w:val="single" w:sz="4" w:space="0" w:color="95B3D7"/>
        <w:left w:val="single" w:sz="4" w:space="0" w:color="95B3D7"/>
        <w:bottom w:val="single" w:sz="4" w:space="0" w:color="95B3D7"/>
        <w:right w:val="single" w:sz="4" w:space="7" w:color="95B3D7"/>
      </w:pBdr>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en-GB"/>
    </w:rPr>
  </w:style>
  <w:style w:type="paragraph" w:customStyle="1" w:styleId="xl6709">
    <w:name w:val="xl6709"/>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6710">
    <w:name w:val="xl6710"/>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11">
    <w:name w:val="xl6711"/>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12">
    <w:name w:val="xl6712"/>
    <w:basedOn w:val="Normal"/>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6713">
    <w:name w:val="xl6713"/>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6714">
    <w:name w:val="xl6714"/>
    <w:basedOn w:val="Normal"/>
    <w:pPr>
      <w:pBdr>
        <w:top w:val="single" w:sz="4" w:space="0" w:color="95B3D7"/>
        <w:left w:val="single" w:sz="4" w:space="0" w:color="95B3D7"/>
        <w:bottom w:val="single" w:sz="4" w:space="0" w:color="95B3D7"/>
        <w:right w:val="single" w:sz="4" w:space="7" w:color="95B3D7"/>
      </w:pBdr>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en-GB"/>
    </w:rPr>
  </w:style>
  <w:style w:type="paragraph" w:customStyle="1" w:styleId="xl6715">
    <w:name w:val="xl6715"/>
    <w:basedOn w:val="Normal"/>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16">
    <w:name w:val="xl6716"/>
    <w:basedOn w:val="Normal"/>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17">
    <w:name w:val="xl6717"/>
    <w:basedOn w:val="Normal"/>
    <w:pPr>
      <w:pBdr>
        <w:top w:val="single" w:sz="4" w:space="0" w:color="95B3D7"/>
        <w:left w:val="single" w:sz="4" w:space="0" w:color="95B3D7"/>
        <w:bottom w:val="single" w:sz="4" w:space="0" w:color="95B3D7"/>
        <w:right w:val="single" w:sz="4" w:space="0" w:color="95B3D7"/>
      </w:pBdr>
      <w:shd w:val="clear" w:color="4F81BD" w:fill="4F81BD"/>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6718">
    <w:name w:val="xl6718"/>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styleId="TOC2">
    <w:name w:val="toc 2"/>
    <w:basedOn w:val="Normal"/>
    <w:next w:val="Normal"/>
    <w:autoRedefine/>
    <w:uiPriority w:val="39"/>
    <w:unhideWhenUsed/>
    <w:pPr>
      <w:spacing w:after="100"/>
      <w:ind w:left="220"/>
    </w:pPr>
    <w:rPr>
      <w:rFonts w:eastAsiaTheme="minorEastAsia"/>
      <w:lang w:eastAsia="en-GB"/>
    </w:rPr>
  </w:style>
  <w:style w:type="paragraph" w:styleId="TOC3">
    <w:name w:val="toc 3"/>
    <w:basedOn w:val="Normal"/>
    <w:next w:val="Normal"/>
    <w:autoRedefine/>
    <w:uiPriority w:val="39"/>
    <w:unhideWhenUsed/>
    <w:pPr>
      <w:spacing w:after="100"/>
      <w:ind w:left="440"/>
    </w:pPr>
    <w:rPr>
      <w:rFonts w:eastAsiaTheme="minorEastAsia"/>
      <w:lang w:eastAsia="en-GB"/>
    </w:rPr>
  </w:style>
  <w:style w:type="paragraph" w:styleId="TOC4">
    <w:name w:val="toc 4"/>
    <w:basedOn w:val="Normal"/>
    <w:next w:val="Normal"/>
    <w:autoRedefine/>
    <w:uiPriority w:val="39"/>
    <w:unhideWhenUsed/>
    <w:pPr>
      <w:spacing w:after="100"/>
      <w:ind w:left="660"/>
    </w:pPr>
    <w:rPr>
      <w:rFonts w:eastAsiaTheme="minorEastAsia"/>
      <w:lang w:eastAsia="en-GB"/>
    </w:rPr>
  </w:style>
  <w:style w:type="paragraph" w:styleId="TOC5">
    <w:name w:val="toc 5"/>
    <w:basedOn w:val="Normal"/>
    <w:next w:val="Normal"/>
    <w:autoRedefine/>
    <w:uiPriority w:val="39"/>
    <w:unhideWhenUsed/>
    <w:pPr>
      <w:spacing w:after="100"/>
      <w:ind w:left="880"/>
    </w:pPr>
    <w:rPr>
      <w:rFonts w:eastAsiaTheme="minorEastAsia"/>
      <w:lang w:eastAsia="en-GB"/>
    </w:rPr>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 w:type="character" w:styleId="FootnoteReference">
    <w:name w:val="footnote reference"/>
    <w:basedOn w:val="DefaultParagraphFont"/>
    <w:uiPriority w:val="99"/>
    <w:semiHidden/>
    <w:unhideWhenUsed/>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Strong">
    <w:name w:val="Strong"/>
    <w:uiPriority w:val="22"/>
    <w:qFormat/>
    <w:rPr>
      <w:rFonts w:cs="Times New Roman"/>
      <w:b/>
      <w:bCs/>
      <w:shd w:val="clear" w:color="auto" w:fill="auto"/>
    </w:rPr>
  </w:style>
  <w:style w:type="paragraph" w:customStyle="1" w:styleId="Tableheading">
    <w:name w:val="Table heading"/>
    <w:basedOn w:val="Caption"/>
    <w:link w:val="TableheadingChar"/>
    <w:qFormat/>
    <w:pPr>
      <w:keepNext/>
    </w:pPr>
    <w:rPr>
      <w:color w:val="auto"/>
      <w:sz w:val="22"/>
      <w:szCs w:val="22"/>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character" w:customStyle="1" w:styleId="TableheadingChar">
    <w:name w:val="Table heading Char"/>
    <w:basedOn w:val="DefaultParagraphFont"/>
    <w:link w:val="Tableheading"/>
    <w:rPr>
      <w:b/>
      <w:bCs/>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tabs>
        <w:tab w:val="right" w:leader="dot" w:pos="9062"/>
      </w:tabs>
      <w:spacing w:after="100"/>
    </w:pPr>
    <w:rPr>
      <w:b/>
      <w:noProof/>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IntenseQuoteChar">
    <w:name w:val="Intense Quote Char"/>
    <w:basedOn w:val="DefaultParagraphFont"/>
    <w:link w:val="IntenseQuote"/>
    <w:uiPriority w:val="30"/>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1">
    <w:name w:val="Intense Quote Char1"/>
    <w:basedOn w:val="DefaultParagraphFont"/>
    <w:uiPriority w:val="30"/>
    <w:rPr>
      <w:b/>
      <w:bCs/>
      <w:i/>
      <w:iCs/>
      <w:color w:val="4F81BD" w:themeColor="accent1"/>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color w:val="365F91" w:themeColor="accent1" w:themeShade="BF"/>
      <w:sz w:val="24"/>
      <w:szCs w:val="2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bCs w:val="0"/>
      <w:color w:val="365F91" w:themeColor="accent1" w:themeShade="BF"/>
      <w:sz w:val="32"/>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color w:val="365F91" w:themeColor="accent1" w:themeShade="BF"/>
      <w:sz w:val="24"/>
      <w:szCs w:val="2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bCs w:val="0"/>
      <w:color w:val="365F91" w:themeColor="accent1" w:themeShade="BF"/>
      <w:sz w:val="32"/>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u w:val="single"/>
    </w:rPr>
  </w:style>
  <w:style w:type="paragraph" w:customStyle="1" w:styleId="xl6694">
    <w:name w:val="xl6694"/>
    <w:basedOn w:val="Normal"/>
    <w:pPr>
      <w:pBdr>
        <w:top w:val="single" w:sz="4" w:space="0" w:color="95B3D7"/>
        <w:left w:val="single" w:sz="4" w:space="0" w:color="95B3D7"/>
        <w:bottom w:val="single" w:sz="4" w:space="0" w:color="95B3D7"/>
        <w:right w:val="single" w:sz="4" w:space="0" w:color="95B3D7"/>
      </w:pBdr>
      <w:shd w:val="clear" w:color="4F81BD" w:fill="4F81BD"/>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6695">
    <w:name w:val="xl6695"/>
    <w:basedOn w:val="Normal"/>
    <w:pPr>
      <w:pBdr>
        <w:top w:val="single" w:sz="4" w:space="0" w:color="95B3D7"/>
        <w:left w:val="single" w:sz="4" w:space="0" w:color="95B3D7"/>
        <w:bottom w:val="single" w:sz="4" w:space="0" w:color="95B3D7"/>
        <w:right w:val="single" w:sz="4" w:space="0" w:color="95B3D7"/>
      </w:pBdr>
      <w:shd w:val="clear" w:color="4F81BD" w:fill="4F81BD"/>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6696">
    <w:name w:val="xl6696"/>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97">
    <w:name w:val="xl6697"/>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98">
    <w:name w:val="xl6698"/>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99">
    <w:name w:val="xl6699"/>
    <w:basedOn w:val="Normal"/>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00">
    <w:name w:val="xl6700"/>
    <w:basedOn w:val="Normal"/>
    <w:pPr>
      <w:pBdr>
        <w:top w:val="single" w:sz="4" w:space="0" w:color="95B3D7"/>
        <w:left w:val="single" w:sz="4" w:space="7" w:color="95B3D7"/>
        <w:bottom w:val="single" w:sz="4" w:space="0" w:color="95B3D7"/>
        <w:right w:val="single" w:sz="4" w:space="0" w:color="95B3D7"/>
      </w:pBdr>
      <w:shd w:val="clear" w:color="DCE6F1" w:fill="DCE6F1"/>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01">
    <w:name w:val="xl6701"/>
    <w:basedOn w:val="Normal"/>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02">
    <w:name w:val="xl6702"/>
    <w:basedOn w:val="Normal"/>
    <w:pPr>
      <w:pBdr>
        <w:top w:val="single" w:sz="4" w:space="0" w:color="95B3D7"/>
        <w:left w:val="single" w:sz="4" w:space="0" w:color="95B3D7"/>
        <w:bottom w:val="single" w:sz="4" w:space="0" w:color="95B3D7"/>
        <w:right w:val="single" w:sz="4" w:space="7" w:color="95B3D7"/>
      </w:pBdr>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en-GB"/>
    </w:rPr>
  </w:style>
  <w:style w:type="paragraph" w:customStyle="1" w:styleId="xl6703">
    <w:name w:val="xl6703"/>
    <w:basedOn w:val="Normal"/>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04">
    <w:name w:val="xl6704"/>
    <w:basedOn w:val="Normal"/>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05">
    <w:name w:val="xl6705"/>
    <w:basedOn w:val="Normal"/>
    <w:pPr>
      <w:pBdr>
        <w:top w:val="single" w:sz="4" w:space="0" w:color="95B3D7"/>
        <w:left w:val="single" w:sz="4" w:space="0" w:color="95B3D7"/>
        <w:bottom w:val="single" w:sz="4" w:space="0" w:color="95B3D7"/>
        <w:right w:val="single" w:sz="4" w:space="7" w:color="95B3D7"/>
      </w:pBdr>
      <w:shd w:val="clear" w:color="DCE6F1" w:fill="DCE6F1"/>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en-GB"/>
    </w:rPr>
  </w:style>
  <w:style w:type="paragraph" w:customStyle="1" w:styleId="xl6706">
    <w:name w:val="xl6706"/>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07">
    <w:name w:val="xl6707"/>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08">
    <w:name w:val="xl6708"/>
    <w:basedOn w:val="Normal"/>
    <w:pPr>
      <w:pBdr>
        <w:top w:val="single" w:sz="4" w:space="0" w:color="95B3D7"/>
        <w:left w:val="single" w:sz="4" w:space="0" w:color="95B3D7"/>
        <w:bottom w:val="single" w:sz="4" w:space="0" w:color="95B3D7"/>
        <w:right w:val="single" w:sz="4" w:space="7" w:color="95B3D7"/>
      </w:pBdr>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en-GB"/>
    </w:rPr>
  </w:style>
  <w:style w:type="paragraph" w:customStyle="1" w:styleId="xl6709">
    <w:name w:val="xl6709"/>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6710">
    <w:name w:val="xl6710"/>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11">
    <w:name w:val="xl6711"/>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12">
    <w:name w:val="xl6712"/>
    <w:basedOn w:val="Normal"/>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6713">
    <w:name w:val="xl6713"/>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6714">
    <w:name w:val="xl6714"/>
    <w:basedOn w:val="Normal"/>
    <w:pPr>
      <w:pBdr>
        <w:top w:val="single" w:sz="4" w:space="0" w:color="95B3D7"/>
        <w:left w:val="single" w:sz="4" w:space="0" w:color="95B3D7"/>
        <w:bottom w:val="single" w:sz="4" w:space="0" w:color="95B3D7"/>
        <w:right w:val="single" w:sz="4" w:space="7" w:color="95B3D7"/>
      </w:pBdr>
      <w:spacing w:before="100" w:beforeAutospacing="1" w:after="100" w:afterAutospacing="1" w:line="240" w:lineRule="auto"/>
      <w:ind w:firstLineChars="100" w:firstLine="100"/>
      <w:jc w:val="right"/>
    </w:pPr>
    <w:rPr>
      <w:rFonts w:ascii="Times New Roman" w:eastAsia="Times New Roman" w:hAnsi="Times New Roman" w:cs="Times New Roman"/>
      <w:sz w:val="24"/>
      <w:szCs w:val="24"/>
      <w:lang w:eastAsia="en-GB"/>
    </w:rPr>
  </w:style>
  <w:style w:type="paragraph" w:customStyle="1" w:styleId="xl6715">
    <w:name w:val="xl6715"/>
    <w:basedOn w:val="Normal"/>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16">
    <w:name w:val="xl6716"/>
    <w:basedOn w:val="Normal"/>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17">
    <w:name w:val="xl6717"/>
    <w:basedOn w:val="Normal"/>
    <w:pPr>
      <w:pBdr>
        <w:top w:val="single" w:sz="4" w:space="0" w:color="95B3D7"/>
        <w:left w:val="single" w:sz="4" w:space="0" w:color="95B3D7"/>
        <w:bottom w:val="single" w:sz="4" w:space="0" w:color="95B3D7"/>
        <w:right w:val="single" w:sz="4" w:space="0" w:color="95B3D7"/>
      </w:pBdr>
      <w:shd w:val="clear" w:color="4F81BD" w:fill="4F81BD"/>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paragraph" w:customStyle="1" w:styleId="xl6718">
    <w:name w:val="xl6718"/>
    <w:basedOn w:val="Normal"/>
    <w:pPr>
      <w:pBdr>
        <w:top w:val="single" w:sz="4" w:space="0" w:color="95B3D7"/>
        <w:left w:val="single" w:sz="4" w:space="0" w:color="95B3D7"/>
        <w:bottom w:val="single" w:sz="4" w:space="0" w:color="95B3D7"/>
        <w:right w:val="single" w:sz="4" w:space="0" w:color="95B3D7"/>
      </w:pBdr>
      <w:shd w:val="clear" w:color="DCE6F1" w:fill="DCE6F1"/>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styleId="TOC2">
    <w:name w:val="toc 2"/>
    <w:basedOn w:val="Normal"/>
    <w:next w:val="Normal"/>
    <w:autoRedefine/>
    <w:uiPriority w:val="39"/>
    <w:unhideWhenUsed/>
    <w:pPr>
      <w:spacing w:after="100"/>
      <w:ind w:left="220"/>
    </w:pPr>
    <w:rPr>
      <w:rFonts w:eastAsiaTheme="minorEastAsia"/>
      <w:lang w:eastAsia="en-GB"/>
    </w:rPr>
  </w:style>
  <w:style w:type="paragraph" w:styleId="TOC3">
    <w:name w:val="toc 3"/>
    <w:basedOn w:val="Normal"/>
    <w:next w:val="Normal"/>
    <w:autoRedefine/>
    <w:uiPriority w:val="39"/>
    <w:unhideWhenUsed/>
    <w:pPr>
      <w:spacing w:after="100"/>
      <w:ind w:left="440"/>
    </w:pPr>
    <w:rPr>
      <w:rFonts w:eastAsiaTheme="minorEastAsia"/>
      <w:lang w:eastAsia="en-GB"/>
    </w:rPr>
  </w:style>
  <w:style w:type="paragraph" w:styleId="TOC4">
    <w:name w:val="toc 4"/>
    <w:basedOn w:val="Normal"/>
    <w:next w:val="Normal"/>
    <w:autoRedefine/>
    <w:uiPriority w:val="39"/>
    <w:unhideWhenUsed/>
    <w:pPr>
      <w:spacing w:after="100"/>
      <w:ind w:left="660"/>
    </w:pPr>
    <w:rPr>
      <w:rFonts w:eastAsiaTheme="minorEastAsia"/>
      <w:lang w:eastAsia="en-GB"/>
    </w:rPr>
  </w:style>
  <w:style w:type="paragraph" w:styleId="TOC5">
    <w:name w:val="toc 5"/>
    <w:basedOn w:val="Normal"/>
    <w:next w:val="Normal"/>
    <w:autoRedefine/>
    <w:uiPriority w:val="39"/>
    <w:unhideWhenUsed/>
    <w:pPr>
      <w:spacing w:after="100"/>
      <w:ind w:left="880"/>
    </w:pPr>
    <w:rPr>
      <w:rFonts w:eastAsiaTheme="minorEastAsia"/>
      <w:lang w:eastAsia="en-GB"/>
    </w:rPr>
  </w:style>
  <w:style w:type="paragraph" w:styleId="TOC6">
    <w:name w:val="toc 6"/>
    <w:basedOn w:val="Normal"/>
    <w:next w:val="Normal"/>
    <w:autoRedefine/>
    <w:uiPriority w:val="39"/>
    <w:unhideWhenUsed/>
    <w:pPr>
      <w:spacing w:after="100"/>
      <w:ind w:left="1100"/>
    </w:pPr>
    <w:rPr>
      <w:rFonts w:eastAsiaTheme="minorEastAsia"/>
      <w:lang w:eastAsia="en-GB"/>
    </w:rPr>
  </w:style>
  <w:style w:type="paragraph" w:styleId="TOC7">
    <w:name w:val="toc 7"/>
    <w:basedOn w:val="Normal"/>
    <w:next w:val="Normal"/>
    <w:autoRedefine/>
    <w:uiPriority w:val="39"/>
    <w:unhideWhenUsed/>
    <w:pPr>
      <w:spacing w:after="100"/>
      <w:ind w:left="1320"/>
    </w:pPr>
    <w:rPr>
      <w:rFonts w:eastAsiaTheme="minorEastAsia"/>
      <w:lang w:eastAsia="en-GB"/>
    </w:rPr>
  </w:style>
  <w:style w:type="paragraph" w:styleId="TOC8">
    <w:name w:val="toc 8"/>
    <w:basedOn w:val="Normal"/>
    <w:next w:val="Normal"/>
    <w:autoRedefine/>
    <w:uiPriority w:val="39"/>
    <w:unhideWhenUsed/>
    <w:pPr>
      <w:spacing w:after="100"/>
      <w:ind w:left="1540"/>
    </w:pPr>
    <w:rPr>
      <w:rFonts w:eastAsiaTheme="minorEastAsia"/>
      <w:lang w:eastAsia="en-GB"/>
    </w:rPr>
  </w:style>
  <w:style w:type="paragraph" w:styleId="TOC9">
    <w:name w:val="toc 9"/>
    <w:basedOn w:val="Normal"/>
    <w:next w:val="Normal"/>
    <w:autoRedefine/>
    <w:uiPriority w:val="39"/>
    <w:unhideWhenUsed/>
    <w:pPr>
      <w:spacing w:after="100"/>
      <w:ind w:left="1760"/>
    </w:pPr>
    <w:rPr>
      <w:rFonts w:eastAsiaTheme="minorEastAsia"/>
      <w:lang w:eastAsia="en-GB"/>
    </w:rPr>
  </w:style>
  <w:style w:type="character" w:styleId="FootnoteReference">
    <w:name w:val="foot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file:///C:/Users/veragsi/AppData/Local/Microsoft/Windows/Temporary%20Internet%20Files/Content.MSO/E0DB9A89.xlsx" TargetMode="Externa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image" Target="media/image2.png"/><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chart" Target="charts/chart1.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chart" Target="charts/chart3.xml"/><Relationship Id="rId35" Type="http://schemas.openxmlformats.org/officeDocument/2006/relationships/footer" Target="footer10.xml"/></Relationships>
</file>

<file path=word/_rels/footnotes.xml.rels><?xml version="1.0" encoding="UTF-8" standalone="yes"?>
<Relationships xmlns="http://schemas.openxmlformats.org/package/2006/relationships"><Relationship Id="rId2" Type="http://schemas.openxmlformats.org/officeDocument/2006/relationships/hyperlink" Target="http://epp.eurostat.ec.europa.eu/tgm/table.do?tab=table&amp;init=1&amp;plugin=1&amp;language=en&amp;pcode=tec00115" TargetMode="External"/><Relationship Id="rId1" Type="http://schemas.openxmlformats.org/officeDocument/2006/relationships/hyperlink" Target="http://unfccc.int/files/national_reports/annex_i_natcom/submitted_natcom/application/pdf/459381_european_union-nc7-br3-1-nc7_br3_combined_versio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CLIMA\C\2\22.06%20Monitoring%20Mechanism%20Regulation\4.%20Implementation\PROGRESS%20REPORT\Progress%20report%202018\Data%20files\total%20emiss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CLIMA\C\2\22.06%20Monitoring%20Mechanism%20Regulation\4.%20Implementation\PROGRESS%20REPORT\Progress%20report%202018\Data%20files\SWD%20figures%20and%20tabl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CLIMA\C\2\22.06%20Monitoring%20Mechanism%20Regulation\4.%20Implementation\PROGRESS%20REPORT\Progress%20report%202018\Data%20files\total%20emission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CLIMA\C\2\22.06%20Monitoring%20Mechanism%20Regulation\4.%20Implementation\PROGRESS%20REPORT\Progress%20report%202018\Data%20files\total%20emiss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89151011237124"/>
          <c:y val="3.3691510862268438E-2"/>
          <c:w val="0.84422539993459733"/>
          <c:h val="0.51066521726422043"/>
        </c:manualLayout>
      </c:layout>
      <c:lineChart>
        <c:grouping val="standard"/>
        <c:varyColors val="0"/>
        <c:ser>
          <c:idx val="0"/>
          <c:order val="0"/>
          <c:tx>
            <c:strRef>
              <c:f>'[8]figures 1 and 2'!$A$41</c:f>
              <c:strCache>
                <c:ptCount val="1"/>
                <c:pt idx="0">
                  <c:v>Energy supply</c:v>
                </c:pt>
              </c:strCache>
            </c:strRef>
          </c:tx>
          <c:spPr>
            <a:ln w="19050"/>
          </c:spPr>
          <c:marker>
            <c:symbol val="none"/>
          </c:marker>
          <c:cat>
            <c:numRef>
              <c:f>'[8]figures 1 and 2'!$C$40:$AQ$40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'[8]figures 1 and 2'!$C$41:$AQ$41</c:f>
              <c:numCache>
                <c:formatCode>General</c:formatCode>
                <c:ptCount val="41"/>
                <c:pt idx="0">
                  <c:v>1868.50995784064</c:v>
                </c:pt>
                <c:pt idx="1">
                  <c:v>1820.718087682327</c:v>
                </c:pt>
                <c:pt idx="2">
                  <c:v>1755.3214714194739</c:v>
                </c:pt>
                <c:pt idx="3">
                  <c:v>1684.5963713280798</c:v>
                </c:pt>
                <c:pt idx="4">
                  <c:v>1679.1209023798899</c:v>
                </c:pt>
                <c:pt idx="5">
                  <c:v>1681.3602253412421</c:v>
                </c:pt>
                <c:pt idx="6">
                  <c:v>1706.285153656464</c:v>
                </c:pt>
                <c:pt idx="7">
                  <c:v>1653.6976739644981</c:v>
                </c:pt>
                <c:pt idx="8">
                  <c:v>1660.4601955977571</c:v>
                </c:pt>
                <c:pt idx="9">
                  <c:v>1611.1572350955071</c:v>
                </c:pt>
                <c:pt idx="10">
                  <c:v>1638.364502133925</c:v>
                </c:pt>
                <c:pt idx="11">
                  <c:v>1680.484217700734</c:v>
                </c:pt>
                <c:pt idx="12">
                  <c:v>1691.5459496285489</c:v>
                </c:pt>
                <c:pt idx="13">
                  <c:v>1740.0589444541442</c:v>
                </c:pt>
                <c:pt idx="14">
                  <c:v>1721.5008662941229</c:v>
                </c:pt>
                <c:pt idx="15">
                  <c:v>1712.5498289949692</c:v>
                </c:pt>
                <c:pt idx="16">
                  <c:v>1718.6261038963642</c:v>
                </c:pt>
                <c:pt idx="17">
                  <c:v>1727.9561988004482</c:v>
                </c:pt>
                <c:pt idx="18">
                  <c:v>1649.9130911813581</c:v>
                </c:pt>
                <c:pt idx="19">
                  <c:v>1519.1479632493272</c:v>
                </c:pt>
                <c:pt idx="20">
                  <c:v>1542.7401166294062</c:v>
                </c:pt>
                <c:pt idx="21">
                  <c:v>1518.2494552080143</c:v>
                </c:pt>
                <c:pt idx="22">
                  <c:v>1510.3710061671159</c:v>
                </c:pt>
                <c:pt idx="23">
                  <c:v>1432.7030269428558</c:v>
                </c:pt>
                <c:pt idx="24">
                  <c:v>1346.0455412845381</c:v>
                </c:pt>
                <c:pt idx="25">
                  <c:v>1333.4741034607976</c:v>
                </c:pt>
                <c:pt idx="26">
                  <c:v>1279.565672926859</c:v>
                </c:pt>
                <c:pt idx="27">
                  <c:v>1276.3359147161475</c:v>
                </c:pt>
              </c:numCache>
            </c:numRef>
          </c:val>
          <c:smooth val="0"/>
          <c:extLst xmlns:c16r2="http://schemas.microsoft.com/office/drawing/2015/06/chart">
            <c:ext xmlns:c16="http://schemas.microsoft.com/office/drawing/2014/chart" uri="{C3380CC4-5D6E-409C-BE32-E72D297353CC}">
              <c16:uniqueId val="{00000000-5DE0-4F85-8F6A-A418EF6EB354}"/>
            </c:ext>
          </c:extLst>
        </c:ser>
        <c:ser>
          <c:idx val="8"/>
          <c:order val="1"/>
          <c:tx>
            <c:strRef>
              <c:f>'[8]figures 1 and 2'!$A$49</c:f>
              <c:strCache>
                <c:ptCount val="1"/>
                <c:pt idx="0">
                  <c:v>Energy supply (projection)</c:v>
                </c:pt>
              </c:strCache>
            </c:strRef>
          </c:tx>
          <c:spPr>
            <a:ln w="19050">
              <a:solidFill>
                <a:schemeClr val="accent1">
                  <a:lumMod val="75000"/>
                </a:schemeClr>
              </a:solidFill>
              <a:prstDash val="dash"/>
            </a:ln>
          </c:spPr>
          <c:marker>
            <c:symbol val="none"/>
          </c:marker>
          <c:cat>
            <c:numRef>
              <c:f>'[8]figures 1 and 2'!$C$40:$AQ$40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'[8]figures 1 and 2'!$C$49:$AQ$49</c:f>
              <c:numCache>
                <c:formatCode>General</c:formatCode>
                <c:ptCount val="41"/>
                <c:pt idx="28">
                  <c:v>1229.8946041736863</c:v>
                </c:pt>
                <c:pt idx="29">
                  <c:v>1202.8084945643648</c:v>
                </c:pt>
                <c:pt idx="30">
                  <c:v>1173.6119170085231</c:v>
                </c:pt>
                <c:pt idx="31">
                  <c:v>1166.7435791018056</c:v>
                </c:pt>
                <c:pt idx="32">
                  <c:v>1153.2061575058799</c:v>
                </c:pt>
                <c:pt idx="33">
                  <c:v>1148.9159517522562</c:v>
                </c:pt>
                <c:pt idx="34">
                  <c:v>1129.6962358465219</c:v>
                </c:pt>
                <c:pt idx="35">
                  <c:v>1119.2759118103943</c:v>
                </c:pt>
                <c:pt idx="36">
                  <c:v>1104.4244332966307</c:v>
                </c:pt>
                <c:pt idx="37">
                  <c:v>1088.1810385269266</c:v>
                </c:pt>
                <c:pt idx="38">
                  <c:v>1076.9586109085831</c:v>
                </c:pt>
                <c:pt idx="39">
                  <c:v>1065.1014671385306</c:v>
                </c:pt>
                <c:pt idx="40">
                  <c:v>1052.9129679142475</c:v>
                </c:pt>
              </c:numCache>
            </c:numRef>
          </c:val>
          <c:smooth val="0"/>
          <c:extLst xmlns:c16r2="http://schemas.microsoft.com/office/drawing/2015/06/chart">
            <c:ext xmlns:c16="http://schemas.microsoft.com/office/drawing/2014/chart" uri="{C3380CC4-5D6E-409C-BE32-E72D297353CC}">
              <c16:uniqueId val="{00000001-5DE0-4F85-8F6A-A418EF6EB354}"/>
            </c:ext>
          </c:extLst>
        </c:ser>
        <c:ser>
          <c:idx val="1"/>
          <c:order val="2"/>
          <c:tx>
            <c:strRef>
              <c:f>'[8]figures 1 and 2'!$A$42</c:f>
              <c:strCache>
                <c:ptCount val="1"/>
                <c:pt idx="0">
                  <c:v>Energy use in manufacturing industries</c:v>
                </c:pt>
              </c:strCache>
            </c:strRef>
          </c:tx>
          <c:spPr>
            <a:ln w="19050"/>
          </c:spPr>
          <c:marker>
            <c:symbol val="none"/>
          </c:marker>
          <c:cat>
            <c:numRef>
              <c:f>'[8]figures 1 and 2'!$C$40:$AQ$40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'[8]figures 1 and 2'!$C$42:$AQ$42</c:f>
              <c:numCache>
                <c:formatCode>General</c:formatCode>
                <c:ptCount val="41"/>
                <c:pt idx="0">
                  <c:v>841.05938064588804</c:v>
                </c:pt>
                <c:pt idx="1">
                  <c:v>798.80127780693601</c:v>
                </c:pt>
                <c:pt idx="2">
                  <c:v>762.63506759481095</c:v>
                </c:pt>
                <c:pt idx="3">
                  <c:v>734.80675295458104</c:v>
                </c:pt>
                <c:pt idx="4">
                  <c:v>732.99231167492997</c:v>
                </c:pt>
                <c:pt idx="5">
                  <c:v>750.475342729202</c:v>
                </c:pt>
                <c:pt idx="6">
                  <c:v>741.12032194434596</c:v>
                </c:pt>
                <c:pt idx="7">
                  <c:v>732.64724386761702</c:v>
                </c:pt>
                <c:pt idx="8">
                  <c:v>697.59576831599202</c:v>
                </c:pt>
                <c:pt idx="9">
                  <c:v>679.413597666535</c:v>
                </c:pt>
                <c:pt idx="10">
                  <c:v>686.14531681223298</c:v>
                </c:pt>
                <c:pt idx="11">
                  <c:v>668.62481708271912</c:v>
                </c:pt>
                <c:pt idx="12">
                  <c:v>648.77774192246102</c:v>
                </c:pt>
                <c:pt idx="13">
                  <c:v>654.24930002655299</c:v>
                </c:pt>
                <c:pt idx="14">
                  <c:v>646.08763668757001</c:v>
                </c:pt>
                <c:pt idx="15">
                  <c:v>635.87704900912195</c:v>
                </c:pt>
                <c:pt idx="16">
                  <c:v>628.33190861419996</c:v>
                </c:pt>
                <c:pt idx="17">
                  <c:v>631.26274548465506</c:v>
                </c:pt>
                <c:pt idx="18">
                  <c:v>604.46598752669297</c:v>
                </c:pt>
                <c:pt idx="19">
                  <c:v>501.294936875536</c:v>
                </c:pt>
                <c:pt idx="20">
                  <c:v>536.06641706571304</c:v>
                </c:pt>
                <c:pt idx="21">
                  <c:v>518.69016515646194</c:v>
                </c:pt>
                <c:pt idx="22">
                  <c:v>497.13886642425803</c:v>
                </c:pt>
                <c:pt idx="23">
                  <c:v>487.88578586593502</c:v>
                </c:pt>
                <c:pt idx="24">
                  <c:v>479.66615088703401</c:v>
                </c:pt>
                <c:pt idx="25">
                  <c:v>483.88371206155603</c:v>
                </c:pt>
                <c:pt idx="26">
                  <c:v>474.34919930182002</c:v>
                </c:pt>
                <c:pt idx="27">
                  <c:v>482.86004914921983</c:v>
                </c:pt>
              </c:numCache>
            </c:numRef>
          </c:val>
          <c:smooth val="0"/>
          <c:extLst xmlns:c16r2="http://schemas.microsoft.com/office/drawing/2015/06/chart">
            <c:ext xmlns:c16="http://schemas.microsoft.com/office/drawing/2014/chart" uri="{C3380CC4-5D6E-409C-BE32-E72D297353CC}">
              <c16:uniqueId val="{00000002-5DE0-4F85-8F6A-A418EF6EB354}"/>
            </c:ext>
          </c:extLst>
        </c:ser>
        <c:ser>
          <c:idx val="9"/>
          <c:order val="3"/>
          <c:tx>
            <c:strRef>
              <c:f>'[8]figures 1 and 2'!$A$50</c:f>
              <c:strCache>
                <c:ptCount val="1"/>
                <c:pt idx="0">
                  <c:v>Energy use in manufacturing industries (projection)</c:v>
                </c:pt>
              </c:strCache>
            </c:strRef>
          </c:tx>
          <c:spPr>
            <a:ln w="19050">
              <a:solidFill>
                <a:schemeClr val="accent2">
                  <a:lumMod val="75000"/>
                </a:schemeClr>
              </a:solidFill>
              <a:prstDash val="dash"/>
            </a:ln>
          </c:spPr>
          <c:marker>
            <c:symbol val="none"/>
          </c:marker>
          <c:cat>
            <c:numRef>
              <c:f>'[8]figures 1 and 2'!$C$40:$AQ$40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'[8]figures 1 and 2'!$C$50:$AQ$50</c:f>
              <c:numCache>
                <c:formatCode>General</c:formatCode>
                <c:ptCount val="41"/>
                <c:pt idx="28">
                  <c:v>472.8006731741869</c:v>
                </c:pt>
                <c:pt idx="29">
                  <c:v>473.61270994869892</c:v>
                </c:pt>
                <c:pt idx="30">
                  <c:v>473.64283699915228</c:v>
                </c:pt>
                <c:pt idx="31">
                  <c:v>471.99094116731027</c:v>
                </c:pt>
                <c:pt idx="32">
                  <c:v>471.23341206742873</c:v>
                </c:pt>
                <c:pt idx="33">
                  <c:v>470.57739842854727</c:v>
                </c:pt>
                <c:pt idx="34">
                  <c:v>469.78995555355368</c:v>
                </c:pt>
                <c:pt idx="35">
                  <c:v>469.95237446470657</c:v>
                </c:pt>
                <c:pt idx="36">
                  <c:v>468.21424769407867</c:v>
                </c:pt>
                <c:pt idx="37">
                  <c:v>465.99124342319806</c:v>
                </c:pt>
                <c:pt idx="38">
                  <c:v>464.09227532236378</c:v>
                </c:pt>
                <c:pt idx="39">
                  <c:v>461.59773527743897</c:v>
                </c:pt>
                <c:pt idx="40">
                  <c:v>459.01227624380226</c:v>
                </c:pt>
              </c:numCache>
            </c:numRef>
          </c:val>
          <c:smooth val="0"/>
          <c:extLst xmlns:c16r2="http://schemas.microsoft.com/office/drawing/2015/06/chart">
            <c:ext xmlns:c16="http://schemas.microsoft.com/office/drawing/2014/chart" uri="{C3380CC4-5D6E-409C-BE32-E72D297353CC}">
              <c16:uniqueId val="{00000003-5DE0-4F85-8F6A-A418EF6EB354}"/>
            </c:ext>
          </c:extLst>
        </c:ser>
        <c:ser>
          <c:idx val="2"/>
          <c:order val="4"/>
          <c:tx>
            <c:strRef>
              <c:f>'[8]figures 1 and 2'!$A$43</c:f>
              <c:strCache>
                <c:ptCount val="1"/>
                <c:pt idx="0">
                  <c:v>Industrial processes and product use</c:v>
                </c:pt>
              </c:strCache>
            </c:strRef>
          </c:tx>
          <c:spPr>
            <a:ln w="19050"/>
          </c:spPr>
          <c:marker>
            <c:symbol val="none"/>
          </c:marker>
          <c:cat>
            <c:numRef>
              <c:f>'[8]figures 1 and 2'!$C$40:$AQ$40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'[8]figures 1 and 2'!$C$43:$AQ$43</c:f>
              <c:numCache>
                <c:formatCode>General</c:formatCode>
                <c:ptCount val="41"/>
                <c:pt idx="0">
                  <c:v>517.45433608259395</c:v>
                </c:pt>
                <c:pt idx="1">
                  <c:v>482.70049628248501</c:v>
                </c:pt>
                <c:pt idx="2">
                  <c:v>464.10200573459599</c:v>
                </c:pt>
                <c:pt idx="3">
                  <c:v>455.37954193604003</c:v>
                </c:pt>
                <c:pt idx="4">
                  <c:v>483.11615279175101</c:v>
                </c:pt>
                <c:pt idx="5">
                  <c:v>498.39066533764498</c:v>
                </c:pt>
                <c:pt idx="6">
                  <c:v>499.53713835292598</c:v>
                </c:pt>
                <c:pt idx="7">
                  <c:v>505.13678501267799</c:v>
                </c:pt>
                <c:pt idx="8">
                  <c:v>482.29668125642701</c:v>
                </c:pt>
                <c:pt idx="9">
                  <c:v>443.22095721928906</c:v>
                </c:pt>
                <c:pt idx="10">
                  <c:v>455.72294966994701</c:v>
                </c:pt>
                <c:pt idx="11">
                  <c:v>440.54860993569002</c:v>
                </c:pt>
                <c:pt idx="12">
                  <c:v>436.64381344968399</c:v>
                </c:pt>
                <c:pt idx="13">
                  <c:v>450.563094497561</c:v>
                </c:pt>
                <c:pt idx="14">
                  <c:v>466.83739775055795</c:v>
                </c:pt>
                <c:pt idx="15">
                  <c:v>465.73517019398503</c:v>
                </c:pt>
                <c:pt idx="16">
                  <c:v>464.542766066882</c:v>
                </c:pt>
                <c:pt idx="17">
                  <c:v>476.05553656047198</c:v>
                </c:pt>
                <c:pt idx="18">
                  <c:v>450.80001223175901</c:v>
                </c:pt>
                <c:pt idx="19">
                  <c:v>376.57489359733802</c:v>
                </c:pt>
                <c:pt idx="20">
                  <c:v>394.36154197864602</c:v>
                </c:pt>
                <c:pt idx="21">
                  <c:v>389.976812701249</c:v>
                </c:pt>
                <c:pt idx="22">
                  <c:v>377.12728780614702</c:v>
                </c:pt>
                <c:pt idx="23">
                  <c:v>375.74198114053399</c:v>
                </c:pt>
                <c:pt idx="24">
                  <c:v>381.93961115448298</c:v>
                </c:pt>
                <c:pt idx="25">
                  <c:v>376.79961327863299</c:v>
                </c:pt>
                <c:pt idx="26">
                  <c:v>374.48273660856302</c:v>
                </c:pt>
                <c:pt idx="27">
                  <c:v>379.11126528139852</c:v>
                </c:pt>
              </c:numCache>
            </c:numRef>
          </c:val>
          <c:smooth val="0"/>
          <c:extLst xmlns:c16r2="http://schemas.microsoft.com/office/drawing/2015/06/chart">
            <c:ext xmlns:c16="http://schemas.microsoft.com/office/drawing/2014/chart" uri="{C3380CC4-5D6E-409C-BE32-E72D297353CC}">
              <c16:uniqueId val="{00000004-5DE0-4F85-8F6A-A418EF6EB354}"/>
            </c:ext>
          </c:extLst>
        </c:ser>
        <c:ser>
          <c:idx val="10"/>
          <c:order val="5"/>
          <c:tx>
            <c:strRef>
              <c:f>'[8]figures 1 and 2'!$A$51</c:f>
              <c:strCache>
                <c:ptCount val="1"/>
                <c:pt idx="0">
                  <c:v>Industrial processes and product use (projection)</c:v>
                </c:pt>
              </c:strCache>
            </c:strRef>
          </c:tx>
          <c:spPr>
            <a:ln w="19050">
              <a:solidFill>
                <a:schemeClr val="accent3">
                  <a:lumMod val="75000"/>
                </a:schemeClr>
              </a:solidFill>
              <a:prstDash val="dash"/>
            </a:ln>
          </c:spPr>
          <c:marker>
            <c:symbol val="none"/>
          </c:marker>
          <c:cat>
            <c:numRef>
              <c:f>'[8]figures 1 and 2'!$C$40:$AQ$40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'[8]figures 1 and 2'!$C$51:$AQ$51</c:f>
              <c:numCache>
                <c:formatCode>General</c:formatCode>
                <c:ptCount val="41"/>
                <c:pt idx="28">
                  <c:v>374.74705305422316</c:v>
                </c:pt>
                <c:pt idx="29">
                  <c:v>374.20165423859925</c:v>
                </c:pt>
                <c:pt idx="30">
                  <c:v>373.24458947577222</c:v>
                </c:pt>
                <c:pt idx="31">
                  <c:v>368.90345520428014</c:v>
                </c:pt>
                <c:pt idx="32">
                  <c:v>364.975085086994</c:v>
                </c:pt>
                <c:pt idx="33">
                  <c:v>361.19665869866935</c:v>
                </c:pt>
                <c:pt idx="34">
                  <c:v>357.1597438304284</c:v>
                </c:pt>
                <c:pt idx="35">
                  <c:v>353.6852386374423</c:v>
                </c:pt>
                <c:pt idx="36">
                  <c:v>351.16291944483095</c:v>
                </c:pt>
                <c:pt idx="37">
                  <c:v>348.52551387148083</c:v>
                </c:pt>
                <c:pt idx="38">
                  <c:v>345.76987769527381</c:v>
                </c:pt>
                <c:pt idx="39">
                  <c:v>342.89447425155885</c:v>
                </c:pt>
                <c:pt idx="40">
                  <c:v>340.06411373266536</c:v>
                </c:pt>
              </c:numCache>
            </c:numRef>
          </c:val>
          <c:smooth val="0"/>
          <c:extLst xmlns:c16r2="http://schemas.microsoft.com/office/drawing/2015/06/chart">
            <c:ext xmlns:c16="http://schemas.microsoft.com/office/drawing/2014/chart" uri="{C3380CC4-5D6E-409C-BE32-E72D297353CC}">
              <c16:uniqueId val="{00000005-5DE0-4F85-8F6A-A418EF6EB354}"/>
            </c:ext>
          </c:extLst>
        </c:ser>
        <c:ser>
          <c:idx val="3"/>
          <c:order val="6"/>
          <c:tx>
            <c:strRef>
              <c:f>'[8]figures 1 and 2'!$A$44</c:f>
              <c:strCache>
                <c:ptCount val="1"/>
                <c:pt idx="0">
                  <c:v>Transport</c:v>
                </c:pt>
              </c:strCache>
            </c:strRef>
          </c:tx>
          <c:spPr>
            <a:ln w="19050"/>
          </c:spPr>
          <c:marker>
            <c:symbol val="none"/>
          </c:marker>
          <c:cat>
            <c:numRef>
              <c:f>'[8]figures 1 and 2'!$C$40:$AQ$40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'[8]figures 1 and 2'!$C$44:$AQ$44</c:f>
              <c:numCache>
                <c:formatCode>General</c:formatCode>
                <c:ptCount val="41"/>
                <c:pt idx="0">
                  <c:v>787.07351229506401</c:v>
                </c:pt>
                <c:pt idx="1">
                  <c:v>794.59149321260702</c:v>
                </c:pt>
                <c:pt idx="2">
                  <c:v>819.043793991239</c:v>
                </c:pt>
                <c:pt idx="3">
                  <c:v>823.73204335799699</c:v>
                </c:pt>
                <c:pt idx="4">
                  <c:v>829.92457405395396</c:v>
                </c:pt>
                <c:pt idx="5">
                  <c:v>843.19117614684501</c:v>
                </c:pt>
                <c:pt idx="6">
                  <c:v>870.16013166692096</c:v>
                </c:pt>
                <c:pt idx="7">
                  <c:v>881.31878499350603</c:v>
                </c:pt>
                <c:pt idx="8">
                  <c:v>909.27405219074501</c:v>
                </c:pt>
                <c:pt idx="9">
                  <c:v>928.00180946892601</c:v>
                </c:pt>
                <c:pt idx="10">
                  <c:v>923.95787337774095</c:v>
                </c:pt>
                <c:pt idx="11">
                  <c:v>936.96770532286598</c:v>
                </c:pt>
                <c:pt idx="12">
                  <c:v>948.40097205603797</c:v>
                </c:pt>
                <c:pt idx="13">
                  <c:v>957.31292137550702</c:v>
                </c:pt>
                <c:pt idx="14">
                  <c:v>976.58946671662704</c:v>
                </c:pt>
                <c:pt idx="15">
                  <c:v>975.937787740776</c:v>
                </c:pt>
                <c:pt idx="16">
                  <c:v>983.37033720855698</c:v>
                </c:pt>
                <c:pt idx="17">
                  <c:v>992.79435438059897</c:v>
                </c:pt>
                <c:pt idx="18">
                  <c:v>968.17425403427501</c:v>
                </c:pt>
                <c:pt idx="19">
                  <c:v>940.66780608693796</c:v>
                </c:pt>
                <c:pt idx="20">
                  <c:v>934.96417098536301</c:v>
                </c:pt>
                <c:pt idx="21">
                  <c:v>922.80485704250202</c:v>
                </c:pt>
                <c:pt idx="22">
                  <c:v>893.40577218891406</c:v>
                </c:pt>
                <c:pt idx="23">
                  <c:v>886.34478784929297</c:v>
                </c:pt>
                <c:pt idx="24">
                  <c:v>894.08445965727606</c:v>
                </c:pt>
                <c:pt idx="25">
                  <c:v>910.76329217240402</c:v>
                </c:pt>
                <c:pt idx="26">
                  <c:v>931.49623639544598</c:v>
                </c:pt>
                <c:pt idx="27">
                  <c:v>945.87556542359437</c:v>
                </c:pt>
              </c:numCache>
            </c:numRef>
          </c:val>
          <c:smooth val="0"/>
          <c:extLst xmlns:c16r2="http://schemas.microsoft.com/office/drawing/2015/06/chart">
            <c:ext xmlns:c16="http://schemas.microsoft.com/office/drawing/2014/chart" uri="{C3380CC4-5D6E-409C-BE32-E72D297353CC}">
              <c16:uniqueId val="{00000006-5DE0-4F85-8F6A-A418EF6EB354}"/>
            </c:ext>
          </c:extLst>
        </c:ser>
        <c:ser>
          <c:idx val="11"/>
          <c:order val="7"/>
          <c:tx>
            <c:strRef>
              <c:f>'[8]figures 1 and 2'!$A$52</c:f>
              <c:strCache>
                <c:ptCount val="1"/>
                <c:pt idx="0">
                  <c:v>Transport (projection)</c:v>
                </c:pt>
              </c:strCache>
            </c:strRef>
          </c:tx>
          <c:spPr>
            <a:ln w="19050">
              <a:solidFill>
                <a:schemeClr val="accent4">
                  <a:lumMod val="75000"/>
                </a:schemeClr>
              </a:solidFill>
              <a:prstDash val="dash"/>
            </a:ln>
          </c:spPr>
          <c:marker>
            <c:symbol val="none"/>
          </c:marker>
          <c:cat>
            <c:numRef>
              <c:f>'[8]figures 1 and 2'!$C$40:$AQ$40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'[8]figures 1 and 2'!$C$52:$AQ$52</c:f>
              <c:numCache>
                <c:formatCode>General</c:formatCode>
                <c:ptCount val="41"/>
                <c:pt idx="28">
                  <c:v>897.40898472098797</c:v>
                </c:pt>
                <c:pt idx="29">
                  <c:v>894.90511272710273</c:v>
                </c:pt>
                <c:pt idx="30">
                  <c:v>891.75981429041713</c:v>
                </c:pt>
                <c:pt idx="31">
                  <c:v>889.89468947147213</c:v>
                </c:pt>
                <c:pt idx="32">
                  <c:v>889.40016905125674</c:v>
                </c:pt>
                <c:pt idx="33">
                  <c:v>887.28493029382935</c:v>
                </c:pt>
                <c:pt idx="34">
                  <c:v>885.14797785858866</c:v>
                </c:pt>
                <c:pt idx="35">
                  <c:v>882.73509095929444</c:v>
                </c:pt>
                <c:pt idx="36">
                  <c:v>883.35482807095968</c:v>
                </c:pt>
                <c:pt idx="37">
                  <c:v>884.22555227558144</c:v>
                </c:pt>
                <c:pt idx="38">
                  <c:v>885.14212323437914</c:v>
                </c:pt>
                <c:pt idx="39">
                  <c:v>886.25963747094772</c:v>
                </c:pt>
                <c:pt idx="40">
                  <c:v>887.31662602267636</c:v>
                </c:pt>
              </c:numCache>
            </c:numRef>
          </c:val>
          <c:smooth val="0"/>
          <c:extLst xmlns:c16r2="http://schemas.microsoft.com/office/drawing/2015/06/chart">
            <c:ext xmlns:c16="http://schemas.microsoft.com/office/drawing/2014/chart" uri="{C3380CC4-5D6E-409C-BE32-E72D297353CC}">
              <c16:uniqueId val="{00000007-5DE0-4F85-8F6A-A418EF6EB354}"/>
            </c:ext>
          </c:extLst>
        </c:ser>
        <c:ser>
          <c:idx val="4"/>
          <c:order val="8"/>
          <c:tx>
            <c:strRef>
              <c:f>'[8]figures 1 and 2'!$A$45</c:f>
              <c:strCache>
                <c:ptCount val="1"/>
                <c:pt idx="0">
                  <c:v>Other energy use</c:v>
                </c:pt>
              </c:strCache>
            </c:strRef>
          </c:tx>
          <c:spPr>
            <a:ln w="19050"/>
          </c:spPr>
          <c:marker>
            <c:symbol val="none"/>
          </c:marker>
          <c:cat>
            <c:numRef>
              <c:f>'[8]figures 1 and 2'!$C$40:$AQ$40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'[8]figures 1 and 2'!$C$45:$AQ$45</c:f>
              <c:numCache>
                <c:formatCode>General</c:formatCode>
                <c:ptCount val="41"/>
                <c:pt idx="0">
                  <c:v>854.120418418996</c:v>
                </c:pt>
                <c:pt idx="1">
                  <c:v>899.89942600348081</c:v>
                </c:pt>
                <c:pt idx="2">
                  <c:v>840.40736102760945</c:v>
                </c:pt>
                <c:pt idx="3">
                  <c:v>854.24227150491015</c:v>
                </c:pt>
                <c:pt idx="4">
                  <c:v>805.18167624951207</c:v>
                </c:pt>
                <c:pt idx="5">
                  <c:v>808.50673902327719</c:v>
                </c:pt>
                <c:pt idx="6">
                  <c:v>874.25708832224302</c:v>
                </c:pt>
                <c:pt idx="7">
                  <c:v>823.12421197575748</c:v>
                </c:pt>
                <c:pt idx="8">
                  <c:v>806.9783818776458</c:v>
                </c:pt>
                <c:pt idx="9">
                  <c:v>793.96657357179822</c:v>
                </c:pt>
                <c:pt idx="10">
                  <c:v>768.82470224656493</c:v>
                </c:pt>
                <c:pt idx="11">
                  <c:v>815.03065245697735</c:v>
                </c:pt>
                <c:pt idx="12">
                  <c:v>782.21245549127536</c:v>
                </c:pt>
                <c:pt idx="13">
                  <c:v>798.54319637804861</c:v>
                </c:pt>
                <c:pt idx="14">
                  <c:v>797.65794951634973</c:v>
                </c:pt>
                <c:pt idx="15">
                  <c:v>793.75247577557764</c:v>
                </c:pt>
                <c:pt idx="16">
                  <c:v>786.4288719760699</c:v>
                </c:pt>
                <c:pt idx="17">
                  <c:v>709.54964874495829</c:v>
                </c:pt>
                <c:pt idx="18">
                  <c:v>758.02233685810893</c:v>
                </c:pt>
                <c:pt idx="19">
                  <c:v>735.14508176843344</c:v>
                </c:pt>
                <c:pt idx="20">
                  <c:v>781.72414366573389</c:v>
                </c:pt>
                <c:pt idx="21">
                  <c:v>687.34440229721838</c:v>
                </c:pt>
                <c:pt idx="22">
                  <c:v>702.54387988814597</c:v>
                </c:pt>
                <c:pt idx="23">
                  <c:v>706.99169535394219</c:v>
                </c:pt>
                <c:pt idx="24">
                  <c:v>615.39425881544969</c:v>
                </c:pt>
                <c:pt idx="25">
                  <c:v>642.94322646409114</c:v>
                </c:pt>
                <c:pt idx="26">
                  <c:v>662.86029618081636</c:v>
                </c:pt>
                <c:pt idx="27">
                  <c:v>663.21879895280983</c:v>
                </c:pt>
              </c:numCache>
            </c:numRef>
          </c:val>
          <c:smooth val="0"/>
          <c:extLst xmlns:c16r2="http://schemas.microsoft.com/office/drawing/2015/06/chart">
            <c:ext xmlns:c16="http://schemas.microsoft.com/office/drawing/2014/chart" uri="{C3380CC4-5D6E-409C-BE32-E72D297353CC}">
              <c16:uniqueId val="{00000008-5DE0-4F85-8F6A-A418EF6EB354}"/>
            </c:ext>
          </c:extLst>
        </c:ser>
        <c:ser>
          <c:idx val="12"/>
          <c:order val="9"/>
          <c:tx>
            <c:strRef>
              <c:f>'[8]figures 1 and 2'!$A$53</c:f>
              <c:strCache>
                <c:ptCount val="1"/>
                <c:pt idx="0">
                  <c:v>Other energy use  (projection)</c:v>
                </c:pt>
              </c:strCache>
            </c:strRef>
          </c:tx>
          <c:spPr>
            <a:ln w="19050">
              <a:solidFill>
                <a:schemeClr val="accent5">
                  <a:lumMod val="75000"/>
                </a:schemeClr>
              </a:solidFill>
              <a:prstDash val="dash"/>
            </a:ln>
          </c:spPr>
          <c:marker>
            <c:symbol val="none"/>
          </c:marker>
          <c:cat>
            <c:numRef>
              <c:f>'[8]figures 1 and 2'!$C$40:$AQ$40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'[8]figures 1 and 2'!$C$53:$AQ$53</c:f>
              <c:numCache>
                <c:formatCode>General</c:formatCode>
                <c:ptCount val="41"/>
                <c:pt idx="28">
                  <c:v>628.03588549866379</c:v>
                </c:pt>
                <c:pt idx="29">
                  <c:v>620.23059884571796</c:v>
                </c:pt>
                <c:pt idx="30">
                  <c:v>609.52531267313088</c:v>
                </c:pt>
                <c:pt idx="31">
                  <c:v>604.14332935570235</c:v>
                </c:pt>
                <c:pt idx="32">
                  <c:v>596.42555670930096</c:v>
                </c:pt>
                <c:pt idx="33">
                  <c:v>589.26835713758828</c:v>
                </c:pt>
                <c:pt idx="34">
                  <c:v>583.89151719954077</c:v>
                </c:pt>
                <c:pt idx="35">
                  <c:v>573.69788955762533</c:v>
                </c:pt>
                <c:pt idx="36">
                  <c:v>571.36634270242257</c:v>
                </c:pt>
                <c:pt idx="37">
                  <c:v>566.74982543091153</c:v>
                </c:pt>
                <c:pt idx="38">
                  <c:v>562.3822507943471</c:v>
                </c:pt>
                <c:pt idx="39">
                  <c:v>561.4371155927787</c:v>
                </c:pt>
                <c:pt idx="40">
                  <c:v>554.60633459967403</c:v>
                </c:pt>
              </c:numCache>
            </c:numRef>
          </c:val>
          <c:smooth val="0"/>
          <c:extLst xmlns:c16r2="http://schemas.microsoft.com/office/drawing/2015/06/chart">
            <c:ext xmlns:c16="http://schemas.microsoft.com/office/drawing/2014/chart" uri="{C3380CC4-5D6E-409C-BE32-E72D297353CC}">
              <c16:uniqueId val="{00000009-5DE0-4F85-8F6A-A418EF6EB354}"/>
            </c:ext>
          </c:extLst>
        </c:ser>
        <c:ser>
          <c:idx val="5"/>
          <c:order val="10"/>
          <c:tx>
            <c:strRef>
              <c:f>'[8]figures 1 and 2'!$A$46</c:f>
              <c:strCache>
                <c:ptCount val="1"/>
                <c:pt idx="0">
                  <c:v>Agriculture</c:v>
                </c:pt>
              </c:strCache>
            </c:strRef>
          </c:tx>
          <c:spPr>
            <a:ln w="19050">
              <a:solidFill>
                <a:schemeClr val="accent6">
                  <a:lumMod val="75000"/>
                </a:schemeClr>
              </a:solidFill>
            </a:ln>
          </c:spPr>
          <c:marker>
            <c:symbol val="none"/>
          </c:marker>
          <c:cat>
            <c:numRef>
              <c:f>'[8]figures 1 and 2'!$C$40:$AQ$40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'[8]figures 1 and 2'!$C$46:$AQ$46</c:f>
              <c:numCache>
                <c:formatCode>General</c:formatCode>
                <c:ptCount val="41"/>
                <c:pt idx="0">
                  <c:v>541.87418536829102</c:v>
                </c:pt>
                <c:pt idx="1">
                  <c:v>511.84108784415298</c:v>
                </c:pt>
                <c:pt idx="2">
                  <c:v>488.87161934523999</c:v>
                </c:pt>
                <c:pt idx="3">
                  <c:v>476.35966791918702</c:v>
                </c:pt>
                <c:pt idx="4">
                  <c:v>469.98470504884898</c:v>
                </c:pt>
                <c:pt idx="5">
                  <c:v>471.55536230943602</c:v>
                </c:pt>
                <c:pt idx="6">
                  <c:v>471.95789890545097</c:v>
                </c:pt>
                <c:pt idx="7">
                  <c:v>469.40110798188903</c:v>
                </c:pt>
                <c:pt idx="8">
                  <c:v>465.83931700842601</c:v>
                </c:pt>
                <c:pt idx="9">
                  <c:v>463.98409868771301</c:v>
                </c:pt>
                <c:pt idx="10">
                  <c:v>457.98938328885401</c:v>
                </c:pt>
                <c:pt idx="11">
                  <c:v>451.349231109659</c:v>
                </c:pt>
                <c:pt idx="12">
                  <c:v>444.63927656140697</c:v>
                </c:pt>
                <c:pt idx="13">
                  <c:v>440.78283285592698</c:v>
                </c:pt>
                <c:pt idx="14">
                  <c:v>440.95906901741301</c:v>
                </c:pt>
                <c:pt idx="15">
                  <c:v>434.31914949967501</c:v>
                </c:pt>
                <c:pt idx="16">
                  <c:v>430.43118713349799</c:v>
                </c:pt>
                <c:pt idx="17">
                  <c:v>432.714296275447</c:v>
                </c:pt>
                <c:pt idx="18">
                  <c:v>430.24067694456897</c:v>
                </c:pt>
                <c:pt idx="19">
                  <c:v>424.79638503620401</c:v>
                </c:pt>
                <c:pt idx="20">
                  <c:v>419.707429714493</c:v>
                </c:pt>
                <c:pt idx="21">
                  <c:v>420.17777829750702</c:v>
                </c:pt>
                <c:pt idx="22">
                  <c:v>418.034305801443</c:v>
                </c:pt>
                <c:pt idx="23">
                  <c:v>421.28355712894199</c:v>
                </c:pt>
                <c:pt idx="24">
                  <c:v>428.40266826052499</c:v>
                </c:pt>
                <c:pt idx="25">
                  <c:v>429.51816890793401</c:v>
                </c:pt>
                <c:pt idx="26">
                  <c:v>430.00172351160501</c:v>
                </c:pt>
                <c:pt idx="27">
                  <c:v>431.72362368839208</c:v>
                </c:pt>
              </c:numCache>
            </c:numRef>
          </c:val>
          <c:smooth val="0"/>
          <c:extLst xmlns:c16r2="http://schemas.microsoft.com/office/drawing/2015/06/chart">
            <c:ext xmlns:c16="http://schemas.microsoft.com/office/drawing/2014/chart" uri="{C3380CC4-5D6E-409C-BE32-E72D297353CC}">
              <c16:uniqueId val="{0000000A-5DE0-4F85-8F6A-A418EF6EB354}"/>
            </c:ext>
          </c:extLst>
        </c:ser>
        <c:ser>
          <c:idx val="13"/>
          <c:order val="11"/>
          <c:tx>
            <c:strRef>
              <c:f>'[8]figures 1 and 2'!$A$54</c:f>
              <c:strCache>
                <c:ptCount val="1"/>
                <c:pt idx="0">
                  <c:v>Agriculture (projection)</c:v>
                </c:pt>
              </c:strCache>
            </c:strRef>
          </c:tx>
          <c:spPr>
            <a:ln w="19050">
              <a:solidFill>
                <a:schemeClr val="accent6">
                  <a:lumMod val="75000"/>
                </a:schemeClr>
              </a:solidFill>
              <a:prstDash val="dash"/>
            </a:ln>
          </c:spPr>
          <c:marker>
            <c:symbol val="none"/>
          </c:marker>
          <c:cat>
            <c:numRef>
              <c:f>'[8]figures 1 and 2'!$C$40:$AQ$40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'[8]figures 1 and 2'!$C$54:$AQ$54</c:f>
              <c:numCache>
                <c:formatCode>General</c:formatCode>
                <c:ptCount val="41"/>
                <c:pt idx="28">
                  <c:v>432.30988881698596</c:v>
                </c:pt>
                <c:pt idx="29">
                  <c:v>431.52004767069485</c:v>
                </c:pt>
                <c:pt idx="30">
                  <c:v>431.46834643144172</c:v>
                </c:pt>
                <c:pt idx="31">
                  <c:v>431.43668427884012</c:v>
                </c:pt>
                <c:pt idx="32">
                  <c:v>431.42504082313525</c:v>
                </c:pt>
                <c:pt idx="33">
                  <c:v>431.2785548347552</c:v>
                </c:pt>
                <c:pt idx="34">
                  <c:v>431.32101225095698</c:v>
                </c:pt>
                <c:pt idx="35">
                  <c:v>431.62436383657507</c:v>
                </c:pt>
                <c:pt idx="36">
                  <c:v>431.56490112468111</c:v>
                </c:pt>
                <c:pt idx="37">
                  <c:v>431.5335986505666</c:v>
                </c:pt>
                <c:pt idx="38">
                  <c:v>431.5465864348908</c:v>
                </c:pt>
                <c:pt idx="39">
                  <c:v>431.57029519610739</c:v>
                </c:pt>
                <c:pt idx="40">
                  <c:v>431.5479687624823</c:v>
                </c:pt>
              </c:numCache>
            </c:numRef>
          </c:val>
          <c:smooth val="0"/>
          <c:extLst xmlns:c16r2="http://schemas.microsoft.com/office/drawing/2015/06/chart">
            <c:ext xmlns:c16="http://schemas.microsoft.com/office/drawing/2014/chart" uri="{C3380CC4-5D6E-409C-BE32-E72D297353CC}">
              <c16:uniqueId val="{0000000B-5DE0-4F85-8F6A-A418EF6EB354}"/>
            </c:ext>
          </c:extLst>
        </c:ser>
        <c:ser>
          <c:idx val="6"/>
          <c:order val="12"/>
          <c:tx>
            <c:strRef>
              <c:f>'[8]figures 1 and 2'!$A$47</c:f>
              <c:strCache>
                <c:ptCount val="1"/>
                <c:pt idx="0">
                  <c:v>Waste</c:v>
                </c:pt>
              </c:strCache>
            </c:strRef>
          </c:tx>
          <c:spPr>
            <a:ln w="19050">
              <a:solidFill>
                <a:schemeClr val="tx1"/>
              </a:solidFill>
            </a:ln>
          </c:spPr>
          <c:marker>
            <c:symbol val="none"/>
          </c:marker>
          <c:cat>
            <c:numRef>
              <c:f>'[8]figures 1 and 2'!$C$40:$AQ$40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'[8]figures 1 and 2'!$C$47:$AQ$47</c:f>
              <c:numCache>
                <c:formatCode>General</c:formatCode>
                <c:ptCount val="41"/>
                <c:pt idx="0">
                  <c:v>235.988298728118</c:v>
                </c:pt>
                <c:pt idx="1">
                  <c:v>239.93285734314301</c:v>
                </c:pt>
                <c:pt idx="2">
                  <c:v>242.13399561704901</c:v>
                </c:pt>
                <c:pt idx="3">
                  <c:v>243.31995613805</c:v>
                </c:pt>
                <c:pt idx="4">
                  <c:v>243.06133880355199</c:v>
                </c:pt>
                <c:pt idx="5">
                  <c:v>244.05908960403701</c:v>
                </c:pt>
                <c:pt idx="6">
                  <c:v>243.18455216517199</c:v>
                </c:pt>
                <c:pt idx="7">
                  <c:v>240.527579371971</c:v>
                </c:pt>
                <c:pt idx="8">
                  <c:v>237.36513161988401</c:v>
                </c:pt>
                <c:pt idx="9">
                  <c:v>232.022461540107</c:v>
                </c:pt>
                <c:pt idx="10">
                  <c:v>228.783315987691</c:v>
                </c:pt>
                <c:pt idx="11">
                  <c:v>224.721397212471</c:v>
                </c:pt>
                <c:pt idx="12">
                  <c:v>221.20355761385599</c:v>
                </c:pt>
                <c:pt idx="13">
                  <c:v>215.543781282754</c:v>
                </c:pt>
                <c:pt idx="14">
                  <c:v>207.07365047227401</c:v>
                </c:pt>
                <c:pt idx="15">
                  <c:v>199.939822325086</c:v>
                </c:pt>
                <c:pt idx="16">
                  <c:v>193.828123536341</c:v>
                </c:pt>
                <c:pt idx="17">
                  <c:v>187.23217075884699</c:v>
                </c:pt>
                <c:pt idx="18">
                  <c:v>178.75162025033799</c:v>
                </c:pt>
                <c:pt idx="19">
                  <c:v>172.96162898101301</c:v>
                </c:pt>
                <c:pt idx="20">
                  <c:v>165.90994948598501</c:v>
                </c:pt>
                <c:pt idx="21">
                  <c:v>160.44433460618299</c:v>
                </c:pt>
                <c:pt idx="22">
                  <c:v>156.355270147699</c:v>
                </c:pt>
                <c:pt idx="23">
                  <c:v>149.206186493264</c:v>
                </c:pt>
                <c:pt idx="24">
                  <c:v>143.454198054231</c:v>
                </c:pt>
                <c:pt idx="25">
                  <c:v>140.54258047585299</c:v>
                </c:pt>
                <c:pt idx="26">
                  <c:v>138.49647321752499</c:v>
                </c:pt>
                <c:pt idx="27">
                  <c:v>136.04540052013053</c:v>
                </c:pt>
              </c:numCache>
            </c:numRef>
          </c:val>
          <c:smooth val="0"/>
          <c:extLst xmlns:c16r2="http://schemas.microsoft.com/office/drawing/2015/06/chart">
            <c:ext xmlns:c16="http://schemas.microsoft.com/office/drawing/2014/chart" uri="{C3380CC4-5D6E-409C-BE32-E72D297353CC}">
              <c16:uniqueId val="{0000000C-5DE0-4F85-8F6A-A418EF6EB354}"/>
            </c:ext>
          </c:extLst>
        </c:ser>
        <c:ser>
          <c:idx val="14"/>
          <c:order val="13"/>
          <c:tx>
            <c:strRef>
              <c:f>'[8]figures 1 and 2'!$A$55</c:f>
              <c:strCache>
                <c:ptCount val="1"/>
                <c:pt idx="0">
                  <c:v>Waste (projection)</c:v>
                </c:pt>
              </c:strCache>
            </c:strRef>
          </c:tx>
          <c:spPr>
            <a:ln w="19050">
              <a:solidFill>
                <a:schemeClr val="tx1"/>
              </a:solidFill>
              <a:prstDash val="dash"/>
            </a:ln>
          </c:spPr>
          <c:marker>
            <c:symbol val="none"/>
          </c:marker>
          <c:cat>
            <c:numRef>
              <c:f>'[8]figures 1 and 2'!$C$40:$AQ$40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'[8]figures 1 and 2'!$C$55:$AQ$55</c:f>
              <c:numCache>
                <c:formatCode>General</c:formatCode>
                <c:ptCount val="41"/>
                <c:pt idx="28">
                  <c:v>126.15571954066577</c:v>
                </c:pt>
                <c:pt idx="29">
                  <c:v>122.0990214657072</c:v>
                </c:pt>
                <c:pt idx="30">
                  <c:v>117.82876950949982</c:v>
                </c:pt>
                <c:pt idx="31">
                  <c:v>114.91425901783376</c:v>
                </c:pt>
                <c:pt idx="32">
                  <c:v>112.33102673798356</c:v>
                </c:pt>
                <c:pt idx="33">
                  <c:v>110.05237141890882</c:v>
                </c:pt>
                <c:pt idx="34">
                  <c:v>107.89494558662949</c:v>
                </c:pt>
                <c:pt idx="35">
                  <c:v>105.76558299363602</c:v>
                </c:pt>
                <c:pt idx="36">
                  <c:v>104.29658777964541</c:v>
                </c:pt>
                <c:pt idx="37">
                  <c:v>102.88342454332819</c:v>
                </c:pt>
                <c:pt idx="38">
                  <c:v>101.52931832238811</c:v>
                </c:pt>
                <c:pt idx="39">
                  <c:v>100.22153361078635</c:v>
                </c:pt>
                <c:pt idx="40">
                  <c:v>98.960273079874881</c:v>
                </c:pt>
              </c:numCache>
            </c:numRef>
          </c:val>
          <c:smooth val="0"/>
          <c:extLst xmlns:c16r2="http://schemas.microsoft.com/office/drawing/2015/06/chart">
            <c:ext xmlns:c16="http://schemas.microsoft.com/office/drawing/2014/chart" uri="{C3380CC4-5D6E-409C-BE32-E72D297353CC}">
              <c16:uniqueId val="{0000000D-5DE0-4F85-8F6A-A418EF6EB354}"/>
            </c:ext>
          </c:extLst>
        </c:ser>
        <c:ser>
          <c:idx val="7"/>
          <c:order val="14"/>
          <c:tx>
            <c:strRef>
              <c:f>'[8]figures 1 and 2'!$A$48</c:f>
              <c:strCache>
                <c:ptCount val="1"/>
                <c:pt idx="0">
                  <c:v>International aviation</c:v>
                </c:pt>
              </c:strCache>
            </c:strRef>
          </c:tx>
          <c:spPr>
            <a:ln w="19050">
              <a:solidFill>
                <a:schemeClr val="bg1">
                  <a:lumMod val="50000"/>
                </a:schemeClr>
              </a:solidFill>
            </a:ln>
          </c:spPr>
          <c:marker>
            <c:symbol val="none"/>
          </c:marker>
          <c:cat>
            <c:numRef>
              <c:f>'[8]figures 1 and 2'!$C$40:$AQ$40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'[8]figures 1 and 2'!$C$48:$AQ$48</c:f>
              <c:numCache>
                <c:formatCode>General</c:formatCode>
                <c:ptCount val="41"/>
                <c:pt idx="0">
                  <c:v>69.210249523967903</c:v>
                </c:pt>
                <c:pt idx="1">
                  <c:v>67.477185415254894</c:v>
                </c:pt>
                <c:pt idx="2">
                  <c:v>73.162869338522</c:v>
                </c:pt>
                <c:pt idx="3">
                  <c:v>77.433107984580701</c:v>
                </c:pt>
                <c:pt idx="4">
                  <c:v>80.812610036729097</c:v>
                </c:pt>
                <c:pt idx="5">
                  <c:v>85.500816347518096</c:v>
                </c:pt>
                <c:pt idx="6">
                  <c:v>89.568724313751105</c:v>
                </c:pt>
                <c:pt idx="7">
                  <c:v>93.8033268527318</c:v>
                </c:pt>
                <c:pt idx="8">
                  <c:v>101.069274233472</c:v>
                </c:pt>
                <c:pt idx="9">
                  <c:v>109.23189284015</c:v>
                </c:pt>
                <c:pt idx="10">
                  <c:v>115.265604221266</c:v>
                </c:pt>
                <c:pt idx="11">
                  <c:v>113.486575611905</c:v>
                </c:pt>
                <c:pt idx="12">
                  <c:v>110.31543491524501</c:v>
                </c:pt>
                <c:pt idx="13">
                  <c:v>114.80359871795601</c:v>
                </c:pt>
                <c:pt idx="14">
                  <c:v>122.578907635617</c:v>
                </c:pt>
                <c:pt idx="15">
                  <c:v>130.83339933005701</c:v>
                </c:pt>
                <c:pt idx="16">
                  <c:v>136.30436191713099</c:v>
                </c:pt>
                <c:pt idx="17">
                  <c:v>140.97938146133899</c:v>
                </c:pt>
                <c:pt idx="18">
                  <c:v>141.54099507171901</c:v>
                </c:pt>
                <c:pt idx="19">
                  <c:v>131.02781187267601</c:v>
                </c:pt>
                <c:pt idx="20">
                  <c:v>131.629418275072</c:v>
                </c:pt>
                <c:pt idx="21">
                  <c:v>135.27764081458099</c:v>
                </c:pt>
                <c:pt idx="22">
                  <c:v>133.34244132998799</c:v>
                </c:pt>
                <c:pt idx="23">
                  <c:v>134.582695206739</c:v>
                </c:pt>
                <c:pt idx="24">
                  <c:v>136.76069063347799</c:v>
                </c:pt>
                <c:pt idx="25">
                  <c:v>141.01227338394</c:v>
                </c:pt>
                <c:pt idx="26">
                  <c:v>148.03302770610199</c:v>
                </c:pt>
                <c:pt idx="27" formatCode="#,##0.00">
                  <c:v>149.83600000000001</c:v>
                </c:pt>
              </c:numCache>
            </c:numRef>
          </c:val>
          <c:smooth val="0"/>
          <c:extLst xmlns:c16r2="http://schemas.microsoft.com/office/drawing/2015/06/chart">
            <c:ext xmlns:c16="http://schemas.microsoft.com/office/drawing/2014/chart" uri="{C3380CC4-5D6E-409C-BE32-E72D297353CC}">
              <c16:uniqueId val="{0000000E-5DE0-4F85-8F6A-A418EF6EB354}"/>
            </c:ext>
          </c:extLst>
        </c:ser>
        <c:ser>
          <c:idx val="15"/>
          <c:order val="15"/>
          <c:tx>
            <c:strRef>
              <c:f>'[8]figures 1 and 2'!$A$56</c:f>
              <c:strCache>
                <c:ptCount val="1"/>
                <c:pt idx="0">
                  <c:v>International aviation (projection)</c:v>
                </c:pt>
              </c:strCache>
            </c:strRef>
          </c:tx>
          <c:spPr>
            <a:ln w="19050">
              <a:solidFill>
                <a:schemeClr val="bg1">
                  <a:lumMod val="50000"/>
                </a:schemeClr>
              </a:solidFill>
              <a:prstDash val="dash"/>
            </a:ln>
          </c:spPr>
          <c:marker>
            <c:symbol val="none"/>
          </c:marker>
          <c:cat>
            <c:numRef>
              <c:f>'[8]figures 1 and 2'!$C$40:$AQ$40</c:f>
              <c:numCache>
                <c:formatCode>General</c:formatCode>
                <c:ptCount val="4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pt idx="36">
                  <c:v>2026</c:v>
                </c:pt>
                <c:pt idx="37">
                  <c:v>2027</c:v>
                </c:pt>
                <c:pt idx="38">
                  <c:v>2028</c:v>
                </c:pt>
                <c:pt idx="39">
                  <c:v>2029</c:v>
                </c:pt>
                <c:pt idx="40">
                  <c:v>2030</c:v>
                </c:pt>
              </c:numCache>
            </c:numRef>
          </c:cat>
          <c:val>
            <c:numRef>
              <c:f>'[8]figures 1 and 2'!$C$56:$AQ$56</c:f>
              <c:numCache>
                <c:formatCode>General</c:formatCode>
                <c:ptCount val="41"/>
                <c:pt idx="28">
                  <c:v>143.39795393148438</c:v>
                </c:pt>
                <c:pt idx="29">
                  <c:v>145.37049680519229</c:v>
                </c:pt>
                <c:pt idx="30">
                  <c:v>146.45224479876245</c:v>
                </c:pt>
                <c:pt idx="31">
                  <c:v>148.33776192166766</c:v>
                </c:pt>
                <c:pt idx="32">
                  <c:v>150.15147369599435</c:v>
                </c:pt>
                <c:pt idx="33">
                  <c:v>151.95142376837416</c:v>
                </c:pt>
                <c:pt idx="34">
                  <c:v>153.80172789573228</c:v>
                </c:pt>
                <c:pt idx="35">
                  <c:v>155.45485172163703</c:v>
                </c:pt>
                <c:pt idx="36">
                  <c:v>157.07305113088259</c:v>
                </c:pt>
                <c:pt idx="37">
                  <c:v>158.95367578411211</c:v>
                </c:pt>
                <c:pt idx="38">
                  <c:v>160.74981309512302</c:v>
                </c:pt>
                <c:pt idx="39">
                  <c:v>162.53826550066336</c:v>
                </c:pt>
                <c:pt idx="40">
                  <c:v>164.08017238676305</c:v>
                </c:pt>
              </c:numCache>
            </c:numRef>
          </c:val>
          <c:smooth val="0"/>
          <c:extLst xmlns:c16r2="http://schemas.microsoft.com/office/drawing/2015/06/chart">
            <c:ext xmlns:c16="http://schemas.microsoft.com/office/drawing/2014/chart" uri="{C3380CC4-5D6E-409C-BE32-E72D297353CC}">
              <c16:uniqueId val="{0000000F-5DE0-4F85-8F6A-A418EF6EB354}"/>
            </c:ext>
          </c:extLst>
        </c:ser>
        <c:dLbls>
          <c:showLegendKey val="0"/>
          <c:showVal val="0"/>
          <c:showCatName val="0"/>
          <c:showSerName val="0"/>
          <c:showPercent val="0"/>
          <c:showBubbleSize val="0"/>
        </c:dLbls>
        <c:marker val="1"/>
        <c:smooth val="0"/>
        <c:axId val="96143616"/>
        <c:axId val="96149504"/>
      </c:lineChart>
      <c:catAx>
        <c:axId val="96143616"/>
        <c:scaling>
          <c:orientation val="minMax"/>
        </c:scaling>
        <c:delete val="0"/>
        <c:axPos val="b"/>
        <c:numFmt formatCode="General" sourceLinked="1"/>
        <c:majorTickMark val="out"/>
        <c:minorTickMark val="none"/>
        <c:tickLblPos val="nextTo"/>
        <c:txPr>
          <a:bodyPr rot="-2340000"/>
          <a:lstStyle/>
          <a:p>
            <a:pPr>
              <a:defRPr sz="800"/>
            </a:pPr>
            <a:endParaRPr lang="en-US"/>
          </a:p>
        </c:txPr>
        <c:crossAx val="96149504"/>
        <c:crosses val="autoZero"/>
        <c:auto val="1"/>
        <c:lblAlgn val="ctr"/>
        <c:lblOffset val="100"/>
        <c:noMultiLvlLbl val="0"/>
      </c:catAx>
      <c:valAx>
        <c:axId val="96149504"/>
        <c:scaling>
          <c:orientation val="minMax"/>
        </c:scaling>
        <c:delete val="0"/>
        <c:axPos val="l"/>
        <c:majorGridlines/>
        <c:title>
          <c:tx>
            <c:rich>
              <a:bodyPr rot="-5400000" vert="horz"/>
              <a:lstStyle/>
              <a:p>
                <a:pPr>
                  <a:defRPr sz="800"/>
                </a:pPr>
                <a:r>
                  <a:rPr lang="en-US" sz="800"/>
                  <a:t>Mt CO</a:t>
                </a:r>
                <a:r>
                  <a:rPr lang="en-US" sz="800" baseline="-25000"/>
                  <a:t>2</a:t>
                </a:r>
                <a:r>
                  <a:rPr lang="en-US" sz="800"/>
                  <a:t>-eq.</a:t>
                </a:r>
              </a:p>
            </c:rich>
          </c:tx>
          <c:layout>
            <c:manualLayout>
              <c:xMode val="edge"/>
              <c:yMode val="edge"/>
              <c:x val="6.9631371633777596E-3"/>
              <c:y val="0.27538769585648382"/>
            </c:manualLayout>
          </c:layout>
          <c:overlay val="0"/>
        </c:title>
        <c:numFmt formatCode="#\ ##0" sourceLinked="0"/>
        <c:majorTickMark val="out"/>
        <c:minorTickMark val="none"/>
        <c:tickLblPos val="nextTo"/>
        <c:txPr>
          <a:bodyPr/>
          <a:lstStyle/>
          <a:p>
            <a:pPr>
              <a:defRPr sz="800"/>
            </a:pPr>
            <a:endParaRPr lang="en-US"/>
          </a:p>
        </c:txPr>
        <c:crossAx val="96143616"/>
        <c:crosses val="autoZero"/>
        <c:crossBetween val="between"/>
      </c:valAx>
    </c:plotArea>
    <c:legend>
      <c:legendPos val="b"/>
      <c:layout>
        <c:manualLayout>
          <c:xMode val="edge"/>
          <c:yMode val="edge"/>
          <c:x val="7.1502572972388908E-3"/>
          <c:y val="0.65086057110353623"/>
          <c:w val="0.98065424288191971"/>
          <c:h val="0.3314626577048684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6"/>
            <c:bubble3D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1D8F-4F34-9D53-24F42176B939}"/>
              </c:ext>
            </c:extLst>
          </c:dPt>
          <c:dPt>
            <c:idx val="7"/>
            <c:bubble3D val="0"/>
            <c:spPr>
              <a:solidFill>
                <a:schemeClr val="bg1">
                  <a:lumMod val="50000"/>
                </a:schemeClr>
              </a:solidFill>
            </c:spPr>
            <c:extLst xmlns:c16r2="http://schemas.microsoft.com/office/drawing/2015/06/chart">
              <c:ext xmlns:c16="http://schemas.microsoft.com/office/drawing/2014/chart" uri="{C3380CC4-5D6E-409C-BE32-E72D297353CC}">
                <c16:uniqueId val="{00000003-1D8F-4F34-9D53-24F42176B939}"/>
              </c:ext>
            </c:extLst>
          </c:dPt>
          <c:dLbls>
            <c:dLbl>
              <c:idx val="6"/>
              <c:layout>
                <c:manualLayout>
                  <c:x val="3.9148184601924763E-2"/>
                  <c:y val="9.6046587926509192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D8F-4F34-9D53-24F42176B939}"/>
                </c:ext>
              </c:extLst>
            </c:dLbl>
            <c:dLbl>
              <c:idx val="7"/>
              <c:layout>
                <c:manualLayout>
                  <c:x val="2.1450021872265967E-2"/>
                  <c:y val="0.19010608048993877"/>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D8F-4F34-9D53-24F42176B939}"/>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'figures 1 and 2'!$A$41:$A$48</c:f>
              <c:strCache>
                <c:ptCount val="8"/>
                <c:pt idx="0">
                  <c:v>Energy supply</c:v>
                </c:pt>
                <c:pt idx="1">
                  <c:v>Energy use in manufacturing industries</c:v>
                </c:pt>
                <c:pt idx="2">
                  <c:v>Industrial processes and product use</c:v>
                </c:pt>
                <c:pt idx="3">
                  <c:v>Transport</c:v>
                </c:pt>
                <c:pt idx="4">
                  <c:v>Other energy use</c:v>
                </c:pt>
                <c:pt idx="5">
                  <c:v>Agriculture</c:v>
                </c:pt>
                <c:pt idx="6">
                  <c:v>Waste</c:v>
                </c:pt>
                <c:pt idx="7">
                  <c:v>International aviation</c:v>
                </c:pt>
              </c:strCache>
            </c:strRef>
          </c:cat>
          <c:val>
            <c:numRef>
              <c:f>'figures 1 and 2'!$AD$41:$AD$48</c:f>
              <c:numCache>
                <c:formatCode>General</c:formatCode>
                <c:ptCount val="8"/>
                <c:pt idx="0">
                  <c:v>1276.3359147161475</c:v>
                </c:pt>
                <c:pt idx="1">
                  <c:v>482.86004914921983</c:v>
                </c:pt>
                <c:pt idx="2">
                  <c:v>379.11126528139852</c:v>
                </c:pt>
                <c:pt idx="3">
                  <c:v>945.87556542359437</c:v>
                </c:pt>
                <c:pt idx="4">
                  <c:v>663.21879895280983</c:v>
                </c:pt>
                <c:pt idx="5">
                  <c:v>431.72362368839208</c:v>
                </c:pt>
                <c:pt idx="6">
                  <c:v>136.04540052013053</c:v>
                </c:pt>
                <c:pt idx="7" formatCode="#,##0.00">
                  <c:v>149.83600000000001</c:v>
                </c:pt>
              </c:numCache>
            </c:numRef>
          </c:val>
          <c:extLst xmlns:c16r2="http://schemas.microsoft.com/office/drawing/2015/06/chart">
            <c:ext xmlns:c16="http://schemas.microsoft.com/office/drawing/2014/chart" uri="{C3380CC4-5D6E-409C-BE32-E72D297353CC}">
              <c16:uniqueId val="{00000004-1D8F-4F34-9D53-24F42176B939}"/>
            </c:ext>
          </c:extLst>
        </c:ser>
        <c:dLbls>
          <c:showLegendKey val="0"/>
          <c:showVal val="1"/>
          <c:showCatName val="0"/>
          <c:showSerName val="0"/>
          <c:showPercent val="0"/>
          <c:showBubbleSize val="0"/>
          <c:showLeaderLines val="1"/>
        </c:dLbls>
        <c:firstSliceAng val="0"/>
      </c:pieChart>
    </c:plotArea>
    <c:legend>
      <c:legendPos val="r"/>
      <c:layout>
        <c:manualLayout>
          <c:xMode val="edge"/>
          <c:yMode val="edge"/>
          <c:x val="0.65652641437441461"/>
          <c:y val="5.034339457567804E-2"/>
          <c:w val="0.33025772659474834"/>
          <c:h val="0.94965660542432195"/>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bar"/>
        <c:grouping val="clustered"/>
        <c:varyColors val="0"/>
        <c:ser>
          <c:idx val="0"/>
          <c:order val="0"/>
          <c:tx>
            <c:strRef>
              <c:f>'[8]figure 3'!$G$4</c:f>
              <c:strCache>
                <c:ptCount val="1"/>
                <c:pt idx="0">
                  <c:v>1990</c:v>
                </c:pt>
              </c:strCache>
            </c:strRef>
          </c:tx>
          <c:spPr>
            <a:solidFill>
              <a:schemeClr val="accent1">
                <a:lumMod val="60000"/>
                <a:lumOff val="40000"/>
              </a:schemeClr>
            </a:solidFill>
          </c:spPr>
          <c:invertIfNegative val="0"/>
          <c:cat>
            <c:strRef>
              <c:f>'[8]figure 3'!$F$5:$F$34</c:f>
              <c:strCache>
                <c:ptCount val="30"/>
                <c:pt idx="0">
                  <c:v>Sweden</c:v>
                </c:pt>
                <c:pt idx="1">
                  <c:v>Denmark</c:v>
                </c:pt>
                <c:pt idx="2">
                  <c:v>France</c:v>
                </c:pt>
                <c:pt idx="3">
                  <c:v>Ireland</c:v>
                </c:pt>
                <c:pt idx="4">
                  <c:v>United Kingdom</c:v>
                </c:pt>
                <c:pt idx="5">
                  <c:v>Luxembourg</c:v>
                </c:pt>
                <c:pt idx="6">
                  <c:v>Austria</c:v>
                </c:pt>
                <c:pt idx="7">
                  <c:v>Malta</c:v>
                </c:pt>
                <c:pt idx="8">
                  <c:v>Italy</c:v>
                </c:pt>
                <c:pt idx="9">
                  <c:v>Netherlands</c:v>
                </c:pt>
                <c:pt idx="10">
                  <c:v>Finland</c:v>
                </c:pt>
                <c:pt idx="11">
                  <c:v>Belgium</c:v>
                </c:pt>
                <c:pt idx="12">
                  <c:v>Spain</c:v>
                </c:pt>
                <c:pt idx="13">
                  <c:v>Germany</c:v>
                </c:pt>
                <c:pt idx="14">
                  <c:v>Portugal</c:v>
                </c:pt>
                <c:pt idx="15">
                  <c:v>Slovenia</c:v>
                </c:pt>
                <c:pt idx="16">
                  <c:v>Slovakia</c:v>
                </c:pt>
                <c:pt idx="17">
                  <c:v>Cyprus</c:v>
                </c:pt>
                <c:pt idx="18">
                  <c:v>Latvia</c:v>
                </c:pt>
                <c:pt idx="19">
                  <c:v>Greece</c:v>
                </c:pt>
                <c:pt idx="20">
                  <c:v>Croatia</c:v>
                </c:pt>
                <c:pt idx="21">
                  <c:v>Hungary</c:v>
                </c:pt>
                <c:pt idx="22">
                  <c:v>Lithuania</c:v>
                </c:pt>
                <c:pt idx="23">
                  <c:v>Romania</c:v>
                </c:pt>
                <c:pt idx="24">
                  <c:v>Czech Republic</c:v>
                </c:pt>
                <c:pt idx="25">
                  <c:v>Poland</c:v>
                </c:pt>
                <c:pt idx="26">
                  <c:v>Estonia</c:v>
                </c:pt>
                <c:pt idx="27">
                  <c:v>Bulgaria</c:v>
                </c:pt>
                <c:pt idx="29">
                  <c:v>EU 28</c:v>
                </c:pt>
              </c:strCache>
            </c:strRef>
          </c:cat>
          <c:val>
            <c:numRef>
              <c:f>'[8]figure 3'!$G$5:$G$34</c:f>
              <c:numCache>
                <c:formatCode>General</c:formatCode>
                <c:ptCount val="30"/>
                <c:pt idx="0">
                  <c:v>300.31897476298269</c:v>
                </c:pt>
                <c:pt idx="1">
                  <c:v>417.00677093376282</c:v>
                </c:pt>
                <c:pt idx="2">
                  <c:v>385.43204539585878</c:v>
                </c:pt>
                <c:pt idx="3">
                  <c:v>900.4953248669475</c:v>
                </c:pt>
                <c:pt idx="4">
                  <c:v>655.37926315572611</c:v>
                </c:pt>
                <c:pt idx="5">
                  <c:v>693.21772554710378</c:v>
                </c:pt>
                <c:pt idx="6">
                  <c:v>405.10099613601648</c:v>
                </c:pt>
                <c:pt idx="7">
                  <c:v>695.38374608674974</c:v>
                </c:pt>
                <c:pt idx="8">
                  <c:v>395.76035670317731</c:v>
                </c:pt>
                <c:pt idx="9">
                  <c:v>564.01844988014739</c:v>
                </c:pt>
                <c:pt idx="10">
                  <c:v>573.18112855216236</c:v>
                </c:pt>
                <c:pt idx="11">
                  <c:v>601.28626133051898</c:v>
                </c:pt>
                <c:pt idx="12">
                  <c:v>443.6484822992544</c:v>
                </c:pt>
                <c:pt idx="13">
                  <c:v>651.58621688343692</c:v>
                </c:pt>
                <c:pt idx="14">
                  <c:v>493.77055033367975</c:v>
                </c:pt>
                <c:pt idx="15">
                  <c:v>801.51586897087145</c:v>
                </c:pt>
                <c:pt idx="16">
                  <c:v>2017.2597719600569</c:v>
                </c:pt>
                <c:pt idx="17">
                  <c:v>692.74576619367133</c:v>
                </c:pt>
                <c:pt idx="18">
                  <c:v>1486.1427787380026</c:v>
                </c:pt>
                <c:pt idx="19">
                  <c:v>707.57682496137045</c:v>
                </c:pt>
                <c:pt idx="20">
                  <c:v>786.09149279096471</c:v>
                </c:pt>
                <c:pt idx="21">
                  <c:v>1209.8801859069608</c:v>
                </c:pt>
                <c:pt idx="22">
                  <c:v>1928.8903678891602</c:v>
                </c:pt>
                <c:pt idx="23">
                  <c:v>2636.3400045285453</c:v>
                </c:pt>
                <c:pt idx="24">
                  <c:v>1850.42954157131</c:v>
                </c:pt>
                <c:pt idx="25">
                  <c:v>2734.8323061860701</c:v>
                </c:pt>
                <c:pt idx="26">
                  <c:v>3588.4019859711861</c:v>
                </c:pt>
                <c:pt idx="27">
                  <c:v>3829.104117041421</c:v>
                </c:pt>
                <c:pt idx="29">
                  <c:v>636.30500987337552</c:v>
                </c:pt>
              </c:numCache>
            </c:numRef>
          </c:val>
          <c:extLst xmlns:c16r2="http://schemas.microsoft.com/office/drawing/2015/06/chart">
            <c:ext xmlns:c16="http://schemas.microsoft.com/office/drawing/2014/chart" uri="{C3380CC4-5D6E-409C-BE32-E72D297353CC}">
              <c16:uniqueId val="{00000000-84B3-4B2D-886B-B072B3070948}"/>
            </c:ext>
          </c:extLst>
        </c:ser>
        <c:ser>
          <c:idx val="1"/>
          <c:order val="1"/>
          <c:tx>
            <c:strRef>
              <c:f>'[8]figure 3'!$H$4</c:f>
              <c:strCache>
                <c:ptCount val="1"/>
                <c:pt idx="0">
                  <c:v>2005</c:v>
                </c:pt>
              </c:strCache>
            </c:strRef>
          </c:tx>
          <c:spPr>
            <a:solidFill>
              <a:schemeClr val="tx2">
                <a:lumMod val="60000"/>
                <a:lumOff val="40000"/>
              </a:schemeClr>
            </a:solidFill>
          </c:spPr>
          <c:invertIfNegative val="0"/>
          <c:cat>
            <c:strRef>
              <c:f>'[8]figure 3'!$F$5:$F$34</c:f>
              <c:strCache>
                <c:ptCount val="30"/>
                <c:pt idx="0">
                  <c:v>Sweden</c:v>
                </c:pt>
                <c:pt idx="1">
                  <c:v>Denmark</c:v>
                </c:pt>
                <c:pt idx="2">
                  <c:v>France</c:v>
                </c:pt>
                <c:pt idx="3">
                  <c:v>Ireland</c:v>
                </c:pt>
                <c:pt idx="4">
                  <c:v>United Kingdom</c:v>
                </c:pt>
                <c:pt idx="5">
                  <c:v>Luxembourg</c:v>
                </c:pt>
                <c:pt idx="6">
                  <c:v>Austria</c:v>
                </c:pt>
                <c:pt idx="7">
                  <c:v>Malta</c:v>
                </c:pt>
                <c:pt idx="8">
                  <c:v>Italy</c:v>
                </c:pt>
                <c:pt idx="9">
                  <c:v>Netherlands</c:v>
                </c:pt>
                <c:pt idx="10">
                  <c:v>Finland</c:v>
                </c:pt>
                <c:pt idx="11">
                  <c:v>Belgium</c:v>
                </c:pt>
                <c:pt idx="12">
                  <c:v>Spain</c:v>
                </c:pt>
                <c:pt idx="13">
                  <c:v>Germany</c:v>
                </c:pt>
                <c:pt idx="14">
                  <c:v>Portugal</c:v>
                </c:pt>
                <c:pt idx="15">
                  <c:v>Slovenia</c:v>
                </c:pt>
                <c:pt idx="16">
                  <c:v>Slovakia</c:v>
                </c:pt>
                <c:pt idx="17">
                  <c:v>Cyprus</c:v>
                </c:pt>
                <c:pt idx="18">
                  <c:v>Latvia</c:v>
                </c:pt>
                <c:pt idx="19">
                  <c:v>Greece</c:v>
                </c:pt>
                <c:pt idx="20">
                  <c:v>Croatia</c:v>
                </c:pt>
                <c:pt idx="21">
                  <c:v>Hungary</c:v>
                </c:pt>
                <c:pt idx="22">
                  <c:v>Lithuania</c:v>
                </c:pt>
                <c:pt idx="23">
                  <c:v>Romania</c:v>
                </c:pt>
                <c:pt idx="24">
                  <c:v>Czech Republic</c:v>
                </c:pt>
                <c:pt idx="25">
                  <c:v>Poland</c:v>
                </c:pt>
                <c:pt idx="26">
                  <c:v>Estonia</c:v>
                </c:pt>
                <c:pt idx="27">
                  <c:v>Bulgaria</c:v>
                </c:pt>
                <c:pt idx="29">
                  <c:v>EU 28</c:v>
                </c:pt>
              </c:strCache>
            </c:strRef>
          </c:cat>
          <c:val>
            <c:numRef>
              <c:f>'[8]figure 3'!$H$5:$H$34</c:f>
              <c:numCache>
                <c:formatCode>General</c:formatCode>
                <c:ptCount val="30"/>
                <c:pt idx="0">
                  <c:v>201.2999595298956</c:v>
                </c:pt>
                <c:pt idx="1">
                  <c:v>286.26536924425471</c:v>
                </c:pt>
                <c:pt idx="2">
                  <c:v>295.66854956276194</c:v>
                </c:pt>
                <c:pt idx="3">
                  <c:v>445.30372463919321</c:v>
                </c:pt>
                <c:pt idx="4">
                  <c:v>402.08431373996655</c:v>
                </c:pt>
                <c:pt idx="5">
                  <c:v>401.31230086761474</c:v>
                </c:pt>
                <c:pt idx="6">
                  <c:v>341.26404555474005</c:v>
                </c:pt>
                <c:pt idx="7">
                  <c:v>543.70105523872303</c:v>
                </c:pt>
                <c:pt idx="8">
                  <c:v>361.6166930317994</c:v>
                </c:pt>
                <c:pt idx="9">
                  <c:v>380.17763157405955</c:v>
                </c:pt>
                <c:pt idx="10">
                  <c:v>395.63532258074395</c:v>
                </c:pt>
                <c:pt idx="11">
                  <c:v>438.04124849188321</c:v>
                </c:pt>
                <c:pt idx="12">
                  <c:v>439.47527262523198</c:v>
                </c:pt>
                <c:pt idx="13">
                  <c:v>418.71069478190867</c:v>
                </c:pt>
                <c:pt idx="14">
                  <c:v>511.81221415683825</c:v>
                </c:pt>
                <c:pt idx="15">
                  <c:v>619.42112196891878</c:v>
                </c:pt>
                <c:pt idx="16">
                  <c:v>957.07496692453424</c:v>
                </c:pt>
                <c:pt idx="17">
                  <c:v>590.42726656287698</c:v>
                </c:pt>
                <c:pt idx="18">
                  <c:v>638.49838706796015</c:v>
                </c:pt>
                <c:pt idx="19">
                  <c:v>604.49625998749616</c:v>
                </c:pt>
                <c:pt idx="20">
                  <c:v>686.87984261731322</c:v>
                </c:pt>
                <c:pt idx="21">
                  <c:v>766.57419209059833</c:v>
                </c:pt>
                <c:pt idx="22">
                  <c:v>868.55963378983074</c:v>
                </c:pt>
                <c:pt idx="23">
                  <c:v>1347.462805961288</c:v>
                </c:pt>
                <c:pt idx="24">
                  <c:v>1072.7131816164199</c:v>
                </c:pt>
                <c:pt idx="25">
                  <c:v>1390.3459355860846</c:v>
                </c:pt>
                <c:pt idx="26">
                  <c:v>1284.543630786754</c:v>
                </c:pt>
                <c:pt idx="27">
                  <c:v>2003.9461930716536</c:v>
                </c:pt>
                <c:pt idx="29">
                  <c:v>436.0988405830808</c:v>
                </c:pt>
              </c:numCache>
            </c:numRef>
          </c:val>
          <c:extLst xmlns:c16r2="http://schemas.microsoft.com/office/drawing/2015/06/chart">
            <c:ext xmlns:c16="http://schemas.microsoft.com/office/drawing/2014/chart" uri="{C3380CC4-5D6E-409C-BE32-E72D297353CC}">
              <c16:uniqueId val="{00000001-84B3-4B2D-886B-B072B3070948}"/>
            </c:ext>
          </c:extLst>
        </c:ser>
        <c:ser>
          <c:idx val="2"/>
          <c:order val="2"/>
          <c:tx>
            <c:strRef>
              <c:f>'[8]figure 3'!$I$4</c:f>
              <c:strCache>
                <c:ptCount val="1"/>
                <c:pt idx="0">
                  <c:v>2017</c:v>
                </c:pt>
              </c:strCache>
            </c:strRef>
          </c:tx>
          <c:spPr>
            <a:solidFill>
              <a:schemeClr val="accent1">
                <a:lumMod val="75000"/>
              </a:schemeClr>
            </a:solidFill>
          </c:spPr>
          <c:invertIfNegative val="0"/>
          <c:cat>
            <c:strRef>
              <c:f>'[8]figure 3'!$F$5:$F$34</c:f>
              <c:strCache>
                <c:ptCount val="30"/>
                <c:pt idx="0">
                  <c:v>Sweden</c:v>
                </c:pt>
                <c:pt idx="1">
                  <c:v>Denmark</c:v>
                </c:pt>
                <c:pt idx="2">
                  <c:v>France</c:v>
                </c:pt>
                <c:pt idx="3">
                  <c:v>Ireland</c:v>
                </c:pt>
                <c:pt idx="4">
                  <c:v>United Kingdom</c:v>
                </c:pt>
                <c:pt idx="5">
                  <c:v>Luxembourg</c:v>
                </c:pt>
                <c:pt idx="6">
                  <c:v>Austria</c:v>
                </c:pt>
                <c:pt idx="7">
                  <c:v>Malta</c:v>
                </c:pt>
                <c:pt idx="8">
                  <c:v>Italy</c:v>
                </c:pt>
                <c:pt idx="9">
                  <c:v>Netherlands</c:v>
                </c:pt>
                <c:pt idx="10">
                  <c:v>Finland</c:v>
                </c:pt>
                <c:pt idx="11">
                  <c:v>Belgium</c:v>
                </c:pt>
                <c:pt idx="12">
                  <c:v>Spain</c:v>
                </c:pt>
                <c:pt idx="13">
                  <c:v>Germany</c:v>
                </c:pt>
                <c:pt idx="14">
                  <c:v>Portugal</c:v>
                </c:pt>
                <c:pt idx="15">
                  <c:v>Slovenia</c:v>
                </c:pt>
                <c:pt idx="16">
                  <c:v>Slovakia</c:v>
                </c:pt>
                <c:pt idx="17">
                  <c:v>Cyprus</c:v>
                </c:pt>
                <c:pt idx="18">
                  <c:v>Latvia</c:v>
                </c:pt>
                <c:pt idx="19">
                  <c:v>Greece</c:v>
                </c:pt>
                <c:pt idx="20">
                  <c:v>Croatia</c:v>
                </c:pt>
                <c:pt idx="21">
                  <c:v>Hungary</c:v>
                </c:pt>
                <c:pt idx="22">
                  <c:v>Lithuania</c:v>
                </c:pt>
                <c:pt idx="23">
                  <c:v>Romania</c:v>
                </c:pt>
                <c:pt idx="24">
                  <c:v>Czech Republic</c:v>
                </c:pt>
                <c:pt idx="25">
                  <c:v>Poland</c:v>
                </c:pt>
                <c:pt idx="26">
                  <c:v>Estonia</c:v>
                </c:pt>
                <c:pt idx="27">
                  <c:v>Bulgaria</c:v>
                </c:pt>
                <c:pt idx="29">
                  <c:v>EU 28</c:v>
                </c:pt>
              </c:strCache>
            </c:strRef>
          </c:cat>
          <c:val>
            <c:numRef>
              <c:f>'[8]figure 3'!$I$5:$I$34</c:f>
              <c:numCache>
                <c:formatCode>General</c:formatCode>
                <c:ptCount val="30"/>
                <c:pt idx="0">
                  <c:v>126.19916547936927</c:v>
                </c:pt>
                <c:pt idx="1">
                  <c:v>188.81719367213032</c:v>
                </c:pt>
                <c:pt idx="2">
                  <c:v>223.70728239589721</c:v>
                </c:pt>
                <c:pt idx="3">
                  <c:v>236.61395510241528</c:v>
                </c:pt>
                <c:pt idx="4">
                  <c:v>238.18828380153948</c:v>
                </c:pt>
                <c:pt idx="5">
                  <c:v>238.8234681567628</c:v>
                </c:pt>
                <c:pt idx="6">
                  <c:v>257.46339515935131</c:v>
                </c:pt>
                <c:pt idx="7">
                  <c:v>262.33854758549455</c:v>
                </c:pt>
                <c:pt idx="8">
                  <c:v>273.77295907752506</c:v>
                </c:pt>
                <c:pt idx="9">
                  <c:v>295.07855216897724</c:v>
                </c:pt>
                <c:pt idx="10">
                  <c:v>297.17509875378948</c:v>
                </c:pt>
                <c:pt idx="11">
                  <c:v>304.72832255130606</c:v>
                </c:pt>
                <c:pt idx="12">
                  <c:v>312.15969638985075</c:v>
                </c:pt>
                <c:pt idx="13">
                  <c:v>319.02096270514608</c:v>
                </c:pt>
                <c:pt idx="14">
                  <c:v>420.85678111665527</c:v>
                </c:pt>
                <c:pt idx="15">
                  <c:v>441.15368805356263</c:v>
                </c:pt>
                <c:pt idx="16">
                  <c:v>513.45992290604863</c:v>
                </c:pt>
                <c:pt idx="17">
                  <c:v>517.87910733263629</c:v>
                </c:pt>
                <c:pt idx="18">
                  <c:v>518.16181545317136</c:v>
                </c:pt>
                <c:pt idx="19">
                  <c:v>520.38271176411286</c:v>
                </c:pt>
                <c:pt idx="20">
                  <c:v>524.40620556837621</c:v>
                </c:pt>
                <c:pt idx="21">
                  <c:v>563.91810168784014</c:v>
                </c:pt>
                <c:pt idx="22">
                  <c:v>580.66959542774805</c:v>
                </c:pt>
                <c:pt idx="23">
                  <c:v>716.65568330886322</c:v>
                </c:pt>
                <c:pt idx="24">
                  <c:v>723.85338305904838</c:v>
                </c:pt>
                <c:pt idx="25">
                  <c:v>904.17786785803071</c:v>
                </c:pt>
                <c:pt idx="26">
                  <c:v>1098.9516868184739</c:v>
                </c:pt>
                <c:pt idx="27">
                  <c:v>1388.5420165130777</c:v>
                </c:pt>
                <c:pt idx="29">
                  <c:v>315.38189065489001</c:v>
                </c:pt>
              </c:numCache>
            </c:numRef>
          </c:val>
          <c:extLst xmlns:c16r2="http://schemas.microsoft.com/office/drawing/2015/06/chart">
            <c:ext xmlns:c16="http://schemas.microsoft.com/office/drawing/2014/chart" uri="{C3380CC4-5D6E-409C-BE32-E72D297353CC}">
              <c16:uniqueId val="{00000002-84B3-4B2D-886B-B072B3070948}"/>
            </c:ext>
          </c:extLst>
        </c:ser>
        <c:dLbls>
          <c:showLegendKey val="0"/>
          <c:showVal val="0"/>
          <c:showCatName val="0"/>
          <c:showSerName val="0"/>
          <c:showPercent val="0"/>
          <c:showBubbleSize val="0"/>
        </c:dLbls>
        <c:gapWidth val="150"/>
        <c:axId val="96177536"/>
        <c:axId val="96183424"/>
      </c:barChart>
      <c:catAx>
        <c:axId val="96177536"/>
        <c:scaling>
          <c:orientation val="minMax"/>
        </c:scaling>
        <c:delete val="0"/>
        <c:axPos val="l"/>
        <c:numFmt formatCode="General" sourceLinked="0"/>
        <c:majorTickMark val="out"/>
        <c:minorTickMark val="none"/>
        <c:tickLblPos val="nextTo"/>
        <c:crossAx val="96183424"/>
        <c:crosses val="autoZero"/>
        <c:auto val="1"/>
        <c:lblAlgn val="ctr"/>
        <c:lblOffset val="100"/>
        <c:noMultiLvlLbl val="0"/>
      </c:catAx>
      <c:valAx>
        <c:axId val="96183424"/>
        <c:scaling>
          <c:orientation val="minMax"/>
        </c:scaling>
        <c:delete val="0"/>
        <c:axPos val="b"/>
        <c:majorGridlines/>
        <c:title>
          <c:tx>
            <c:rich>
              <a:bodyPr/>
              <a:lstStyle/>
              <a:p>
                <a:pPr>
                  <a:defRPr/>
                </a:pPr>
                <a:r>
                  <a:rPr lang="en-US"/>
                  <a:t>g CO</a:t>
                </a:r>
                <a:r>
                  <a:rPr lang="en-US" baseline="-25000"/>
                  <a:t>2</a:t>
                </a:r>
                <a:r>
                  <a:rPr lang="en-US"/>
                  <a:t>-eq. / EUR</a:t>
                </a:r>
              </a:p>
            </c:rich>
          </c:tx>
          <c:layout>
            <c:manualLayout>
              <c:xMode val="edge"/>
              <c:yMode val="edge"/>
              <c:x val="0.48833255599147668"/>
              <c:y val="0.92938824480077475"/>
            </c:manualLayout>
          </c:layout>
          <c:overlay val="0"/>
        </c:title>
        <c:numFmt formatCode="General" sourceLinked="1"/>
        <c:majorTickMark val="out"/>
        <c:minorTickMark val="none"/>
        <c:tickLblPos val="nextTo"/>
        <c:crossAx val="96177536"/>
        <c:crosses val="autoZero"/>
        <c:crossBetween val="between"/>
      </c:valAx>
    </c:plotArea>
    <c:legend>
      <c:legendPos val="b"/>
      <c:overlay val="0"/>
      <c:txPr>
        <a:bodyPr/>
        <a:lstStyle/>
        <a:p>
          <a:pPr>
            <a:defRPr sz="1000"/>
          </a:pPr>
          <a:endParaRPr lang="en-US"/>
        </a:p>
      </c:txPr>
    </c:legend>
    <c:plotVisOnly val="1"/>
    <c:dispBlanksAs val="gap"/>
    <c:showDLblsOverMax val="0"/>
  </c:chart>
  <c:txPr>
    <a:bodyPr/>
    <a:lstStyle/>
    <a:p>
      <a:pPr>
        <a:defRPr sz="9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7043102700679996"/>
          <c:y val="1.8095822106022088E-2"/>
          <c:w val="0.69763175645154951"/>
          <c:h val="0.85645621886177914"/>
        </c:manualLayout>
      </c:layout>
      <c:barChart>
        <c:barDir val="bar"/>
        <c:grouping val="clustered"/>
        <c:varyColors val="0"/>
        <c:ser>
          <c:idx val="0"/>
          <c:order val="0"/>
          <c:tx>
            <c:strRef>
              <c:f>'GHG per capita'!$H$5</c:f>
              <c:strCache>
                <c:ptCount val="1"/>
                <c:pt idx="0">
                  <c:v>1990</c:v>
                </c:pt>
              </c:strCache>
            </c:strRef>
          </c:tx>
          <c:spPr>
            <a:solidFill>
              <a:schemeClr val="accent1">
                <a:lumMod val="60000"/>
                <a:lumOff val="40000"/>
              </a:schemeClr>
            </a:solidFill>
          </c:spPr>
          <c:invertIfNegative val="0"/>
          <c:cat>
            <c:strRef>
              <c:f>'GHG per capita'!$G$6:$G$35</c:f>
              <c:strCache>
                <c:ptCount val="30"/>
                <c:pt idx="0">
                  <c:v>Malta</c:v>
                </c:pt>
                <c:pt idx="1">
                  <c:v>Sweden</c:v>
                </c:pt>
                <c:pt idx="2">
                  <c:v>Romania</c:v>
                </c:pt>
                <c:pt idx="3">
                  <c:v>Croatia</c:v>
                </c:pt>
                <c:pt idx="4">
                  <c:v>Latvia</c:v>
                </c:pt>
                <c:pt idx="5">
                  <c:v>Hungary</c:v>
                </c:pt>
                <c:pt idx="6">
                  <c:v>France</c:v>
                </c:pt>
                <c:pt idx="7">
                  <c:v>Italy</c:v>
                </c:pt>
                <c:pt idx="8">
                  <c:v>Portugal</c:v>
                </c:pt>
                <c:pt idx="9">
                  <c:v>Lithuania</c:v>
                </c:pt>
                <c:pt idx="10">
                  <c:v>Spain</c:v>
                </c:pt>
                <c:pt idx="11">
                  <c:v>United Kingdom</c:v>
                </c:pt>
                <c:pt idx="12">
                  <c:v>Slovakia</c:v>
                </c:pt>
                <c:pt idx="13">
                  <c:v>Slovenia</c:v>
                </c:pt>
                <c:pt idx="14">
                  <c:v>Bulgaria</c:v>
                </c:pt>
                <c:pt idx="15">
                  <c:v>Denmark</c:v>
                </c:pt>
                <c:pt idx="16">
                  <c:v>Greece</c:v>
                </c:pt>
                <c:pt idx="17">
                  <c:v>Austria</c:v>
                </c:pt>
                <c:pt idx="18">
                  <c:v>Finland</c:v>
                </c:pt>
                <c:pt idx="19">
                  <c:v>Belgium</c:v>
                </c:pt>
                <c:pt idx="20">
                  <c:v>Poland</c:v>
                </c:pt>
                <c:pt idx="21">
                  <c:v>Germany</c:v>
                </c:pt>
                <c:pt idx="22">
                  <c:v>Cyprus</c:v>
                </c:pt>
                <c:pt idx="23">
                  <c:v>Netherlands</c:v>
                </c:pt>
                <c:pt idx="24">
                  <c:v>Czech Republic</c:v>
                </c:pt>
                <c:pt idx="25">
                  <c:v>Ireland</c:v>
                </c:pt>
                <c:pt idx="26">
                  <c:v>Estonia</c:v>
                </c:pt>
                <c:pt idx="27">
                  <c:v>Luxembourg</c:v>
                </c:pt>
                <c:pt idx="29">
                  <c:v>EU 28</c:v>
                </c:pt>
              </c:strCache>
            </c:strRef>
          </c:cat>
          <c:val>
            <c:numRef>
              <c:f>'GHG per capita'!$H$6:$H$35</c:f>
              <c:numCache>
                <c:formatCode>0.0</c:formatCode>
                <c:ptCount val="30"/>
                <c:pt idx="0">
                  <c:v>6.4946289293065318</c:v>
                </c:pt>
                <c:pt idx="1">
                  <c:v>8.5138839850754078</c:v>
                </c:pt>
                <c:pt idx="2">
                  <c:v>10.669188258712085</c:v>
                </c:pt>
                <c:pt idx="3">
                  <c:v>6.7809466661491129</c:v>
                </c:pt>
                <c:pt idx="4">
                  <c:v>10.023078047102571</c:v>
                </c:pt>
                <c:pt idx="5">
                  <c:v>9.0898471995105439</c:v>
                </c:pt>
                <c:pt idx="6">
                  <c:v>9.5394135569621934</c:v>
                </c:pt>
                <c:pt idx="7">
                  <c:v>9.2152962789929163</c:v>
                </c:pt>
                <c:pt idx="8">
                  <c:v>6.1583448573370809</c:v>
                </c:pt>
                <c:pt idx="9">
                  <c:v>13.118511553276813</c:v>
                </c:pt>
                <c:pt idx="10">
                  <c:v>7.5252383958061806</c:v>
                </c:pt>
                <c:pt idx="11">
                  <c:v>14.185974936676079</c:v>
                </c:pt>
                <c:pt idx="12">
                  <c:v>13.973389828565031</c:v>
                </c:pt>
                <c:pt idx="13">
                  <c:v>9.3469620781531777</c:v>
                </c:pt>
                <c:pt idx="14">
                  <c:v>12.010219458501757</c:v>
                </c:pt>
                <c:pt idx="15">
                  <c:v>14.035521798633638</c:v>
                </c:pt>
                <c:pt idx="16">
                  <c:v>10.355949484389553</c:v>
                </c:pt>
                <c:pt idx="17">
                  <c:v>10.365608876254679</c:v>
                </c:pt>
                <c:pt idx="18">
                  <c:v>14.504505195017737</c:v>
                </c:pt>
                <c:pt idx="19">
                  <c:v>15.029679410747773</c:v>
                </c:pt>
                <c:pt idx="20">
                  <c:v>12.277563342704834</c:v>
                </c:pt>
                <c:pt idx="21">
                  <c:v>15.909100367530932</c:v>
                </c:pt>
                <c:pt idx="22">
                  <c:v>10.890567222291507</c:v>
                </c:pt>
                <c:pt idx="23">
                  <c:v>15.110892741093309</c:v>
                </c:pt>
                <c:pt idx="24">
                  <c:v>19.366951707305965</c:v>
                </c:pt>
                <c:pt idx="25">
                  <c:v>16.098821400345621</c:v>
                </c:pt>
                <c:pt idx="26">
                  <c:v>25.813119317813968</c:v>
                </c:pt>
                <c:pt idx="27">
                  <c:v>34.504175724333322</c:v>
                </c:pt>
                <c:pt idx="29">
                  <c:v>11.978445612374552</c:v>
                </c:pt>
              </c:numCache>
            </c:numRef>
          </c:val>
          <c:extLst xmlns:c16r2="http://schemas.microsoft.com/office/drawing/2015/06/chart">
            <c:ext xmlns:c16="http://schemas.microsoft.com/office/drawing/2014/chart" uri="{C3380CC4-5D6E-409C-BE32-E72D297353CC}">
              <c16:uniqueId val="{00000000-1237-4E44-8EBB-C8C1DB271882}"/>
            </c:ext>
          </c:extLst>
        </c:ser>
        <c:ser>
          <c:idx val="1"/>
          <c:order val="1"/>
          <c:tx>
            <c:strRef>
              <c:f>'GHG per capita'!$I$5</c:f>
              <c:strCache>
                <c:ptCount val="1"/>
                <c:pt idx="0">
                  <c:v>2005</c:v>
                </c:pt>
              </c:strCache>
            </c:strRef>
          </c:tx>
          <c:invertIfNegative val="0"/>
          <c:cat>
            <c:strRef>
              <c:f>'GHG per capita'!$G$6:$G$35</c:f>
              <c:strCache>
                <c:ptCount val="30"/>
                <c:pt idx="0">
                  <c:v>Malta</c:v>
                </c:pt>
                <c:pt idx="1">
                  <c:v>Sweden</c:v>
                </c:pt>
                <c:pt idx="2">
                  <c:v>Romania</c:v>
                </c:pt>
                <c:pt idx="3">
                  <c:v>Croatia</c:v>
                </c:pt>
                <c:pt idx="4">
                  <c:v>Latvia</c:v>
                </c:pt>
                <c:pt idx="5">
                  <c:v>Hungary</c:v>
                </c:pt>
                <c:pt idx="6">
                  <c:v>France</c:v>
                </c:pt>
                <c:pt idx="7">
                  <c:v>Italy</c:v>
                </c:pt>
                <c:pt idx="8">
                  <c:v>Portugal</c:v>
                </c:pt>
                <c:pt idx="9">
                  <c:v>Lithuania</c:v>
                </c:pt>
                <c:pt idx="10">
                  <c:v>Spain</c:v>
                </c:pt>
                <c:pt idx="11">
                  <c:v>United Kingdom</c:v>
                </c:pt>
                <c:pt idx="12">
                  <c:v>Slovakia</c:v>
                </c:pt>
                <c:pt idx="13">
                  <c:v>Slovenia</c:v>
                </c:pt>
                <c:pt idx="14">
                  <c:v>Bulgaria</c:v>
                </c:pt>
                <c:pt idx="15">
                  <c:v>Denmark</c:v>
                </c:pt>
                <c:pt idx="16">
                  <c:v>Greece</c:v>
                </c:pt>
                <c:pt idx="17">
                  <c:v>Austria</c:v>
                </c:pt>
                <c:pt idx="18">
                  <c:v>Finland</c:v>
                </c:pt>
                <c:pt idx="19">
                  <c:v>Belgium</c:v>
                </c:pt>
                <c:pt idx="20">
                  <c:v>Poland</c:v>
                </c:pt>
                <c:pt idx="21">
                  <c:v>Germany</c:v>
                </c:pt>
                <c:pt idx="22">
                  <c:v>Cyprus</c:v>
                </c:pt>
                <c:pt idx="23">
                  <c:v>Netherlands</c:v>
                </c:pt>
                <c:pt idx="24">
                  <c:v>Czech Republic</c:v>
                </c:pt>
                <c:pt idx="25">
                  <c:v>Ireland</c:v>
                </c:pt>
                <c:pt idx="26">
                  <c:v>Estonia</c:v>
                </c:pt>
                <c:pt idx="27">
                  <c:v>Luxembourg</c:v>
                </c:pt>
                <c:pt idx="29">
                  <c:v>EU 28</c:v>
                </c:pt>
              </c:strCache>
            </c:strRef>
          </c:cat>
          <c:val>
            <c:numRef>
              <c:f>'GHG per capita'!$I$6:$I$35</c:f>
              <c:numCache>
                <c:formatCode>0.0</c:formatCode>
                <c:ptCount val="30"/>
                <c:pt idx="0">
                  <c:v>8.0396356653841075</c:v>
                </c:pt>
                <c:pt idx="1">
                  <c:v>7.6057615090576469</c:v>
                </c:pt>
                <c:pt idx="2">
                  <c:v>6.9517964672194532</c:v>
                </c:pt>
                <c:pt idx="3">
                  <c:v>7.0028257431333927</c:v>
                </c:pt>
                <c:pt idx="4">
                  <c:v>5.198259048608497</c:v>
                </c:pt>
                <c:pt idx="5">
                  <c:v>7.5921449237917651</c:v>
                </c:pt>
                <c:pt idx="6">
                  <c:v>9.0258914099174277</c:v>
                </c:pt>
                <c:pt idx="7">
                  <c:v>10.167602248596449</c:v>
                </c:pt>
                <c:pt idx="8">
                  <c:v>8.5035617128438581</c:v>
                </c:pt>
                <c:pt idx="9">
                  <c:v>6.9107773251163893</c:v>
                </c:pt>
                <c:pt idx="10">
                  <c:v>10.323036452277373</c:v>
                </c:pt>
                <c:pt idx="11">
                  <c:v>12.055111596166958</c:v>
                </c:pt>
                <c:pt idx="12">
                  <c:v>9.5461964054606927</c:v>
                </c:pt>
                <c:pt idx="13">
                  <c:v>10.302960317769879</c:v>
                </c:pt>
                <c:pt idx="14">
                  <c:v>8.4183250865214401</c:v>
                </c:pt>
                <c:pt idx="15">
                  <c:v>12.709968219774272</c:v>
                </c:pt>
                <c:pt idx="16">
                  <c:v>12.642205633062058</c:v>
                </c:pt>
                <c:pt idx="17">
                  <c:v>11.501822842417452</c:v>
                </c:pt>
                <c:pt idx="18">
                  <c:v>13.548037085165857</c:v>
                </c:pt>
                <c:pt idx="19">
                  <c:v>14.21999160102361</c:v>
                </c:pt>
                <c:pt idx="20">
                  <c:v>10.442895573797252</c:v>
                </c:pt>
                <c:pt idx="21">
                  <c:v>12.31997165720238</c:v>
                </c:pt>
                <c:pt idx="22">
                  <c:v>13.625387899383041</c:v>
                </c:pt>
                <c:pt idx="23">
                  <c:v>13.809340145365814</c:v>
                </c:pt>
                <c:pt idx="24">
                  <c:v>14.594130565044276</c:v>
                </c:pt>
                <c:pt idx="25">
                  <c:v>17.324743278357989</c:v>
                </c:pt>
                <c:pt idx="26">
                  <c:v>14.239146354428588</c:v>
                </c:pt>
                <c:pt idx="27">
                  <c:v>30.71927044460962</c:v>
                </c:pt>
                <c:pt idx="29">
                  <c:v>10.79924024033855</c:v>
                </c:pt>
              </c:numCache>
            </c:numRef>
          </c:val>
          <c:extLst xmlns:c16r2="http://schemas.microsoft.com/office/drawing/2015/06/chart">
            <c:ext xmlns:c16="http://schemas.microsoft.com/office/drawing/2014/chart" uri="{C3380CC4-5D6E-409C-BE32-E72D297353CC}">
              <c16:uniqueId val="{00000001-1237-4E44-8EBB-C8C1DB271882}"/>
            </c:ext>
          </c:extLst>
        </c:ser>
        <c:ser>
          <c:idx val="2"/>
          <c:order val="2"/>
          <c:tx>
            <c:strRef>
              <c:f>'GHG per capita'!$J$5</c:f>
              <c:strCache>
                <c:ptCount val="1"/>
                <c:pt idx="0">
                  <c:v>2017</c:v>
                </c:pt>
              </c:strCache>
            </c:strRef>
          </c:tx>
          <c:spPr>
            <a:solidFill>
              <a:schemeClr val="accent1">
                <a:lumMod val="75000"/>
              </a:schemeClr>
            </a:solidFill>
          </c:spPr>
          <c:invertIfNegative val="0"/>
          <c:cat>
            <c:strRef>
              <c:f>'GHG per capita'!$G$6:$G$35</c:f>
              <c:strCache>
                <c:ptCount val="30"/>
                <c:pt idx="0">
                  <c:v>Malta</c:v>
                </c:pt>
                <c:pt idx="1">
                  <c:v>Sweden</c:v>
                </c:pt>
                <c:pt idx="2">
                  <c:v>Romania</c:v>
                </c:pt>
                <c:pt idx="3">
                  <c:v>Croatia</c:v>
                </c:pt>
                <c:pt idx="4">
                  <c:v>Latvia</c:v>
                </c:pt>
                <c:pt idx="5">
                  <c:v>Hungary</c:v>
                </c:pt>
                <c:pt idx="6">
                  <c:v>France</c:v>
                </c:pt>
                <c:pt idx="7">
                  <c:v>Italy</c:v>
                </c:pt>
                <c:pt idx="8">
                  <c:v>Portugal</c:v>
                </c:pt>
                <c:pt idx="9">
                  <c:v>Lithuania</c:v>
                </c:pt>
                <c:pt idx="10">
                  <c:v>Spain</c:v>
                </c:pt>
                <c:pt idx="11">
                  <c:v>United Kingdom</c:v>
                </c:pt>
                <c:pt idx="12">
                  <c:v>Slovakia</c:v>
                </c:pt>
                <c:pt idx="13">
                  <c:v>Slovenia</c:v>
                </c:pt>
                <c:pt idx="14">
                  <c:v>Bulgaria</c:v>
                </c:pt>
                <c:pt idx="15">
                  <c:v>Denmark</c:v>
                </c:pt>
                <c:pt idx="16">
                  <c:v>Greece</c:v>
                </c:pt>
                <c:pt idx="17">
                  <c:v>Austria</c:v>
                </c:pt>
                <c:pt idx="18">
                  <c:v>Finland</c:v>
                </c:pt>
                <c:pt idx="19">
                  <c:v>Belgium</c:v>
                </c:pt>
                <c:pt idx="20">
                  <c:v>Poland</c:v>
                </c:pt>
                <c:pt idx="21">
                  <c:v>Germany</c:v>
                </c:pt>
                <c:pt idx="22">
                  <c:v>Cyprus</c:v>
                </c:pt>
                <c:pt idx="23">
                  <c:v>Netherlands</c:v>
                </c:pt>
                <c:pt idx="24">
                  <c:v>Czech Republic</c:v>
                </c:pt>
                <c:pt idx="25">
                  <c:v>Ireland</c:v>
                </c:pt>
                <c:pt idx="26">
                  <c:v>Estonia</c:v>
                </c:pt>
                <c:pt idx="27">
                  <c:v>Luxembourg</c:v>
                </c:pt>
                <c:pt idx="29">
                  <c:v>EU 28</c:v>
                </c:pt>
              </c:strCache>
            </c:strRef>
          </c:cat>
          <c:val>
            <c:numRef>
              <c:f>'GHG per capita'!$J$6:$J$35</c:f>
              <c:numCache>
                <c:formatCode>0.0</c:formatCode>
                <c:ptCount val="30"/>
                <c:pt idx="0">
                  <c:v>5.381331855361176</c:v>
                </c:pt>
                <c:pt idx="1">
                  <c:v>5.4415698633216758</c:v>
                </c:pt>
                <c:pt idx="2">
                  <c:v>5.9117364542262996</c:v>
                </c:pt>
                <c:pt idx="3">
                  <c:v>6.0141668348385799</c:v>
                </c:pt>
                <c:pt idx="4">
                  <c:v>6.0295338185442837</c:v>
                </c:pt>
                <c:pt idx="5">
                  <c:v>6.6561479891697051</c:v>
                </c:pt>
                <c:pt idx="6">
                  <c:v>7.2029893928645148</c:v>
                </c:pt>
                <c:pt idx="7">
                  <c:v>7.2113786608634971</c:v>
                </c:pt>
                <c:pt idx="8">
                  <c:v>7.3403338148114941</c:v>
                </c:pt>
                <c:pt idx="9">
                  <c:v>7.3609175340458917</c:v>
                </c:pt>
                <c:pt idx="10">
                  <c:v>7.6343946719505489</c:v>
                </c:pt>
                <c:pt idx="11">
                  <c:v>7.6395367917314951</c:v>
                </c:pt>
                <c:pt idx="12">
                  <c:v>7.714771170046177</c:v>
                </c:pt>
                <c:pt idx="13">
                  <c:v>8.5494048810535119</c:v>
                </c:pt>
                <c:pt idx="14">
                  <c:v>8.7184036452129554</c:v>
                </c:pt>
                <c:pt idx="15">
                  <c:v>8.7881423524246429</c:v>
                </c:pt>
                <c:pt idx="16">
                  <c:v>9.0535520093672446</c:v>
                </c:pt>
                <c:pt idx="17">
                  <c:v>9.5535809017604159</c:v>
                </c:pt>
                <c:pt idx="18">
                  <c:v>10.564736199059633</c:v>
                </c:pt>
                <c:pt idx="19">
                  <c:v>10.597227621449296</c:v>
                </c:pt>
                <c:pt idx="20">
                  <c:v>10.77173893487293</c:v>
                </c:pt>
                <c:pt idx="21">
                  <c:v>11.26148700335844</c:v>
                </c:pt>
                <c:pt idx="22">
                  <c:v>11.488527991998213</c:v>
                </c:pt>
                <c:pt idx="23">
                  <c:v>11.964553015762926</c:v>
                </c:pt>
                <c:pt idx="24">
                  <c:v>12.46410676399451</c:v>
                </c:pt>
                <c:pt idx="25">
                  <c:v>13.304179611106852</c:v>
                </c:pt>
                <c:pt idx="26">
                  <c:v>15.723883927335828</c:v>
                </c:pt>
                <c:pt idx="27">
                  <c:v>19.552065511525914</c:v>
                </c:pt>
                <c:pt idx="29">
                  <c:v>8.7221780534091877</c:v>
                </c:pt>
              </c:numCache>
            </c:numRef>
          </c:val>
          <c:extLst xmlns:c16r2="http://schemas.microsoft.com/office/drawing/2015/06/chart">
            <c:ext xmlns:c16="http://schemas.microsoft.com/office/drawing/2014/chart" uri="{C3380CC4-5D6E-409C-BE32-E72D297353CC}">
              <c16:uniqueId val="{00000002-1237-4E44-8EBB-C8C1DB271882}"/>
            </c:ext>
          </c:extLst>
        </c:ser>
        <c:dLbls>
          <c:showLegendKey val="0"/>
          <c:showVal val="0"/>
          <c:showCatName val="0"/>
          <c:showSerName val="0"/>
          <c:showPercent val="0"/>
          <c:showBubbleSize val="0"/>
        </c:dLbls>
        <c:gapWidth val="150"/>
        <c:axId val="96677888"/>
        <c:axId val="96679424"/>
      </c:barChart>
      <c:catAx>
        <c:axId val="96677888"/>
        <c:scaling>
          <c:orientation val="minMax"/>
        </c:scaling>
        <c:delete val="0"/>
        <c:axPos val="l"/>
        <c:numFmt formatCode="General" sourceLinked="1"/>
        <c:majorTickMark val="out"/>
        <c:minorTickMark val="none"/>
        <c:tickLblPos val="nextTo"/>
        <c:crossAx val="96679424"/>
        <c:crosses val="autoZero"/>
        <c:auto val="1"/>
        <c:lblAlgn val="ctr"/>
        <c:lblOffset val="100"/>
        <c:noMultiLvlLbl val="0"/>
      </c:catAx>
      <c:valAx>
        <c:axId val="96679424"/>
        <c:scaling>
          <c:orientation val="minMax"/>
        </c:scaling>
        <c:delete val="0"/>
        <c:axPos val="b"/>
        <c:majorGridlines/>
        <c:title>
          <c:tx>
            <c:rich>
              <a:bodyPr/>
              <a:lstStyle/>
              <a:p>
                <a:pPr>
                  <a:defRPr/>
                </a:pPr>
                <a:r>
                  <a:rPr lang="en-US"/>
                  <a:t>tonnes CO</a:t>
                </a:r>
                <a:r>
                  <a:rPr lang="en-US" baseline="-25000"/>
                  <a:t>2</a:t>
                </a:r>
                <a:r>
                  <a:rPr lang="en-US"/>
                  <a:t>-eq. per capita</a:t>
                </a:r>
              </a:p>
            </c:rich>
          </c:tx>
          <c:layout>
            <c:manualLayout>
              <c:xMode val="edge"/>
              <c:yMode val="edge"/>
              <c:x val="0.4019637479387278"/>
              <c:y val="0.91247373385592301"/>
            </c:manualLayout>
          </c:layout>
          <c:overlay val="0"/>
        </c:title>
        <c:numFmt formatCode="0" sourceLinked="0"/>
        <c:majorTickMark val="out"/>
        <c:minorTickMark val="none"/>
        <c:tickLblPos val="nextTo"/>
        <c:crossAx val="96677888"/>
        <c:crosses val="autoZero"/>
        <c:crossBetween val="between"/>
      </c:valAx>
    </c:plotArea>
    <c:legend>
      <c:legendPos val="b"/>
      <c:overlay val="0"/>
    </c:legend>
    <c:plotVisOnly val="1"/>
    <c:dispBlanksAs val="gap"/>
    <c:showDLblsOverMax val="0"/>
  </c:chart>
  <c:txPr>
    <a:bodyPr/>
    <a:lstStyle/>
    <a:p>
      <a:pPr>
        <a:defRPr sz="9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3011</Words>
  <Characters>13884</Characters>
  <Application>Microsoft Office Word</Application>
  <DocSecurity>0</DocSecurity>
  <Lines>2776</Lines>
  <Paragraphs>2111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dcterms:created xsi:type="dcterms:W3CDTF">2018-10-16T15:08:00Z</dcterms:created>
  <dcterms:modified xsi:type="dcterms:W3CDTF">2018-10-26T10:13:00Z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6</vt:lpwstr>
  </property>
  <property fmtid="{D5CDD505-2E9C-101B-9397-08002B2CF9AE}" pid="6" name="Total parts">
    <vt:lpwstr>6</vt:lpwstr>
  </property>
  <property fmtid="{D5CDD505-2E9C-101B-9397-08002B2CF9AE}" pid="7" name="DocStatus">
    <vt:lpwstr>Green</vt:lpwstr>
  </property>
</Properties>
</file>