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09BE07-926C-4B50-9101-30839B1B1FB3" style="width:450.35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395, параграф 1 от Директива 2006/112/ЕО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опростяване на процедурата за събиране на ДДС или за предотвратяване на определени форми на отклонение от данъчно облагане или избягване на данъци. </w:t>
      </w:r>
    </w:p>
    <w:p>
      <w:pPr>
        <w:pBdr>
          <w:top w:val="nil"/>
          <w:left w:val="nil"/>
          <w:bottom w:val="nil"/>
          <w:right w:val="nil"/>
          <w:between w:val="nil"/>
          <w:bar w:val="nil"/>
        </w:pBdr>
        <w:spacing w:before="0" w:after="240"/>
        <w:rPr>
          <w:rFonts w:eastAsia="Arial Unicode MS"/>
          <w:noProof/>
        </w:rPr>
      </w:pPr>
      <w:r>
        <w:rPr>
          <w:noProof/>
        </w:rPr>
        <w:t xml:space="preserve">С писмо, заведено в Комисията на 20 юни 2018 г., Латвия поиска разрешение да продължи да прилага мярка за дерогация от общите принципи, уреждащи правото на приспадане на ДДС върху получени доставки във връзка с някои леки пътнически автомобили. Заедно с искането за удължаване Латвия представи доклад, който включва преглед на процента, предвиден за ограничаването на правото на приспадане. </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2 от Директивата за ДДС с писма от 7 септември 2018 г. Комисията съобщи на останалите държави членки за отправеното от Латвия искане. С писмо от 10 септември 2018 г. Комисията уведоми Латвия, че разполага с пълната информация, необходима за оценка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Съгласно член 168 от Директивата за ДДС данъчно задълженото лице има правото да приспадне ДДС, начислен при покупки, извършени за целите на облагаеми сделки. Член 26, параграф 1, буква а) от същата директива съдържа изискването употребата за лични нужди на стоки, които са част от стопанските активи, да се третира като възмездна доставка на услуги, когато дължимият за тези стоки ДДС подлежи на приспадане. Тази система позволява възстановяването на първоначално приспаднатия ДДС във връзка с употребата за лични нужди. </w:t>
      </w:r>
    </w:p>
    <w:p>
      <w:pPr>
        <w:pBdr>
          <w:top w:val="nil"/>
          <w:left w:val="nil"/>
          <w:bottom w:val="nil"/>
          <w:right w:val="nil"/>
          <w:between w:val="nil"/>
          <w:bar w:val="nil"/>
        </w:pBdr>
        <w:spacing w:before="0" w:after="240"/>
        <w:rPr>
          <w:rFonts w:eastAsia="Arial Unicode MS"/>
          <w:noProof/>
        </w:rPr>
      </w:pPr>
      <w:r>
        <w:rPr>
          <w:noProof/>
        </w:rPr>
        <w:t xml:space="preserve">По отношение на леките пътнически автомобили тя се прилага трудно — най-вече поради факта, че е трудно да се определи границата между употребата за лични нужди и употребата за целите на стопанската дейност. Когато се води специална документация, нейното поддържане и проверка представляват допълнителна тежест за стопанските субекти и за администрацията. </w:t>
      </w:r>
    </w:p>
    <w:p>
      <w:pPr>
        <w:pBdr>
          <w:top w:val="nil"/>
          <w:left w:val="nil"/>
          <w:bottom w:val="nil"/>
          <w:right w:val="nil"/>
          <w:between w:val="nil"/>
          <w:bar w:val="nil"/>
        </w:pBdr>
        <w:spacing w:before="0" w:after="240"/>
        <w:rPr>
          <w:rFonts w:eastAsia="Arial Unicode MS"/>
          <w:noProof/>
        </w:rPr>
      </w:pPr>
      <w:r>
        <w:rPr>
          <w:noProof/>
        </w:rPr>
        <w:t>С Решение за изпълнение 2013/191/ЕО</w:t>
      </w:r>
      <w:r>
        <w:rPr>
          <w:rStyle w:val="FootnoteReference"/>
          <w:noProof/>
        </w:rPr>
        <w:footnoteReference w:id="1"/>
      </w:r>
      <w:r>
        <w:rPr>
          <w:noProof/>
        </w:rPr>
        <w:t xml:space="preserve"> на Съвета на Латвия бе разрешено да ограничи правото на приспадане до 80 % по отношение на някои леки пътнически автомобили. Латвия прецени, че този процент не отговаря на действителните условия и с Решение за изпълнение (ЕС) 2015/2429 на Съвета</w:t>
      </w:r>
      <w:r>
        <w:rPr>
          <w:rStyle w:val="FootnoteReference"/>
          <w:noProof/>
        </w:rPr>
        <w:footnoteReference w:id="2"/>
      </w:r>
      <w:r>
        <w:rPr>
          <w:noProof/>
        </w:rPr>
        <w:t xml:space="preserve"> ѝ бе позволено да ограничи правото на приспадане до 50 %. Въпросното решение изтича на 31 декември 2018 г. и Латвия поиска да бъде удължено за нов ограничен период. </w:t>
      </w:r>
    </w:p>
    <w:p>
      <w:pPr>
        <w:pBdr>
          <w:top w:val="nil"/>
          <w:left w:val="nil"/>
          <w:bottom w:val="nil"/>
          <w:right w:val="nil"/>
          <w:between w:val="nil"/>
          <w:bar w:val="nil"/>
        </w:pBdr>
        <w:spacing w:before="0" w:after="240"/>
        <w:rPr>
          <w:rFonts w:eastAsia="Arial Unicode MS"/>
          <w:noProof/>
        </w:rPr>
      </w:pPr>
      <w:r>
        <w:rPr>
          <w:noProof/>
        </w:rPr>
        <w:lastRenderedPageBreak/>
        <w:t xml:space="preserve">Съобразно изискването в член 6, параграф 2 от Решение (ЕС) 2015/2429 Латвия представи доклад, включващ преглед на процента, определен за приспадането на ДДС. </w:t>
      </w:r>
    </w:p>
    <w:p>
      <w:pPr>
        <w:pBdr>
          <w:top w:val="nil"/>
          <w:left w:val="nil"/>
          <w:bottom w:val="nil"/>
          <w:right w:val="nil"/>
          <w:between w:val="nil"/>
          <w:bar w:val="nil"/>
        </w:pBdr>
        <w:spacing w:before="0" w:after="240"/>
        <w:rPr>
          <w:rFonts w:eastAsia="Arial Unicode MS"/>
          <w:noProof/>
        </w:rPr>
      </w:pPr>
      <w:r>
        <w:rPr>
          <w:noProof/>
        </w:rPr>
        <w:t xml:space="preserve">Латвия смята, че прилаганото процентно ограничение остава уместно.  През периода на прилагане на специалната мярка Латвия се е възползвала пълноценно от ограниченията при приспадането и оценява, че то позволява облекчение на административната тежест за данъчнозадължени лица по ДДС и за данъчната администрация, когато лекото пътническо превозно средство не се използва изцяло за стопански цели.    </w:t>
      </w:r>
    </w:p>
    <w:p>
      <w:pPr>
        <w:pBdr>
          <w:top w:val="nil"/>
          <w:left w:val="nil"/>
          <w:bottom w:val="nil"/>
          <w:right w:val="nil"/>
          <w:between w:val="nil"/>
          <w:bar w:val="nil"/>
        </w:pBdr>
        <w:spacing w:before="0" w:after="240"/>
        <w:rPr>
          <w:rFonts w:eastAsia="Arial Unicode MS"/>
          <w:noProof/>
        </w:rPr>
      </w:pPr>
      <w:r>
        <w:rPr>
          <w:noProof/>
        </w:rPr>
        <w:t>Условията за въвеждането на дерогацията остават в сила. Така специалната мярка се отнася за всички леки пътнически автомобили с максимум осем места за сядане без мястото на водача и с тегло под определена граница, които не се използват изключително за целите на стопанската дейност. Леките автомобили, които се използват за някои специфични дейности, са изключени от ограничението на правото за приспадане и се третират съгласно общите правила — към това спадат: автомобили, закупени за препродажба, отдаване под наем или на лизинг; автомобили, използвани за превоз на пътници (например таксита) или стоки; автомобили, използвани за обучение на водачи на моторни превозни средства; автомобили, използвани за охранителни услуги или спешна помощ; автомобили, използвани като демонстрационно превозно средство при продажба на автомобили.</w:t>
      </w:r>
    </w:p>
    <w:p>
      <w:pPr>
        <w:pBdr>
          <w:top w:val="nil"/>
          <w:left w:val="nil"/>
          <w:bottom w:val="nil"/>
          <w:right w:val="nil"/>
          <w:between w:val="nil"/>
          <w:bar w:val="nil"/>
        </w:pBdr>
        <w:spacing w:before="0" w:after="240"/>
        <w:rPr>
          <w:rFonts w:eastAsia="Arial Unicode MS"/>
          <w:noProof/>
        </w:rPr>
      </w:pPr>
      <w:r>
        <w:rPr>
          <w:noProof/>
        </w:rPr>
        <w:t>Предвид благоприятното въздействие на специалната мярка върху административната тежест за данъкоплатците и данъчните органи се предлага да бъде позволено мярката за дерогация да бъде удължена за допълнителен период — до 31 декември 2021 г.  Всяко искане за удължаване на срока следва да се придружава от доклад, който включва преглед на прилаганото процентно ограничение, и следва да бъде изпратено на Комисията до 31 март 2021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Подобни дерогации във връзка с правото на приспадане са били предоставяни на други държави членки. </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редица клаузи за изчакване, които ограничават правото на приспадане на ДДС във връзка с леките автомобили. </w:t>
      </w:r>
    </w:p>
    <w:p>
      <w:pPr>
        <w:pBdr>
          <w:top w:val="nil"/>
          <w:left w:val="nil"/>
          <w:bottom w:val="nil"/>
          <w:right w:val="nil"/>
          <w:between w:val="nil"/>
          <w:bar w:val="nil"/>
        </w:pBdr>
        <w:spacing w:before="0" w:after="240"/>
        <w:rPr>
          <w:noProof/>
        </w:rPr>
      </w:pPr>
      <w:r>
        <w:rPr>
          <w:noProof/>
        </w:rPr>
        <w:t>Независимо от предишните инициативи за установяване на правила относно категориите разходи, които може да подлежат на ограничение на правото на приспадане</w:t>
      </w:r>
      <w:r>
        <w:rPr>
          <w:rStyle w:val="FootnoteReference"/>
          <w:noProof/>
        </w:rPr>
        <w:footnoteReference w:id="3"/>
      </w:r>
      <w:r>
        <w:rPr>
          <w:noProof/>
        </w:rPr>
        <w:t xml:space="preserve">, такава дерогация е уместна до постигането на хармонизация на въпросните правила на равнището на ЕС.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 xml:space="preserve">Чл. 395 от Директивата за ДДС.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в съответствие с принципа на пропорционалност поради следните причини: </w:t>
      </w:r>
    </w:p>
    <w:p>
      <w:pPr>
        <w:pBdr>
          <w:top w:val="nil"/>
          <w:left w:val="nil"/>
          <w:bottom w:val="nil"/>
          <w:right w:val="nil"/>
          <w:between w:val="nil"/>
          <w:bar w:val="nil"/>
        </w:pBdr>
        <w:spacing w:before="0" w:after="240"/>
        <w:rPr>
          <w:rFonts w:eastAsia="Arial Unicode MS"/>
          <w:noProof/>
        </w:rPr>
      </w:pPr>
      <w:r>
        <w:rPr>
          <w:noProof/>
        </w:rPr>
        <w:t xml:space="preserve">Решението е за даване на разрешение на държава членка по нейно искане и не представлява задължение. </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борба с отклонението от данъчно облагане и опростяване на събирането на ДДС.</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Директивата за ДДС дерогация от общите разпоредби за ДДС е възможна единствено с разрешение на Съвета, прието с единодушие по предложение на Комисията. Освен това решение на Съвета е най-подходящият акт, тъй като негов адресат могат да бъдат отделни държави членки.</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искане, отправено от Латвия, и засяга само тази държава членка.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Външни експертни становища не бяха необходими.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има за цел да опрости процедурата за начисляване на данъка и да предотврати отклонението от данъчно облагане и следователно има потенциално положително въздействие върху предприятията и администрациите. Латвия е оценила това решение като подходяща мярка, сравнима с други минали и прилагани понастоящем дерогации.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валидността на дерогацията изтича автоматично на 31 декември 2021 г.</w:t>
      </w:r>
    </w:p>
    <w:p>
      <w:pPr>
        <w:pBdr>
          <w:top w:val="nil"/>
          <w:left w:val="nil"/>
          <w:bottom w:val="nil"/>
          <w:right w:val="nil"/>
          <w:between w:val="nil"/>
          <w:bar w:val="nil"/>
        </w:pBdr>
        <w:spacing w:before="0" w:after="240"/>
        <w:rPr>
          <w:noProof/>
        </w:rPr>
      </w:pPr>
      <w:r>
        <w:rPr>
          <w:noProof/>
        </w:rPr>
        <w:t xml:space="preserve">В случай че Латвия възнамерява срокът на действие на дерогационната мярка да бъде удължен и след 2021 г., тя следва най-късно до 31 март 2021 г. да представи на </w:t>
      </w:r>
      <w:r>
        <w:rPr>
          <w:noProof/>
        </w:rPr>
        <w:lastRenderedPageBreak/>
        <w:t>Комисията  искане за удължаване, придружено от доклад, който включва преглед на процентното ограничение.</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2018/0373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2015/2429 от 10 декември 2015 година за даване на разрешение на Латвия да въведе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4"/>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Решение (ЕС) 2015/2429 за изпълнение на Съвета (EU) 2015/2429</w:t>
      </w:r>
      <w:r>
        <w:rPr>
          <w:rStyle w:val="FootnoteReference"/>
          <w:noProof/>
        </w:rPr>
        <w:footnoteReference w:id="5"/>
      </w:r>
      <w:r>
        <w:rPr>
          <w:noProof/>
        </w:rPr>
        <w:t xml:space="preserve"> позволи на Латвия да ограничи до 50 % правото на приспадане от ДДС върху покупката, лизинга,  вътреобщностното придобиване и вноса на леки пътнически автомобили с максимално разрешено тегло до 3500 килограма и с не повече от осем места без мястото на водача, както и върху разходите, свързани с поддръжката, ремонта и горивото на такива автомобили, до 31 декември 2018 г.   </w:t>
      </w:r>
    </w:p>
    <w:p>
      <w:pPr>
        <w:pStyle w:val="ManualConsidrant"/>
        <w:rPr>
          <w:noProof/>
        </w:rPr>
      </w:pPr>
      <w:r>
        <w:t>(2)</w:t>
      </w:r>
      <w:r>
        <w:tab/>
      </w:r>
      <w:r>
        <w:rPr>
          <w:noProof/>
        </w:rPr>
        <w:t xml:space="preserve">С писмо, заведено в Комисията на 20 юни 2018 г., Латвия поиска разрешение да продължи да прилага специалната мярка за дерогация от член 26, параграф 1), буква а) и членове 168 и 168a от Директива 2006/112/ЕО, за да ограничи правото на приспадане по отношение на разходите, свързани с някои леки пътнически автомобили, които не се използват изцяло за целите на стопанската дейност. </w:t>
      </w:r>
    </w:p>
    <w:p>
      <w:pPr>
        <w:pStyle w:val="ManualConsidrant"/>
        <w:rPr>
          <w:noProof/>
        </w:rPr>
      </w:pPr>
      <w:r>
        <w:t>(3)</w:t>
      </w:r>
      <w:r>
        <w:tab/>
      </w:r>
      <w:r>
        <w:rPr>
          <w:noProof/>
        </w:rPr>
        <w:t>С писмо от 7 септември 2018 г. Комисията предаде на останалите държави членки отправеното от Латвия искане. С писмо от 10 септември 2018 г. Комисията уведоми Латвия, че разполага с пълната информация, която смята за необходима за разглеждане на искането.</w:t>
      </w:r>
    </w:p>
    <w:p>
      <w:pPr>
        <w:pStyle w:val="ManualConsidrant"/>
        <w:rPr>
          <w:noProof/>
        </w:rPr>
      </w:pPr>
      <w:r>
        <w:t>(4)</w:t>
      </w:r>
      <w:r>
        <w:tab/>
      </w:r>
      <w:r>
        <w:rPr>
          <w:noProof/>
        </w:rPr>
        <w:t>Съобразно изискването в член 6, параграф 2 от Решение (ЕС) 2015/2429 Латвия представи доклад, включващ преглед на процента, определен за приспадането на ДДС. Въз основа на наличната в момента информация Латвия твърди, че прилагането на ограничение от 50 % все още е оправдано и целесъобразно.</w:t>
      </w:r>
    </w:p>
    <w:p>
      <w:pPr>
        <w:pStyle w:val="ManualConsidrant"/>
        <w:rPr>
          <w:noProof/>
        </w:rPr>
      </w:pPr>
      <w:r>
        <w:t>(5)</w:t>
      </w:r>
      <w:r>
        <w:tab/>
      </w:r>
      <w:r>
        <w:rPr>
          <w:noProof/>
        </w:rPr>
        <w:t xml:space="preserve">Удължаването на срока на прилагане на мярката за дерогация следва да се ограничи във времето, за да може да се направи оценка на ефективността ѝ и на </w:t>
      </w:r>
      <w:r>
        <w:rPr>
          <w:noProof/>
        </w:rPr>
        <w:lastRenderedPageBreak/>
        <w:t>подходящото процентно ограничение. Предвид благоприятното въздействие на мярката за дерогация върху административната тежест за данъкоплатците и данъчните органи следва да бъде позволено на Латвия да продължи да прилага мерките за допълнителен период — до 31 декември 2021 г.</w:t>
      </w:r>
    </w:p>
    <w:p>
      <w:pPr>
        <w:pStyle w:val="ManualConsidrant"/>
        <w:rPr>
          <w:noProof/>
        </w:rPr>
      </w:pPr>
      <w:r>
        <w:t>(6)</w:t>
      </w:r>
      <w:r>
        <w:tab/>
      </w:r>
      <w:r>
        <w:rPr>
          <w:noProof/>
        </w:rPr>
        <w:t xml:space="preserve">Ако Латвия прецени, че е необходимо допълнително удължаване на срока на прилагане на мярката за дерогация след 2021 г., тя следва, заедно с искането за удължаване, да представи на Комисията нов доклад, включващ преглед на приложения процент, до 31 март 2021 г. </w:t>
      </w:r>
    </w:p>
    <w:p>
      <w:pPr>
        <w:pStyle w:val="ManualConsidrant"/>
        <w:rPr>
          <w:noProof/>
        </w:rPr>
      </w:pPr>
      <w:r>
        <w:t>(7)</w:t>
      </w:r>
      <w:r>
        <w:tab/>
      </w:r>
      <w:r>
        <w:rPr>
          <w:noProof/>
        </w:rPr>
        <w:t>Дерогацията ще има незначително въздействие върху общия размер на данъчните приходи, събирани на етапа на крайно потребление, и няма да окаже отрицателно въздействие върху собствените ресурси на Съюза, формирани от ДДС.</w:t>
      </w:r>
    </w:p>
    <w:p>
      <w:pPr>
        <w:pStyle w:val="ManualConsidrant"/>
        <w:rPr>
          <w:noProof/>
        </w:rPr>
      </w:pPr>
      <w:r>
        <w:t>(8)</w:t>
      </w:r>
      <w:r>
        <w:tab/>
      </w:r>
      <w:r>
        <w:rPr>
          <w:noProof/>
        </w:rPr>
        <w:t>Следователно Решение за изпълнение (ЕС) 2015/2429 на Съвета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6 от Решение за изпълнение (ЕС) 2015/2429 се заменя със следното:</w:t>
      </w:r>
    </w:p>
    <w:p>
      <w:pPr>
        <w:jc w:val="center"/>
        <w:rPr>
          <w:i/>
          <w:noProof/>
        </w:rPr>
      </w:pPr>
      <w:r>
        <w:rPr>
          <w:noProof/>
        </w:rPr>
        <w:t>„</w:t>
      </w:r>
      <w:r>
        <w:rPr>
          <w:i/>
          <w:noProof/>
        </w:rPr>
        <w:t>Член 6</w:t>
      </w:r>
    </w:p>
    <w:p>
      <w:pPr>
        <w:rPr>
          <w:noProof/>
        </w:rPr>
      </w:pPr>
      <w:r>
        <w:rPr>
          <w:noProof/>
        </w:rPr>
        <w:t>1. Настоящото решение се прилага от 1 януари 2016 г. до 31 декември 2021 г.</w:t>
      </w:r>
    </w:p>
    <w:p>
      <w:pPr>
        <w:rPr>
          <w:noProof/>
        </w:rPr>
      </w:pPr>
      <w:r>
        <w:rPr>
          <w:noProof/>
        </w:rPr>
        <w:t>2. Всяко искане за удължаване на срока на разрешението, предвидено в настоящото решение, се представя на Комисията в срок до 31 март 2021 г. и се придружава от доклад, който включва преглед на процентното ограничение, определено в член 1.“</w:t>
      </w:r>
    </w:p>
    <w:p>
      <w:pPr>
        <w:pStyle w:val="Titrearticle"/>
        <w:rPr>
          <w:noProof/>
        </w:rPr>
      </w:pPr>
      <w:r>
        <w:rPr>
          <w:noProof/>
          <w:color w:val="000000" w:themeColor="text1"/>
        </w:rPr>
        <w:t xml:space="preserve">Член </w:t>
      </w:r>
      <w:r>
        <w:rPr>
          <w:noProof/>
        </w:rPr>
        <w:t>2</w:t>
      </w:r>
    </w:p>
    <w:p>
      <w:pPr>
        <w:rPr>
          <w:noProof/>
        </w:rPr>
      </w:pPr>
      <w:r>
        <w:rPr>
          <w:noProof/>
        </w:rPr>
        <w:t xml:space="preserve">Настоящото решение се прилага от 1 януари 2019 г. </w:t>
      </w:r>
    </w:p>
    <w:p>
      <w:pPr>
        <w:pStyle w:val="Titrearticle"/>
        <w:rPr>
          <w:noProof/>
        </w:rPr>
      </w:pPr>
      <w:r>
        <w:rPr>
          <w:noProof/>
        </w:rPr>
        <w:t>Член 3</w:t>
      </w:r>
    </w:p>
    <w:p>
      <w:pPr>
        <w:keepNext/>
        <w:keepLines/>
        <w:rPr>
          <w:noProof/>
        </w:rPr>
      </w:pPr>
      <w:r>
        <w:rPr>
          <w:noProof/>
          <w:color w:val="000000"/>
        </w:rPr>
        <w:t xml:space="preserve">Адресат на настоящото решение е Република Латвия.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за изпълнение 2013/191/ЕС на Съвета от 22 април 2013 г. за даване на разрешение на Латвия да въведе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 (ОВ L 113, 25.4.2013 г., стр. 11—12). </w:t>
      </w:r>
    </w:p>
  </w:footnote>
  <w:footnote w:id="2">
    <w:p>
      <w:pPr>
        <w:pStyle w:val="FootnoteText"/>
      </w:pPr>
      <w:r>
        <w:rPr>
          <w:rStyle w:val="FootnoteReference"/>
        </w:rPr>
        <w:footnoteRef/>
      </w:r>
      <w:r>
        <w:tab/>
        <w:t xml:space="preserve">Решение за изпълнение 2015/2429 /ЕС на Съвета от 10 декември 2015 г. за даване на разрешение на Латвия да въведе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 (ОВ L 334, 22.12.2015 г., стр. 15—17). </w:t>
      </w:r>
    </w:p>
  </w:footnote>
  <w:footnote w:id="3">
    <w:p>
      <w:pPr>
        <w:pStyle w:val="FootnoteText"/>
        <w:jc w:val="left"/>
      </w:pPr>
      <w:r>
        <w:rPr>
          <w:rStyle w:val="FootnoteReference"/>
        </w:rPr>
        <w:footnoteRef/>
      </w:r>
      <w:r>
        <w:tab/>
        <w:t xml:space="preserve">COM (2004)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w:t>
      </w:r>
      <w:r>
        <w:rPr>
          <w:rStyle w:val="Hyperlink"/>
        </w:rPr>
        <w:t xml:space="preserve"> </w:t>
      </w:r>
      <w:r>
        <w:t xml:space="preserve">(ОВ C 153, 21.5.2014 г., стр. 3). </w:t>
      </w:r>
    </w:p>
  </w:footnote>
  <w:footnote w:id="4">
    <w:p>
      <w:pPr>
        <w:pStyle w:val="FootnoteText"/>
      </w:pPr>
      <w:r>
        <w:rPr>
          <w:rStyle w:val="FootnoteReference"/>
        </w:rPr>
        <w:footnoteRef/>
      </w:r>
      <w:r>
        <w:tab/>
        <w:t xml:space="preserve">ОВ L 347, 11.12.2006 г., стр. 1. </w:t>
      </w:r>
    </w:p>
  </w:footnote>
  <w:footnote w:id="5">
    <w:p>
      <w:pPr>
        <w:pStyle w:val="FootnoteText"/>
      </w:pPr>
      <w:r>
        <w:rPr>
          <w:rStyle w:val="FootnoteReference"/>
        </w:rPr>
        <w:footnoteRef/>
      </w:r>
      <w:r>
        <w:tab/>
        <w:t>Решение за изпълнение 2015/2429 /ЕС на Съвета от 10 декември 2015 г. за даване на разрешение на Латвия да въведе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 (ОВ L 334, 22.12.2015 г., стр. 15—17).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BE98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A2BB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98C6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1220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D0D4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6CC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F079F0"/>
    <w:lvl w:ilvl="0">
      <w:start w:val="1"/>
      <w:numFmt w:val="decimal"/>
      <w:pStyle w:val="ListNumber"/>
      <w:lvlText w:val="%1."/>
      <w:lvlJc w:val="left"/>
      <w:pPr>
        <w:tabs>
          <w:tab w:val="num" w:pos="360"/>
        </w:tabs>
        <w:ind w:left="360" w:hanging="360"/>
      </w:pPr>
    </w:lvl>
  </w:abstractNum>
  <w:abstractNum w:abstractNumId="7">
    <w:nsid w:val="FFFFFF89"/>
    <w:multiLevelType w:val="singleLevel"/>
    <w:tmpl w:val="17D23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9 16:03: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09BE07-926C-4B50-9101-30839B1B1FB3"/>
    <w:docVar w:name="LW_COVERPAGE_TYPE" w:val="1"/>
    <w:docVar w:name="LW_CROSSREFERENCE" w:val="&lt;UNUSED&gt;"/>
    <w:docVar w:name="LW_DocType" w:val="COM"/>
    <w:docVar w:name="LW_EMISSION" w:val="31.10.2018"/>
    <w:docVar w:name="LW_EMISSION_ISODATE" w:val="2018-10-3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73"/>
    <w:docVar w:name="LW_REF.II.NEW.CP_YEAR" w:val="2018"/>
    <w:docVar w:name="LW_REF.INST.NEW" w:val="COM"/>
    <w:docVar w:name="LW_REF.INST.NEW_ADOPTED" w:val="final"/>
    <w:docVar w:name="LW_REF.INST.NEW_TEXT" w:val="(2018) 7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15/2429 \u1086?\u1090? 10 \u1076?\u1077?\u1082?\u1077?\u1084?\u1074?\u1088?\u1080? 2015 \u1075?\u1086?\u1076?\u1080?\u1085?\u1072? \u1079?\u1072? \u1076?\u1072?\u1074?\u1072?\u1085?\u1077? \u1085?\u1072? \u1088?\u1072?\u1079?\u1088?\u1077?\u1096?\u1077?\u1085?\u1080?\u1077? \u1085?\u1072? \u1051?\u1072?\u1090?\u1074?\u1080?\u1103? \u1076?\u1072? \u1074?\u1098?\u1074?\u1077?\u1076?\u1077? \u1089?\u1087?\u1077?\u1094?\u1080?\u1072?\u1083?\u1085?\u1072? \u1084?\u1103?\u1088?\u1082?\u1072? \u1079?\u1072? \u1076?\u1077?\u1088?\u1086?\u1075?\u1072?\u1094?\u1080?\u1103? \u1086?\u1090? \u1095?\u1083?\u1077?\u1085? 26, \u1087?\u1072?\u1088?\u1072?\u1075?\u1088?\u1072?\u1092? 1, \u1073?\u1091?\u1082?\u1074?\u1072? \u1072?) \u108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970E9-3CD9-4CF5-9102-0B2F0159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1687</Words>
  <Characters>9502</Characters>
  <Application>Microsoft Office Word</Application>
  <DocSecurity>0</DocSecurity>
  <Lines>186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2018-10-15T10:45:00Z</dcterms:created>
  <dcterms:modified xsi:type="dcterms:W3CDTF">2018-10-29T15:03:00Z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