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C2179966-462B-4FA0-AB54-B302CB0F03B0" style="width:450.75pt;height:410.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spacing w:before="100" w:beforeAutospacing="1" w:after="100" w:afterAutospacing="1"/>
        <w:rPr>
          <w:noProof/>
        </w:rPr>
      </w:pPr>
      <w:bookmarkStart w:id="0" w:name="_GoBack"/>
      <w:bookmarkEnd w:id="0"/>
      <w:r>
        <w:rPr>
          <w:noProof/>
        </w:rPr>
        <w:lastRenderedPageBreak/>
        <w:t xml:space="preserve">APPENDICE </w:t>
      </w:r>
    </w:p>
    <w:p>
      <w:pPr>
        <w:spacing w:before="100" w:beforeAutospacing="1" w:after="100" w:afterAutospacing="1"/>
        <w:jc w:val="center"/>
        <w:rPr>
          <w:b/>
          <w:noProof/>
        </w:rPr>
      </w:pPr>
      <w:r>
        <w:rPr>
          <w:b/>
          <w:noProof/>
        </w:rPr>
        <w:t>DÉCISION N</w:t>
      </w:r>
      <w:r>
        <w:rPr>
          <w:b/>
          <w:noProof/>
          <w:vertAlign w:val="superscript"/>
        </w:rPr>
        <w:t>o </w:t>
      </w:r>
      <w:r>
        <w:rPr>
          <w:b/>
          <w:noProof/>
        </w:rPr>
        <w:t>1 DU COMITÉ «COMMERCE ET DÉVELOPPEMENT»</w:t>
      </w:r>
    </w:p>
    <w:p>
      <w:pPr>
        <w:spacing w:before="100" w:beforeAutospacing="1" w:after="100" w:afterAutospacing="1"/>
        <w:jc w:val="center"/>
        <w:rPr>
          <w:b/>
          <w:noProof/>
        </w:rPr>
      </w:pPr>
      <w:r>
        <w:rPr>
          <w:b/>
          <w:noProof/>
        </w:rPr>
        <w:t>du...</w:t>
      </w:r>
    </w:p>
    <w:p>
      <w:pPr>
        <w:spacing w:before="100" w:beforeAutospacing="1" w:after="100" w:afterAutospacing="1"/>
        <w:jc w:val="center"/>
        <w:rPr>
          <w:b/>
          <w:noProof/>
        </w:rPr>
      </w:pPr>
      <w:r>
        <w:rPr>
          <w:b/>
          <w:noProof/>
        </w:rPr>
        <w:t>relative à l’adoption de la liste des personnes prêtes et aptes à faire office d’arbitres</w:t>
      </w:r>
    </w:p>
    <w:p>
      <w:pPr>
        <w:spacing w:before="240"/>
        <w:rPr>
          <w:noProof/>
        </w:rPr>
      </w:pPr>
      <w:r>
        <w:rPr>
          <w:noProof/>
        </w:rPr>
        <w:t>LE COMITÉ «COMMERCE ET DÉVELOPPEMENT»,</w:t>
      </w:r>
    </w:p>
    <w:p>
      <w:pPr>
        <w:rPr>
          <w:noProof/>
        </w:rPr>
      </w:pPr>
      <w:r>
        <w:rPr>
          <w:noProof/>
        </w:rPr>
        <w:t>vu l'accord de partenariat économique entre l'Union européenne et ses États membres, d'une part, et les États de l'APE CDAA, d'autre part (ci-après l’«accord»), signé à Kasane le 10 juin 2016, et notamment ses articles 100, 103, 94 et 104,</w:t>
      </w:r>
    </w:p>
    <w:p>
      <w:pPr>
        <w:rPr>
          <w:noProof/>
        </w:rPr>
      </w:pPr>
      <w:r>
        <w:rPr>
          <w:noProof/>
        </w:rPr>
        <w:t>A ADOPTÉ LA PRÉSENTE DÉCISION:</w:t>
      </w:r>
    </w:p>
    <w:p>
      <w:pPr>
        <w:pStyle w:val="NumPar1"/>
        <w:numPr>
          <w:ilvl w:val="0"/>
          <w:numId w:val="10"/>
        </w:numPr>
        <w:rPr>
          <w:noProof/>
        </w:rPr>
      </w:pPr>
      <w:r>
        <w:rPr>
          <w:noProof/>
        </w:rPr>
        <w:t>La liste des personnes prêtes et aptes à faire office d’arbitres est établie telle qu’elle figure en annexe.</w:t>
      </w:r>
    </w:p>
    <w:p>
      <w:pPr>
        <w:pStyle w:val="NumPar1"/>
        <w:rPr>
          <w:noProof/>
        </w:rPr>
      </w:pPr>
      <w:r>
        <w:rPr>
          <w:noProof/>
        </w:rPr>
        <w:t>La présente décision entre en vigueur le jour de son adoption.</w:t>
      </w:r>
    </w:p>
    <w:p>
      <w:pPr>
        <w:rPr>
          <w:noProof/>
        </w:rPr>
      </w:pPr>
      <w:r>
        <w:rPr>
          <w:noProof/>
        </w:rPr>
        <w:t>Fait à … 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5"/>
      </w:tblGrid>
      <w:tr>
        <w:tc>
          <w:tcPr>
            <w:tcW w:w="9289" w:type="dxa"/>
            <w:gridSpan w:val="2"/>
          </w:tcPr>
          <w:p>
            <w:pPr>
              <w:tabs>
                <w:tab w:val="left" w:pos="5328"/>
              </w:tabs>
              <w:jc w:val="center"/>
              <w:rPr>
                <w:i/>
                <w:noProof/>
              </w:rPr>
            </w:pPr>
            <w:r>
              <w:rPr>
                <w:i/>
                <w:noProof/>
                <w:lang w:val="en-GB" w:eastAsia="en-GB"/>
              </w:rPr>
              <w:drawing>
                <wp:inline distT="0" distB="0" distL="0" distR="0">
                  <wp:extent cx="131445" cy="168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1445" cy="168275"/>
                          </a:xfrm>
                          <a:prstGeom prst="rect">
                            <a:avLst/>
                          </a:prstGeom>
                          <a:noFill/>
                          <a:ln>
                            <a:noFill/>
                          </a:ln>
                        </pic:spPr>
                      </pic:pic>
                    </a:graphicData>
                  </a:graphic>
                </wp:inline>
              </w:drawing>
            </w:r>
            <w:r>
              <w:rPr>
                <w:i/>
                <w:noProof/>
              </w:rPr>
              <w:t>Pour le comité «Commerce et développement»</w:t>
            </w:r>
          </w:p>
        </w:tc>
      </w:tr>
      <w:tr>
        <w:tc>
          <w:tcPr>
            <w:tcW w:w="4644" w:type="dxa"/>
          </w:tcPr>
          <w:p>
            <w:pPr>
              <w:tabs>
                <w:tab w:val="left" w:pos="5328"/>
              </w:tabs>
              <w:rPr>
                <w:i/>
                <w:noProof/>
              </w:rPr>
            </w:pPr>
            <w:r>
              <w:rPr>
                <w:i/>
                <w:noProof/>
              </w:rPr>
              <w:t xml:space="preserve">Ministre du commerce du/de la/de l’ </w:t>
            </w:r>
          </w:p>
        </w:tc>
        <w:tc>
          <w:tcPr>
            <w:tcW w:w="4645" w:type="dxa"/>
          </w:tcPr>
          <w:p>
            <w:pPr>
              <w:tabs>
                <w:tab w:val="left" w:pos="5328"/>
              </w:tabs>
              <w:rPr>
                <w:i/>
                <w:noProof/>
              </w:rPr>
            </w:pPr>
            <w:r>
              <w:rPr>
                <w:i/>
                <w:noProof/>
              </w:rPr>
              <w:t>Représentant de l'UE</w:t>
            </w:r>
          </w:p>
          <w:p>
            <w:pPr>
              <w:tabs>
                <w:tab w:val="left" w:pos="5328"/>
              </w:tabs>
              <w:rPr>
                <w:i/>
                <w:noProof/>
              </w:rPr>
            </w:pPr>
          </w:p>
          <w:p>
            <w:pPr>
              <w:tabs>
                <w:tab w:val="left" w:pos="5328"/>
              </w:tabs>
              <w:rPr>
                <w:i/>
                <w:noProof/>
              </w:rPr>
            </w:pPr>
          </w:p>
          <w:p>
            <w:pPr>
              <w:tabs>
                <w:tab w:val="left" w:pos="5328"/>
              </w:tabs>
              <w:rPr>
                <w:i/>
                <w:noProof/>
              </w:rPr>
            </w:pPr>
          </w:p>
        </w:tc>
      </w:tr>
    </w:tbl>
    <w:p>
      <w:pPr>
        <w:rPr>
          <w:noProof/>
        </w:rPr>
        <w:sectPr>
          <w:footerReference w:type="default" r:id="rId17"/>
          <w:footerReference w:type="first" r:id="rId18"/>
          <w:pgSz w:w="11907" w:h="16839"/>
          <w:pgMar w:top="1134" w:right="1417" w:bottom="1134" w:left="1417" w:header="709" w:footer="709" w:gutter="0"/>
          <w:cols w:space="720"/>
          <w:docGrid w:linePitch="360"/>
        </w:sectPr>
      </w:pPr>
      <w:r>
        <w:rPr>
          <w:noProof/>
        </w:rPr>
        <w:br w:type="page"/>
      </w:r>
    </w:p>
    <w:p>
      <w:pPr>
        <w:jc w:val="center"/>
        <w:rPr>
          <w:rFonts w:eastAsia="Arial Unicode MS"/>
          <w:b/>
          <w:noProof/>
          <w:szCs w:val="24"/>
          <w:u w:val="single"/>
        </w:rPr>
      </w:pPr>
      <w:r>
        <w:rPr>
          <w:b/>
          <w:noProof/>
          <w:u w:val="single"/>
        </w:rPr>
        <w:t>ANNEXE</w:t>
      </w:r>
    </w:p>
    <w:p>
      <w:pPr>
        <w:spacing w:before="240"/>
        <w:rPr>
          <w:rFonts w:eastAsia="Times New Roman"/>
          <w:b/>
          <w:bCs/>
          <w:noProof/>
          <w:color w:val="000000"/>
          <w:szCs w:val="24"/>
        </w:rPr>
      </w:pPr>
      <w:r>
        <w:rPr>
          <w:b/>
          <w:noProof/>
          <w:color w:val="000000"/>
        </w:rPr>
        <w:t>Liste des arbitres visée à l'article 94 de l'accord</w:t>
      </w:r>
    </w:p>
    <w:p>
      <w:pPr>
        <w:spacing w:before="240" w:after="100" w:afterAutospacing="1"/>
        <w:rPr>
          <w:rFonts w:eastAsia="Times New Roman"/>
          <w:i/>
          <w:noProof/>
          <w:color w:val="000000"/>
          <w:szCs w:val="24"/>
        </w:rPr>
      </w:pPr>
      <w:r>
        <w:rPr>
          <w:i/>
          <w:noProof/>
          <w:color w:val="000000"/>
        </w:rPr>
        <w:t>Arbitres sélectionnés par les États de l'APE CDAA:</w:t>
      </w:r>
    </w:p>
    <w:p>
      <w:pPr>
        <w:pStyle w:val="NumPar1"/>
        <w:numPr>
          <w:ilvl w:val="0"/>
          <w:numId w:val="9"/>
        </w:numPr>
        <w:rPr>
          <w:rFonts w:cstheme="minorBidi"/>
          <w:noProof/>
        </w:rPr>
      </w:pPr>
      <w:r>
        <w:rPr>
          <w:noProof/>
        </w:rPr>
        <w:t xml:space="preserve">Boitumelo Sendy Gofhamodimo </w:t>
      </w:r>
    </w:p>
    <w:p>
      <w:pPr>
        <w:pStyle w:val="NumPar1"/>
        <w:rPr>
          <w:noProof/>
        </w:rPr>
      </w:pPr>
      <w:bookmarkStart w:id="1" w:name="_Hlk506728598"/>
      <w:r>
        <w:rPr>
          <w:noProof/>
        </w:rPr>
        <w:t>Leonard Moses Phuti</w:t>
      </w:r>
    </w:p>
    <w:bookmarkEnd w:id="1"/>
    <w:p>
      <w:pPr>
        <w:pStyle w:val="NumPar1"/>
        <w:rPr>
          <w:noProof/>
        </w:rPr>
      </w:pPr>
      <w:r>
        <w:rPr>
          <w:noProof/>
        </w:rPr>
        <w:t>Makong Tsotetsi</w:t>
      </w:r>
    </w:p>
    <w:p>
      <w:pPr>
        <w:pStyle w:val="NumPar1"/>
        <w:rPr>
          <w:noProof/>
        </w:rPr>
      </w:pPr>
      <w:r>
        <w:rPr>
          <w:noProof/>
        </w:rPr>
        <w:t xml:space="preserve">Sakeus Akweenda </w:t>
      </w:r>
    </w:p>
    <w:p>
      <w:pPr>
        <w:pStyle w:val="NumPar1"/>
        <w:rPr>
          <w:noProof/>
        </w:rPr>
      </w:pPr>
      <w:r>
        <w:rPr>
          <w:noProof/>
        </w:rPr>
        <w:t xml:space="preserve">Faizel Ismail, </w:t>
      </w:r>
    </w:p>
    <w:p>
      <w:pPr>
        <w:pStyle w:val="NumPar1"/>
        <w:rPr>
          <w:noProof/>
        </w:rPr>
      </w:pPr>
      <w:bookmarkStart w:id="2" w:name="_Hlk506728617"/>
      <w:r>
        <w:rPr>
          <w:noProof/>
        </w:rPr>
        <w:t>Kholofelo Ngokoane Kugler</w:t>
      </w:r>
      <w:bookmarkEnd w:id="2"/>
    </w:p>
    <w:p>
      <w:pPr>
        <w:pStyle w:val="NumPar1"/>
        <w:rPr>
          <w:noProof/>
        </w:rPr>
      </w:pPr>
      <w:r>
        <w:rPr>
          <w:noProof/>
        </w:rPr>
        <w:t xml:space="preserve">Nkululeko J. Hlophe </w:t>
      </w:r>
    </w:p>
    <w:p>
      <w:pPr>
        <w:pStyle w:val="NumPar1"/>
        <w:rPr>
          <w:noProof/>
        </w:rPr>
      </w:pPr>
      <w:r>
        <w:rPr>
          <w:noProof/>
        </w:rPr>
        <w:t>Samuel Jay Levy</w:t>
      </w:r>
    </w:p>
    <w:p>
      <w:pPr>
        <w:spacing w:before="240" w:after="100" w:afterAutospacing="1"/>
        <w:rPr>
          <w:rFonts w:eastAsia="Times New Roman"/>
          <w:i/>
          <w:noProof/>
          <w:color w:val="000000"/>
          <w:szCs w:val="24"/>
        </w:rPr>
      </w:pPr>
      <w:r>
        <w:rPr>
          <w:i/>
          <w:noProof/>
          <w:color w:val="000000"/>
        </w:rPr>
        <w:t>Arbitres sélectionnés par l'Union européenne:</w:t>
      </w:r>
    </w:p>
    <w:p>
      <w:pPr>
        <w:pStyle w:val="NumPar1"/>
        <w:rPr>
          <w:noProof/>
        </w:rPr>
      </w:pPr>
      <w:r>
        <w:rPr>
          <w:noProof/>
        </w:rPr>
        <w:t>Jacques BOURGEOIS</w:t>
      </w:r>
    </w:p>
    <w:p>
      <w:pPr>
        <w:pStyle w:val="NumPar1"/>
        <w:rPr>
          <w:noProof/>
        </w:rPr>
      </w:pPr>
      <w:r>
        <w:rPr>
          <w:noProof/>
        </w:rPr>
        <w:t>Claus-Dieter EHLERMANN</w:t>
      </w:r>
    </w:p>
    <w:p>
      <w:pPr>
        <w:pStyle w:val="NumPar1"/>
        <w:rPr>
          <w:noProof/>
        </w:rPr>
      </w:pPr>
      <w:r>
        <w:rPr>
          <w:noProof/>
        </w:rPr>
        <w:t>Pieter Jan KUIJPER</w:t>
      </w:r>
    </w:p>
    <w:p>
      <w:pPr>
        <w:pStyle w:val="NumPar1"/>
        <w:rPr>
          <w:noProof/>
        </w:rPr>
      </w:pPr>
      <w:r>
        <w:rPr>
          <w:noProof/>
        </w:rPr>
        <w:t>Giorgio SACERDOTI</w:t>
      </w:r>
    </w:p>
    <w:p>
      <w:pPr>
        <w:pStyle w:val="NumPar1"/>
        <w:rPr>
          <w:noProof/>
        </w:rPr>
      </w:pPr>
      <w:r>
        <w:rPr>
          <w:noProof/>
        </w:rPr>
        <w:t>Laurence BOISSON DE CHAZOURNES</w:t>
      </w:r>
    </w:p>
    <w:p>
      <w:pPr>
        <w:pStyle w:val="NumPar1"/>
        <w:rPr>
          <w:noProof/>
        </w:rPr>
      </w:pPr>
      <w:r>
        <w:rPr>
          <w:noProof/>
        </w:rPr>
        <w:t>Ramon TORRENT</w:t>
      </w:r>
    </w:p>
    <w:p>
      <w:pPr>
        <w:pStyle w:val="NumPar1"/>
        <w:rPr>
          <w:noProof/>
        </w:rPr>
      </w:pPr>
      <w:r>
        <w:rPr>
          <w:noProof/>
        </w:rPr>
        <w:t>Michael Johannes HAHN</w:t>
      </w:r>
    </w:p>
    <w:p>
      <w:pPr>
        <w:pStyle w:val="NumPar1"/>
        <w:rPr>
          <w:noProof/>
        </w:rPr>
      </w:pPr>
      <w:r>
        <w:rPr>
          <w:noProof/>
        </w:rPr>
        <w:t>Hélène RUIZ FABRI</w:t>
      </w:r>
    </w:p>
    <w:p>
      <w:pPr>
        <w:spacing w:before="240" w:after="100" w:afterAutospacing="1"/>
        <w:rPr>
          <w:rFonts w:eastAsia="Times New Roman"/>
          <w:i/>
          <w:noProof/>
          <w:color w:val="000000"/>
          <w:szCs w:val="24"/>
        </w:rPr>
      </w:pPr>
      <w:r>
        <w:rPr>
          <w:i/>
          <w:noProof/>
          <w:color w:val="000000"/>
        </w:rPr>
        <w:t>Arbitres sélectionnés conjointement par les parties (non-nationaux pouvant agir en tant que président):</w:t>
      </w:r>
    </w:p>
    <w:p>
      <w:pPr>
        <w:pStyle w:val="NumPar1"/>
        <w:rPr>
          <w:noProof/>
        </w:rPr>
      </w:pPr>
      <w:r>
        <w:rPr>
          <w:noProof/>
        </w:rPr>
        <w:t>Merit Janow</w:t>
      </w:r>
    </w:p>
    <w:p>
      <w:pPr>
        <w:pStyle w:val="NumPar1"/>
        <w:rPr>
          <w:noProof/>
        </w:rPr>
      </w:pPr>
      <w:r>
        <w:rPr>
          <w:noProof/>
        </w:rPr>
        <w:t>Ichiro Araki</w:t>
      </w:r>
    </w:p>
    <w:p>
      <w:pPr>
        <w:pStyle w:val="NumPar1"/>
        <w:rPr>
          <w:noProof/>
        </w:rPr>
      </w:pPr>
      <w:r>
        <w:rPr>
          <w:noProof/>
        </w:rPr>
        <w:t>Christian Häberli</w:t>
      </w:r>
    </w:p>
    <w:p>
      <w:pPr>
        <w:pStyle w:val="NumPar1"/>
        <w:rPr>
          <w:noProof/>
        </w:rPr>
      </w:pPr>
      <w:r>
        <w:rPr>
          <w:noProof/>
        </w:rPr>
        <w:t>Claus von Wobeser</w:t>
      </w:r>
    </w:p>
    <w:p>
      <w:pPr>
        <w:pStyle w:val="NumPar1"/>
        <w:rPr>
          <w:noProof/>
        </w:rPr>
      </w:pPr>
      <w:r>
        <w:rPr>
          <w:noProof/>
        </w:rPr>
        <w:t>Daniel Moulis</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F8A7B3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99289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7024824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F5E58D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5804D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35E553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B5E3D2A"/>
    <w:lvl w:ilvl="0">
      <w:start w:val="1"/>
      <w:numFmt w:val="decimal"/>
      <w:pStyle w:val="ListNumber"/>
      <w:lvlText w:val="%1."/>
      <w:lvlJc w:val="left"/>
      <w:pPr>
        <w:tabs>
          <w:tab w:val="num" w:pos="360"/>
        </w:tabs>
        <w:ind w:left="360" w:hanging="360"/>
      </w:pPr>
    </w:lvl>
  </w:abstractNum>
  <w:abstractNum w:abstractNumId="7">
    <w:nsid w:val="FFFFFF89"/>
    <w:multiLevelType w:val="singleLevel"/>
    <w:tmpl w:val="E3C455F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25 17:28:5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C2179966-462B-4FA0-AB54-B302CB0F03B0"/>
    <w:docVar w:name="LW_COVERPAGE_TYPE" w:val="1"/>
    <w:docVar w:name="LW_CROSSREFERENCE" w:val="&lt;UNUSED&gt;"/>
    <w:docVar w:name="LW_DocType" w:val="ANNEX"/>
    <w:docVar w:name="LW_EMISSION" w:val="5.11.2018"/>
    <w:docVar w:name="LW_EMISSION_ISODATE" w:val="2018-11-05"/>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mité «Commerce et développement» établi dans le cadre de l\u8217?accord de partenariat économique entre l\u8217?Union européenne et ses États membres, d\u8217?une part, et les États de l\u8217?APE CDAA, d\u8217?autre part, pour ce qui est de l\u8217?adoption de la liste des arbitres"/>
    <w:docVar w:name="LW_OBJETACTEPRINCIPAL.CP" w:val="relative à la position à prendre, au nom de l\u8217?Union européenne, au sein du comité «Commerce et développement» établi dans le cadre de l\u8217?accord de partenariat économique entre l\u8217?Union européenne et ses États membres, d\u8217?une part, et les États de l\u8217?APE CDAA, d\u8217?autre part, pour ce qui est de l\u8217?adoption de la liste des arbitres"/>
    <w:docVar w:name="LW_PART_NBR" w:val="1"/>
    <w:docVar w:name="LW_PART_NBR_TOTAL" w:val="1"/>
    <w:docVar w:name="LW_REF.INST.NEW" w:val="COM"/>
    <w:docVar w:name="LW_REF.INST.NEW_ADOPTED" w:val="final"/>
    <w:docVar w:name="LW_REF.INST.NEW_TEXT" w:val="(2018) 7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 #1"/>
    <w:pPr>
      <w:widowControl w:val="0"/>
      <w:pBdr>
        <w:top w:val="nil"/>
        <w:left w:val="nil"/>
        <w:bottom w:val="nil"/>
        <w:right w:val="nil"/>
        <w:between w:val="nil"/>
        <w:bar w:val="nil"/>
      </w:pBdr>
      <w:shd w:val="clear" w:color="auto" w:fill="FFFFFF"/>
      <w:spacing w:before="300" w:after="0" w:line="332" w:lineRule="exact"/>
      <w:outlineLvl w:val="0"/>
    </w:pPr>
    <w:rPr>
      <w:rFonts w:ascii="Times New Roman" w:eastAsia="Times New Roman" w:hAnsi="Times New Roman" w:cs="Times New Roman"/>
      <w:b/>
      <w:bCs/>
      <w:color w:val="000000"/>
      <w:sz w:val="30"/>
      <w:szCs w:val="30"/>
      <w:u w:color="000000"/>
      <w:bdr w:val="nil"/>
    </w:rPr>
  </w:style>
  <w:style w:type="paragraph" w:customStyle="1" w:styleId="Heading20">
    <w:name w:val="Heading #2"/>
    <w:pPr>
      <w:widowControl w:val="0"/>
      <w:pBdr>
        <w:top w:val="nil"/>
        <w:left w:val="nil"/>
        <w:bottom w:val="nil"/>
        <w:right w:val="nil"/>
        <w:between w:val="nil"/>
        <w:bar w:val="nil"/>
      </w:pBdr>
      <w:shd w:val="clear" w:color="auto" w:fill="FFFFFF"/>
      <w:spacing w:after="380" w:line="288" w:lineRule="exact"/>
      <w:jc w:val="center"/>
      <w:outlineLvl w:val="1"/>
    </w:pPr>
    <w:rPr>
      <w:rFonts w:ascii="Times New Roman" w:eastAsia="Times New Roman" w:hAnsi="Times New Roman" w:cs="Times New Roman"/>
      <w:b/>
      <w:bCs/>
      <w:color w:val="000000"/>
      <w:sz w:val="26"/>
      <w:szCs w:val="26"/>
      <w:u w:color="000000"/>
      <w:bdr w:val="nil"/>
    </w:rPr>
  </w:style>
  <w:style w:type="paragraph" w:customStyle="1" w:styleId="Bodytext2">
    <w:name w:val="Body text (2)"/>
    <w:link w:val="Bodytext20"/>
    <w:pPr>
      <w:widowControl w:val="0"/>
      <w:pBdr>
        <w:top w:val="nil"/>
        <w:left w:val="nil"/>
        <w:bottom w:val="nil"/>
        <w:right w:val="nil"/>
        <w:between w:val="nil"/>
        <w:bar w:val="nil"/>
      </w:pBdr>
      <w:shd w:val="clear" w:color="auto" w:fill="FFFFFF"/>
      <w:spacing w:after="240" w:line="274" w:lineRule="exact"/>
    </w:pPr>
    <w:rPr>
      <w:rFonts w:ascii="Times New Roman" w:eastAsia="Arial Unicode MS" w:hAnsi="Times New Roman" w:cs="Arial Unicode MS"/>
      <w:color w:val="000000"/>
      <w:sz w:val="24"/>
      <w:szCs w:val="24"/>
      <w:u w:color="000000"/>
      <w:bdr w:val="nil"/>
    </w:rPr>
  </w:style>
  <w:style w:type="character" w:customStyle="1" w:styleId="Bodytext20">
    <w:name w:val="Body text (2)_"/>
    <w:basedOn w:val="DefaultParagraphFont"/>
    <w:link w:val="Bodytext2"/>
    <w:rPr>
      <w:rFonts w:ascii="Times New Roman" w:eastAsia="Arial Unicode MS" w:hAnsi="Times New Roman" w:cs="Arial Unicode MS"/>
      <w:color w:val="000000"/>
      <w:sz w:val="24"/>
      <w:szCs w:val="24"/>
      <w:u w:color="000000"/>
      <w:bdr w:val="nil"/>
      <w:shd w:val="clear" w:color="auto" w:fill="FFFFFF"/>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 #1"/>
    <w:pPr>
      <w:widowControl w:val="0"/>
      <w:pBdr>
        <w:top w:val="nil"/>
        <w:left w:val="nil"/>
        <w:bottom w:val="nil"/>
        <w:right w:val="nil"/>
        <w:between w:val="nil"/>
        <w:bar w:val="nil"/>
      </w:pBdr>
      <w:shd w:val="clear" w:color="auto" w:fill="FFFFFF"/>
      <w:spacing w:before="300" w:after="0" w:line="332" w:lineRule="exact"/>
      <w:outlineLvl w:val="0"/>
    </w:pPr>
    <w:rPr>
      <w:rFonts w:ascii="Times New Roman" w:eastAsia="Times New Roman" w:hAnsi="Times New Roman" w:cs="Times New Roman"/>
      <w:b/>
      <w:bCs/>
      <w:color w:val="000000"/>
      <w:sz w:val="30"/>
      <w:szCs w:val="30"/>
      <w:u w:color="000000"/>
      <w:bdr w:val="nil"/>
    </w:rPr>
  </w:style>
  <w:style w:type="paragraph" w:customStyle="1" w:styleId="Heading20">
    <w:name w:val="Heading #2"/>
    <w:pPr>
      <w:widowControl w:val="0"/>
      <w:pBdr>
        <w:top w:val="nil"/>
        <w:left w:val="nil"/>
        <w:bottom w:val="nil"/>
        <w:right w:val="nil"/>
        <w:between w:val="nil"/>
        <w:bar w:val="nil"/>
      </w:pBdr>
      <w:shd w:val="clear" w:color="auto" w:fill="FFFFFF"/>
      <w:spacing w:after="380" w:line="288" w:lineRule="exact"/>
      <w:jc w:val="center"/>
      <w:outlineLvl w:val="1"/>
    </w:pPr>
    <w:rPr>
      <w:rFonts w:ascii="Times New Roman" w:eastAsia="Times New Roman" w:hAnsi="Times New Roman" w:cs="Times New Roman"/>
      <w:b/>
      <w:bCs/>
      <w:color w:val="000000"/>
      <w:sz w:val="26"/>
      <w:szCs w:val="26"/>
      <w:u w:color="000000"/>
      <w:bdr w:val="nil"/>
    </w:rPr>
  </w:style>
  <w:style w:type="paragraph" w:customStyle="1" w:styleId="Bodytext2">
    <w:name w:val="Body text (2)"/>
    <w:link w:val="Bodytext20"/>
    <w:pPr>
      <w:widowControl w:val="0"/>
      <w:pBdr>
        <w:top w:val="nil"/>
        <w:left w:val="nil"/>
        <w:bottom w:val="nil"/>
        <w:right w:val="nil"/>
        <w:between w:val="nil"/>
        <w:bar w:val="nil"/>
      </w:pBdr>
      <w:shd w:val="clear" w:color="auto" w:fill="FFFFFF"/>
      <w:spacing w:after="240" w:line="274" w:lineRule="exact"/>
    </w:pPr>
    <w:rPr>
      <w:rFonts w:ascii="Times New Roman" w:eastAsia="Arial Unicode MS" w:hAnsi="Times New Roman" w:cs="Arial Unicode MS"/>
      <w:color w:val="000000"/>
      <w:sz w:val="24"/>
      <w:szCs w:val="24"/>
      <w:u w:color="000000"/>
      <w:bdr w:val="nil"/>
    </w:rPr>
  </w:style>
  <w:style w:type="character" w:customStyle="1" w:styleId="Bodytext20">
    <w:name w:val="Body text (2)_"/>
    <w:basedOn w:val="DefaultParagraphFont"/>
    <w:link w:val="Bodytext2"/>
    <w:rPr>
      <w:rFonts w:ascii="Times New Roman" w:eastAsia="Arial Unicode MS" w:hAnsi="Times New Roman" w:cs="Arial Unicode MS"/>
      <w:color w:val="000000"/>
      <w:sz w:val="24"/>
      <w:szCs w:val="24"/>
      <w:u w:color="000000"/>
      <w:bdr w:val="nil"/>
      <w:shd w:val="clear" w:color="auto" w:fill="FFFFFF"/>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ABDC8-8CF7-4846-9244-9973F584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3</Pages>
  <Words>225</Words>
  <Characters>1201</Characters>
  <Application>Microsoft Office Word</Application>
  <DocSecurity>0</DocSecurity>
  <Lines>48</Lines>
  <Paragraphs>43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MELANEN Anri (TRADE)</dc:creator>
  <cp:lastModifiedBy>WES PDFC Administrator</cp:lastModifiedBy>
  <cp:revision>8</cp:revision>
  <cp:lastPrinted>2018-09-18T11:51:00Z</cp:lastPrinted>
  <dcterms:created xsi:type="dcterms:W3CDTF">2018-10-19T13:51:00Z</dcterms:created>
  <dcterms:modified xsi:type="dcterms:W3CDTF">2018-10-25T15:28:00Z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