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97A12F9-E96D-498C-A064-CBCC40DDDA4B" style="width:450.8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100" w:beforeAutospacing="1" w:after="100" w:afterAutospacing="1"/>
        <w:rPr>
          <w:noProof/>
        </w:rPr>
      </w:pPr>
      <w:bookmarkStart w:id="0" w:name="_GoBack"/>
      <w:bookmarkEnd w:id="0"/>
      <w:r>
        <w:rPr>
          <w:noProof/>
        </w:rPr>
        <w:lastRenderedPageBreak/>
        <w:t xml:space="preserve">ATTACHMENT </w:t>
      </w:r>
    </w:p>
    <w:p>
      <w:pPr>
        <w:spacing w:before="100" w:beforeAutospacing="1" w:after="100" w:afterAutospacing="1"/>
        <w:jc w:val="center"/>
        <w:rPr>
          <w:b/>
          <w:noProof/>
        </w:rPr>
      </w:pPr>
      <w:r>
        <w:rPr>
          <w:b/>
          <w:noProof/>
        </w:rPr>
        <w:t>DECISION No 1 OF THE TRADE AND DEVELOPMENT COMMITTEE</w:t>
      </w:r>
    </w:p>
    <w:p>
      <w:pPr>
        <w:spacing w:before="100" w:beforeAutospacing="1" w:after="100" w:afterAutospacing="1"/>
        <w:jc w:val="center"/>
        <w:rPr>
          <w:b/>
          <w:noProof/>
        </w:rPr>
      </w:pPr>
      <w:r>
        <w:rPr>
          <w:b/>
          <w:noProof/>
        </w:rPr>
        <w:t>of …</w:t>
      </w:r>
    </w:p>
    <w:p>
      <w:pPr>
        <w:spacing w:before="100" w:beforeAutospacing="1" w:after="100" w:afterAutospacing="1"/>
        <w:jc w:val="center"/>
        <w:rPr>
          <w:b/>
          <w:noProof/>
        </w:rPr>
      </w:pPr>
      <w:r>
        <w:rPr>
          <w:b/>
          <w:noProof/>
        </w:rPr>
        <w:t>on the adoption of the List of individuals who are willing and able to serve as arbitrators</w:t>
      </w:r>
    </w:p>
    <w:p>
      <w:pPr>
        <w:spacing w:before="240"/>
        <w:rPr>
          <w:noProof/>
        </w:rPr>
      </w:pPr>
      <w:r>
        <w:rPr>
          <w:noProof/>
        </w:rPr>
        <w:t>THE TRADE AND DEVELOPMENT COMMITTEE,</w:t>
      </w:r>
    </w:p>
    <w:p>
      <w:pPr>
        <w:rPr>
          <w:noProof/>
        </w:rPr>
      </w:pPr>
      <w:r>
        <w:rPr>
          <w:noProof/>
        </w:rPr>
        <w:t>Having regard to the Economic Partnership Agreement between the European Union and its Member States, of the one part, and the SADC EPA States, of the other part ("the Agreement"), signed in Kasane on 10 June 2016, and in particular Articles 100, 103, 94 and 104 thereof,</w:t>
      </w:r>
    </w:p>
    <w:p>
      <w:pPr>
        <w:rPr>
          <w:noProof/>
        </w:rPr>
      </w:pPr>
      <w:r>
        <w:rPr>
          <w:noProof/>
        </w:rPr>
        <w:t>HAS ADOPTED THIS DECISION:</w:t>
      </w:r>
    </w:p>
    <w:p>
      <w:pPr>
        <w:pStyle w:val="NumPar1"/>
        <w:numPr>
          <w:ilvl w:val="0"/>
          <w:numId w:val="10"/>
        </w:numPr>
        <w:rPr>
          <w:noProof/>
        </w:rPr>
      </w:pPr>
      <w:r>
        <w:rPr>
          <w:noProof/>
        </w:rPr>
        <w:t>The list of individuals who are willing and able to serve as arbitrators is established as set out in Annex.</w:t>
      </w:r>
    </w:p>
    <w:p>
      <w:pPr>
        <w:pStyle w:val="NumPar1"/>
        <w:rPr>
          <w:noProof/>
        </w:rPr>
      </w:pPr>
      <w:r>
        <w:rPr>
          <w:noProof/>
        </w:rPr>
        <w:t>This Decision shall enter into force on the date of its adoption.</w:t>
      </w:r>
    </w:p>
    <w:p>
      <w:pPr>
        <w:rPr>
          <w:noProof/>
        </w:rPr>
      </w:pPr>
      <w:r>
        <w:rPr>
          <w:noProof/>
        </w:rPr>
        <w:t>Done at …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tabs>
                <w:tab w:val="left" w:pos="5328"/>
              </w:tabs>
              <w:jc w:val="center"/>
              <w:rPr>
                <w:i/>
                <w:noProof/>
              </w:rPr>
            </w:pPr>
            <w:r>
              <w:rPr>
                <w:i/>
                <w:noProof/>
                <w:lang w:eastAsia="en-GB"/>
              </w:rPr>
              <w:drawing>
                <wp:inline distT="0" distB="0" distL="0" distR="0">
                  <wp:extent cx="131445" cy="16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Pr>
                <w:i/>
                <w:noProof/>
              </w:rPr>
              <w:t>For the Trade and Development Committee</w:t>
            </w:r>
          </w:p>
        </w:tc>
      </w:tr>
      <w:tr>
        <w:tc>
          <w:tcPr>
            <w:tcW w:w="4644" w:type="dxa"/>
          </w:tcPr>
          <w:p>
            <w:pPr>
              <w:tabs>
                <w:tab w:val="left" w:pos="5328"/>
              </w:tabs>
              <w:rPr>
                <w:i/>
                <w:noProof/>
              </w:rPr>
            </w:pPr>
            <w:r>
              <w:rPr>
                <w:i/>
                <w:noProof/>
              </w:rPr>
              <w:t xml:space="preserve">Minister for Trade of </w:t>
            </w:r>
          </w:p>
        </w:tc>
        <w:tc>
          <w:tcPr>
            <w:tcW w:w="4645" w:type="dxa"/>
          </w:tcPr>
          <w:p>
            <w:pPr>
              <w:tabs>
                <w:tab w:val="left" w:pos="5328"/>
              </w:tabs>
              <w:rPr>
                <w:i/>
                <w:noProof/>
              </w:rPr>
            </w:pPr>
            <w:r>
              <w:rPr>
                <w:i/>
                <w:noProof/>
              </w:rPr>
              <w:t>EU representative</w:t>
            </w:r>
          </w:p>
          <w:p>
            <w:pPr>
              <w:tabs>
                <w:tab w:val="left" w:pos="5328"/>
              </w:tabs>
              <w:rPr>
                <w:i/>
                <w:noProof/>
              </w:rPr>
            </w:pPr>
          </w:p>
          <w:p>
            <w:pPr>
              <w:tabs>
                <w:tab w:val="left" w:pos="5328"/>
              </w:tabs>
              <w:rPr>
                <w:i/>
                <w:noProof/>
              </w:rPr>
            </w:pPr>
          </w:p>
          <w:p>
            <w:pPr>
              <w:tabs>
                <w:tab w:val="left" w:pos="5328"/>
              </w:tabs>
              <w:rPr>
                <w:i/>
                <w:noProof/>
              </w:rPr>
            </w:pPr>
          </w:p>
        </w:tc>
      </w:tr>
    </w:tbl>
    <w:p>
      <w:pPr>
        <w:rPr>
          <w:noProof/>
        </w:rPr>
        <w:sectPr>
          <w:footerReference w:type="default" r:id="rId17"/>
          <w:footerReference w:type="first" r:id="rId18"/>
          <w:pgSz w:w="11907" w:h="16839"/>
          <w:pgMar w:top="1134" w:right="1417" w:bottom="1134" w:left="1417" w:header="709" w:footer="709" w:gutter="0"/>
          <w:cols w:space="720"/>
          <w:docGrid w:linePitch="360"/>
        </w:sectPr>
      </w:pPr>
      <w:r>
        <w:rPr>
          <w:noProof/>
        </w:rPr>
        <w:br w:type="page"/>
      </w:r>
    </w:p>
    <w:p>
      <w:pPr>
        <w:jc w:val="center"/>
        <w:rPr>
          <w:rFonts w:eastAsia="Arial Unicode MS"/>
          <w:b/>
          <w:noProof/>
          <w:szCs w:val="24"/>
          <w:u w:val="single"/>
        </w:rPr>
      </w:pPr>
      <w:r>
        <w:rPr>
          <w:rFonts w:eastAsia="Arial Unicode MS"/>
          <w:b/>
          <w:noProof/>
          <w:szCs w:val="24"/>
          <w:u w:val="single"/>
        </w:rPr>
        <w:t>ANNEX</w:t>
      </w:r>
    </w:p>
    <w:p>
      <w:pPr>
        <w:spacing w:before="240"/>
        <w:rPr>
          <w:rFonts w:eastAsia="Times New Roman"/>
          <w:b/>
          <w:bCs/>
          <w:noProof/>
          <w:color w:val="000000"/>
          <w:szCs w:val="24"/>
          <w:lang w:eastAsia="en-GB"/>
        </w:rPr>
      </w:pPr>
      <w:r>
        <w:rPr>
          <w:rFonts w:eastAsia="Times New Roman"/>
          <w:b/>
          <w:bCs/>
          <w:noProof/>
          <w:color w:val="000000"/>
          <w:szCs w:val="24"/>
          <w:lang w:eastAsia="en-GB"/>
        </w:rPr>
        <w:t>List of arbitrators referred to in Article 94 of the Agreement</w:t>
      </w:r>
    </w:p>
    <w:p>
      <w:pPr>
        <w:spacing w:before="240" w:after="100" w:afterAutospacing="1"/>
        <w:rPr>
          <w:rFonts w:eastAsia="Times New Roman"/>
          <w:i/>
          <w:noProof/>
          <w:color w:val="000000"/>
          <w:szCs w:val="24"/>
          <w:lang w:eastAsia="en-GB"/>
        </w:rPr>
      </w:pPr>
      <w:r>
        <w:rPr>
          <w:rFonts w:eastAsia="Times New Roman"/>
          <w:i/>
          <w:noProof/>
          <w:color w:val="000000"/>
          <w:szCs w:val="24"/>
          <w:lang w:eastAsia="en-GB"/>
        </w:rPr>
        <w:t>Arbitrators selected by the SADC EPA States:</w:t>
      </w:r>
    </w:p>
    <w:p>
      <w:pPr>
        <w:pStyle w:val="NumPar1"/>
        <w:numPr>
          <w:ilvl w:val="0"/>
          <w:numId w:val="9"/>
        </w:numPr>
        <w:rPr>
          <w:rFonts w:cstheme="minorBidi"/>
          <w:noProof/>
        </w:rPr>
      </w:pPr>
      <w:r>
        <w:rPr>
          <w:noProof/>
        </w:rPr>
        <w:t xml:space="preserve">Ms. Boitumelo Sendy Gofhamodimo </w:t>
      </w:r>
    </w:p>
    <w:p>
      <w:pPr>
        <w:pStyle w:val="NumPar1"/>
        <w:rPr>
          <w:noProof/>
        </w:rPr>
      </w:pPr>
      <w:bookmarkStart w:id="1" w:name="_Hlk506728598"/>
      <w:r>
        <w:rPr>
          <w:noProof/>
        </w:rPr>
        <w:t>Mr. Leonard Moses Phuti</w:t>
      </w:r>
    </w:p>
    <w:bookmarkEnd w:id="1"/>
    <w:p>
      <w:pPr>
        <w:pStyle w:val="NumPar1"/>
        <w:rPr>
          <w:noProof/>
        </w:rPr>
      </w:pPr>
      <w:r>
        <w:rPr>
          <w:noProof/>
        </w:rPr>
        <w:t>Mr Makong Tsotetsi</w:t>
      </w:r>
    </w:p>
    <w:p>
      <w:pPr>
        <w:pStyle w:val="NumPar1"/>
        <w:rPr>
          <w:noProof/>
        </w:rPr>
      </w:pPr>
      <w:r>
        <w:rPr>
          <w:noProof/>
        </w:rPr>
        <w:t xml:space="preserve">Dr. Sakeus Akweenda </w:t>
      </w:r>
    </w:p>
    <w:p>
      <w:pPr>
        <w:pStyle w:val="NumPar1"/>
        <w:rPr>
          <w:noProof/>
        </w:rPr>
      </w:pPr>
      <w:r>
        <w:rPr>
          <w:noProof/>
        </w:rPr>
        <w:t xml:space="preserve">Advocate Faizel Ismail, </w:t>
      </w:r>
    </w:p>
    <w:p>
      <w:pPr>
        <w:pStyle w:val="NumPar1"/>
        <w:rPr>
          <w:noProof/>
        </w:rPr>
      </w:pPr>
      <w:bookmarkStart w:id="2" w:name="_Hlk506728617"/>
      <w:r>
        <w:rPr>
          <w:noProof/>
        </w:rPr>
        <w:t>Ms Kholofelo Ngokoane Kugler</w:t>
      </w:r>
      <w:bookmarkEnd w:id="2"/>
    </w:p>
    <w:p>
      <w:pPr>
        <w:pStyle w:val="NumPar1"/>
        <w:rPr>
          <w:noProof/>
        </w:rPr>
      </w:pPr>
      <w:r>
        <w:rPr>
          <w:noProof/>
        </w:rPr>
        <w:t xml:space="preserve">Justice Nkululeko J. Hlophe </w:t>
      </w:r>
    </w:p>
    <w:p>
      <w:pPr>
        <w:pStyle w:val="NumPar1"/>
        <w:rPr>
          <w:noProof/>
        </w:rPr>
      </w:pPr>
      <w:r>
        <w:rPr>
          <w:noProof/>
        </w:rPr>
        <w:t>Samuel Jay Levy</w:t>
      </w:r>
    </w:p>
    <w:p>
      <w:pPr>
        <w:spacing w:before="240" w:after="100" w:afterAutospacing="1"/>
        <w:rPr>
          <w:rFonts w:eastAsia="Times New Roman"/>
          <w:i/>
          <w:noProof/>
          <w:color w:val="000000"/>
          <w:szCs w:val="24"/>
          <w:lang w:eastAsia="en-GB"/>
        </w:rPr>
      </w:pPr>
      <w:r>
        <w:rPr>
          <w:rFonts w:eastAsia="Times New Roman"/>
          <w:i/>
          <w:noProof/>
          <w:color w:val="000000"/>
          <w:szCs w:val="24"/>
          <w:lang w:eastAsia="en-GB"/>
        </w:rPr>
        <w:t>Arbitrators selected by the EU:</w:t>
      </w:r>
    </w:p>
    <w:p>
      <w:pPr>
        <w:pStyle w:val="NumPar1"/>
        <w:rPr>
          <w:noProof/>
        </w:rPr>
      </w:pPr>
      <w:r>
        <w:rPr>
          <w:noProof/>
        </w:rPr>
        <w:t>Jacques BOURGEOIS</w:t>
      </w:r>
    </w:p>
    <w:p>
      <w:pPr>
        <w:pStyle w:val="NumPar1"/>
        <w:rPr>
          <w:noProof/>
        </w:rPr>
      </w:pPr>
      <w:r>
        <w:rPr>
          <w:noProof/>
        </w:rPr>
        <w:t>Claus-Dieter EHLERMANN</w:t>
      </w:r>
    </w:p>
    <w:p>
      <w:pPr>
        <w:pStyle w:val="NumPar1"/>
        <w:rPr>
          <w:noProof/>
        </w:rPr>
      </w:pPr>
      <w:r>
        <w:rPr>
          <w:noProof/>
        </w:rPr>
        <w:t>Pieter Jan KUIJPER</w:t>
      </w:r>
    </w:p>
    <w:p>
      <w:pPr>
        <w:pStyle w:val="NumPar1"/>
        <w:rPr>
          <w:noProof/>
        </w:rPr>
      </w:pPr>
      <w:r>
        <w:rPr>
          <w:noProof/>
        </w:rPr>
        <w:t>Giorgio SACERDOTI</w:t>
      </w:r>
    </w:p>
    <w:p>
      <w:pPr>
        <w:pStyle w:val="NumPar1"/>
        <w:rPr>
          <w:noProof/>
          <w:lang w:val="fr-BE"/>
        </w:rPr>
      </w:pPr>
      <w:r>
        <w:rPr>
          <w:noProof/>
          <w:lang w:val="fr-BE"/>
        </w:rPr>
        <w:t xml:space="preserve">Laurence </w:t>
      </w:r>
      <w:r>
        <w:rPr>
          <w:bCs/>
          <w:noProof/>
          <w:szCs w:val="24"/>
          <w:lang w:val="fr-BE"/>
        </w:rPr>
        <w:t>BOISSON DE CHAZOURNES</w:t>
      </w:r>
    </w:p>
    <w:p>
      <w:pPr>
        <w:pStyle w:val="NumPar1"/>
        <w:rPr>
          <w:noProof/>
        </w:rPr>
      </w:pPr>
      <w:r>
        <w:rPr>
          <w:noProof/>
        </w:rPr>
        <w:t>Ramon TORRENT</w:t>
      </w:r>
    </w:p>
    <w:p>
      <w:pPr>
        <w:pStyle w:val="NumPar1"/>
        <w:rPr>
          <w:noProof/>
        </w:rPr>
      </w:pPr>
      <w:r>
        <w:rPr>
          <w:noProof/>
        </w:rPr>
        <w:t>Michael Johannes HAHN</w:t>
      </w:r>
    </w:p>
    <w:p>
      <w:pPr>
        <w:pStyle w:val="NumPar1"/>
        <w:rPr>
          <w:noProof/>
        </w:rPr>
      </w:pPr>
      <w:r>
        <w:rPr>
          <w:noProof/>
        </w:rPr>
        <w:t>Helène RUIZ FABRI</w:t>
      </w:r>
    </w:p>
    <w:p>
      <w:pPr>
        <w:spacing w:before="240" w:after="100" w:afterAutospacing="1"/>
        <w:rPr>
          <w:rFonts w:eastAsia="Times New Roman"/>
          <w:i/>
          <w:noProof/>
          <w:color w:val="000000"/>
          <w:szCs w:val="24"/>
          <w:lang w:eastAsia="en-GB"/>
        </w:rPr>
      </w:pPr>
      <w:r>
        <w:rPr>
          <w:rFonts w:eastAsia="Times New Roman"/>
          <w:i/>
          <w:noProof/>
          <w:color w:val="000000"/>
          <w:szCs w:val="24"/>
          <w:lang w:eastAsia="en-GB"/>
        </w:rPr>
        <w:t>Arbitrators jointly selected by the Parties (non-nationals who may act as Chairperson):</w:t>
      </w:r>
    </w:p>
    <w:p>
      <w:pPr>
        <w:pStyle w:val="NumPar1"/>
        <w:rPr>
          <w:noProof/>
        </w:rPr>
      </w:pPr>
      <w:r>
        <w:rPr>
          <w:noProof/>
        </w:rPr>
        <w:t>Merit Janow</w:t>
      </w:r>
    </w:p>
    <w:p>
      <w:pPr>
        <w:pStyle w:val="NumPar1"/>
        <w:rPr>
          <w:noProof/>
        </w:rPr>
      </w:pPr>
      <w:r>
        <w:rPr>
          <w:noProof/>
        </w:rPr>
        <w:t>Ichiro Araki</w:t>
      </w:r>
    </w:p>
    <w:p>
      <w:pPr>
        <w:pStyle w:val="NumPar1"/>
        <w:rPr>
          <w:noProof/>
        </w:rPr>
      </w:pPr>
      <w:r>
        <w:rPr>
          <w:noProof/>
        </w:rPr>
        <w:t>Christian Häberli</w:t>
      </w:r>
    </w:p>
    <w:p>
      <w:pPr>
        <w:pStyle w:val="NumPar1"/>
        <w:rPr>
          <w:noProof/>
        </w:rPr>
      </w:pPr>
      <w:r>
        <w:rPr>
          <w:noProof/>
        </w:rPr>
        <w:t>Claus von Wobeser</w:t>
      </w:r>
    </w:p>
    <w:p>
      <w:pPr>
        <w:pStyle w:val="NumPar1"/>
        <w:rPr>
          <w:noProof/>
        </w:rPr>
      </w:pPr>
      <w:r>
        <w:rPr>
          <w:noProof/>
        </w:rPr>
        <w:t>Daniel Moulis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8A7B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928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2482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5E58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804D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5E55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B5E3D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C455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7:26: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97A12F9-E96D-498C-A064-CBCC40DDDA4B"/>
    <w:docVar w:name="LW_COVERPAGE_TYPE" w:val="1"/>
    <w:docVar w:name="LW_CROSSREFERENCE" w:val="&lt;UNUSED&gt;"/>
    <w:docVar w:name="LW_DocType" w:val="ANNEX"/>
    <w:docVar w:name="LW_EMISSION" w:val="5.11.2018"/>
    <w:docVar w:name="LW_EMISSION_ISODATE" w:val="2018-11-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Trade and Development Committee established under the Economic Partnership Agreement between the European Union and its Member States, of the one part, and the SADC EPA States, of the other part as regards the adoption of the Roster of Arbitrators"/>
    <w:docVar w:name="LW_OBJETACTEPRINCIPAL.CP" w:val="on the position to be taken on behalf of the European Union in the Trade and Development Committee established under the Economic Partnership Agreement between the European Union and its Member States, of the one part, and the SADC EPA States, of the other part as regards the adoption of the Roster of Arbitrators"/>
    <w:docVar w:name="LW_PART_NBR" w:val="1"/>
    <w:docVar w:name="LW_PART_NBR_TOTAL" w:val="1"/>
    <w:docVar w:name="LW_REF.INST.NEW" w:val="COM"/>
    <w:docVar w:name="LW_REF.INST.NEW_ADOPTED" w:val="final"/>
    <w:docVar w:name="LW_REF.INST.NEW_TEXT" w:val="(2018)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A120-19EA-44F6-B3D1-319CECF1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Pages>
  <Words>242</Words>
  <Characters>1206</Characters>
  <Application>Microsoft Office Word</Application>
  <DocSecurity>0</DocSecurity>
  <Lines>48</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MELANEN Anri (TRADE)</dc:creator>
  <cp:lastModifiedBy>WES PDFC Administrator</cp:lastModifiedBy>
  <cp:revision>8</cp:revision>
  <cp:lastPrinted>2018-09-18T11:51:00Z</cp:lastPrinted>
  <dcterms:created xsi:type="dcterms:W3CDTF">2018-10-08T07:29:00Z</dcterms:created>
  <dcterms:modified xsi:type="dcterms:W3CDTF">2018-10-25T15:26:00Z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