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C04" w:rsidRDefault="00FF3CF7" w:rsidP="00FF3CF7">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A1BF9BE4-E386-4E19-A9C4-7AADBE9F3914" style="width:450.6pt;height:420.85pt">
            <v:imagedata r:id="rId11" o:title=""/>
          </v:shape>
        </w:pict>
      </w:r>
    </w:p>
    <w:bookmarkEnd w:id="0"/>
    <w:p w:rsidR="00456C04" w:rsidRDefault="00456C04">
      <w:pPr>
        <w:rPr>
          <w:noProof/>
        </w:rPr>
        <w:sectPr w:rsidR="00456C04" w:rsidSect="00FF3CF7">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26"/>
        </w:sectPr>
      </w:pPr>
    </w:p>
    <w:p w:rsidR="00456C04" w:rsidRDefault="00FF3CF7">
      <w:pPr>
        <w:jc w:val="center"/>
        <w:rPr>
          <w:b/>
          <w:smallCaps/>
          <w:noProof/>
        </w:rPr>
      </w:pPr>
      <w:r>
        <w:rPr>
          <w:b/>
          <w:smallCaps/>
          <w:noProof/>
        </w:rPr>
        <w:lastRenderedPageBreak/>
        <w:t>Приложение I</w:t>
      </w:r>
    </w:p>
    <w:p w:rsidR="00456C04" w:rsidRDefault="00FF3CF7">
      <w:pPr>
        <w:jc w:val="center"/>
        <w:rPr>
          <w:b/>
          <w:noProof/>
        </w:rPr>
      </w:pPr>
      <w:r>
        <w:rPr>
          <w:b/>
          <w:noProof/>
        </w:rPr>
        <w:t>Деветте препоръки на работната група</w:t>
      </w:r>
    </w:p>
    <w:tbl>
      <w:tblPr>
        <w:tblStyle w:val="TableGrid"/>
        <w:tblW w:w="0" w:type="auto"/>
        <w:tblLook w:val="04A0" w:firstRow="1" w:lastRow="0" w:firstColumn="1" w:lastColumn="0" w:noHBand="0" w:noVBand="1"/>
      </w:tblPr>
      <w:tblGrid>
        <w:gridCol w:w="8608"/>
      </w:tblGrid>
      <w:tr w:rsidR="00456C04">
        <w:tc>
          <w:tcPr>
            <w:tcW w:w="8608" w:type="dxa"/>
            <w:shd w:val="clear" w:color="auto" w:fill="C6D9F1" w:themeFill="text2" w:themeFillTint="33"/>
          </w:tcPr>
          <w:p w:rsidR="00456C04" w:rsidRDefault="00FF3CF7">
            <w:pPr>
              <w:spacing w:after="0"/>
              <w:jc w:val="center"/>
              <w:rPr>
                <w:b/>
                <w:i/>
                <w:noProof/>
                <w:sz w:val="20"/>
              </w:rPr>
            </w:pPr>
            <w:r>
              <w:rPr>
                <w:b/>
                <w:i/>
                <w:noProof/>
                <w:sz w:val="20"/>
              </w:rPr>
              <w:t>Препоръка № 1 на работната група</w:t>
            </w:r>
          </w:p>
        </w:tc>
      </w:tr>
      <w:tr w:rsidR="00456C04">
        <w:tc>
          <w:tcPr>
            <w:tcW w:w="8608" w:type="dxa"/>
          </w:tcPr>
          <w:p w:rsidR="00456C04" w:rsidRDefault="00FF3CF7">
            <w:pPr>
              <w:spacing w:after="120"/>
              <w:rPr>
                <w:b/>
                <w:noProof/>
                <w:sz w:val="20"/>
              </w:rPr>
            </w:pPr>
            <w:r>
              <w:rPr>
                <w:b/>
                <w:noProof/>
                <w:sz w:val="20"/>
              </w:rPr>
              <w:t>Институциите и органите на Съюза, както и националните и регионалните парламенти следва да използват общ метод („таблица за оценка“) при оценяването на проблеми, свързани с принципите на субсидиарност (включително европейската добавена стойност), пропорцио</w:t>
            </w:r>
            <w:r>
              <w:rPr>
                <w:b/>
                <w:noProof/>
                <w:sz w:val="20"/>
              </w:rPr>
              <w:t xml:space="preserve">налност и правното основание за ново и съществуващо законодателство. </w:t>
            </w:r>
          </w:p>
          <w:p w:rsidR="00456C04" w:rsidRDefault="00FF3CF7">
            <w:pPr>
              <w:spacing w:after="120"/>
              <w:rPr>
                <w:b/>
                <w:noProof/>
                <w:sz w:val="20"/>
              </w:rPr>
            </w:pPr>
            <w:r>
              <w:rPr>
                <w:b/>
                <w:noProof/>
                <w:sz w:val="20"/>
              </w:rPr>
              <w:t>Този метод на оценка следва да обхваща критериите от Протокола относно субсидиарността и пропорционалността, приложен към Договора от Амстердам, и съответната юриспруденция на Съда на ЕС</w:t>
            </w:r>
            <w:r>
              <w:rPr>
                <w:b/>
                <w:noProof/>
                <w:sz w:val="20"/>
              </w:rPr>
              <w:t xml:space="preserve">. Към настоящия доклад е приложено предложение за образец на таблица за оценка. </w:t>
            </w:r>
          </w:p>
          <w:p w:rsidR="00456C04" w:rsidRDefault="00FF3CF7">
            <w:pPr>
              <w:spacing w:after="120"/>
              <w:rPr>
                <w:noProof/>
              </w:rPr>
            </w:pPr>
            <w:r>
              <w:rPr>
                <w:b/>
                <w:noProof/>
                <w:sz w:val="20"/>
              </w:rPr>
              <w:t>По време на законодателния процес Европейският парламент и Съветът следва системно да правят преглед на субсидиарността и пропорционалността на проектозаконодателството и изме</w:t>
            </w:r>
            <w:r>
              <w:rPr>
                <w:b/>
                <w:noProof/>
                <w:sz w:val="20"/>
              </w:rPr>
              <w:t>ненията, които правят, с помощта на общия метод. Те следва да отчитат изцяло оценката на Комисията, представена в нейните предложения, както и (мотивираните) становищата на националните парламенти и Европейския комитет на регионите.</w:t>
            </w:r>
            <w:r>
              <w:rPr>
                <w:b/>
                <w:noProof/>
                <w:sz w:val="22"/>
              </w:rPr>
              <w:t xml:space="preserve"> </w:t>
            </w:r>
          </w:p>
        </w:tc>
      </w:tr>
      <w:tr w:rsidR="00456C04">
        <w:tblPrEx>
          <w:shd w:val="clear" w:color="auto" w:fill="DBE5F1" w:themeFill="accent1" w:themeFillTint="33"/>
        </w:tblPrEx>
        <w:tc>
          <w:tcPr>
            <w:tcW w:w="8608" w:type="dxa"/>
            <w:shd w:val="clear" w:color="auto" w:fill="DBE5F1" w:themeFill="accent1" w:themeFillTint="33"/>
          </w:tcPr>
          <w:p w:rsidR="00456C04" w:rsidRDefault="00FF3CF7">
            <w:pPr>
              <w:spacing w:after="0"/>
              <w:jc w:val="center"/>
              <w:rPr>
                <w:b/>
                <w:i/>
                <w:noProof/>
                <w:sz w:val="20"/>
              </w:rPr>
            </w:pPr>
            <w:r>
              <w:rPr>
                <w:b/>
                <w:i/>
                <w:noProof/>
                <w:sz w:val="20"/>
              </w:rPr>
              <w:t>Препоръка № 2 на рабо</w:t>
            </w:r>
            <w:r>
              <w:rPr>
                <w:b/>
                <w:i/>
                <w:noProof/>
                <w:sz w:val="20"/>
              </w:rPr>
              <w:t>тната група</w:t>
            </w:r>
          </w:p>
        </w:tc>
      </w:tr>
      <w:tr w:rsidR="00456C04">
        <w:tblPrEx>
          <w:shd w:val="clear" w:color="auto" w:fill="DBE5F1" w:themeFill="accent1" w:themeFillTint="33"/>
        </w:tblPrEx>
        <w:tc>
          <w:tcPr>
            <w:tcW w:w="8608" w:type="dxa"/>
            <w:shd w:val="clear" w:color="auto" w:fill="auto"/>
          </w:tcPr>
          <w:p w:rsidR="00456C04" w:rsidRDefault="00FF3CF7">
            <w:pPr>
              <w:spacing w:after="120"/>
              <w:rPr>
                <w:b/>
                <w:noProof/>
                <w:sz w:val="20"/>
              </w:rPr>
            </w:pPr>
            <w:r>
              <w:rPr>
                <w:b/>
                <w:noProof/>
                <w:sz w:val="20"/>
              </w:rPr>
              <w:t>Комисията следва да прилага гъвкаво 8-седмичния срок съгласно Договорите, в рамките на който националните парламенти следва да подават мотивираните си становища.</w:t>
            </w:r>
          </w:p>
          <w:p w:rsidR="00456C04" w:rsidRDefault="00FF3CF7">
            <w:pPr>
              <w:spacing w:after="120"/>
              <w:rPr>
                <w:b/>
                <w:noProof/>
                <w:sz w:val="20"/>
              </w:rPr>
            </w:pPr>
            <w:r>
              <w:rPr>
                <w:b/>
                <w:noProof/>
                <w:sz w:val="20"/>
              </w:rPr>
              <w:t>При тази гъвкавост трябва да се отчитат общоприетите ваканционни периоди и период</w:t>
            </w:r>
            <w:r>
              <w:rPr>
                <w:b/>
                <w:noProof/>
                <w:sz w:val="20"/>
              </w:rPr>
              <w:t xml:space="preserve">и на прекъсване на работата, като същевременно се осигурява възможност Комисията да отговори, доколкото е възможно, в рамките на 8 седмици след получаване на всяко от становищата. </w:t>
            </w:r>
          </w:p>
          <w:p w:rsidR="00456C04" w:rsidRDefault="00FF3CF7">
            <w:pPr>
              <w:spacing w:after="120"/>
              <w:rPr>
                <w:b/>
                <w:noProof/>
                <w:sz w:val="20"/>
              </w:rPr>
            </w:pPr>
            <w:r>
              <w:rPr>
                <w:b/>
                <w:noProof/>
                <w:sz w:val="20"/>
              </w:rPr>
              <w:t>В годишния си доклад относно субсидиарността и пропорционалността Комисията</w:t>
            </w:r>
            <w:r>
              <w:rPr>
                <w:b/>
                <w:noProof/>
                <w:sz w:val="20"/>
              </w:rPr>
              <w:t xml:space="preserve"> следва да отрази по подходящ начин мотивираните становища от националните парламенти и обратната информация от регионалните парламенти със законодателни правомощия. Тя следва да предоставя на съзаконодателите изчерпателна и навременна информация за предло</w:t>
            </w:r>
            <w:r>
              <w:rPr>
                <w:b/>
                <w:noProof/>
                <w:sz w:val="20"/>
              </w:rPr>
              <w:t xml:space="preserve">женията, във връзка с които са били изразени сериозни опасения относно субсидиарността. </w:t>
            </w:r>
          </w:p>
        </w:tc>
      </w:tr>
      <w:tr w:rsidR="00456C04">
        <w:tblPrEx>
          <w:shd w:val="clear" w:color="auto" w:fill="DBE5F1" w:themeFill="accent1" w:themeFillTint="33"/>
        </w:tblPrEx>
        <w:tc>
          <w:tcPr>
            <w:tcW w:w="8608" w:type="dxa"/>
            <w:shd w:val="clear" w:color="auto" w:fill="C6D9F1" w:themeFill="text2" w:themeFillTint="33"/>
          </w:tcPr>
          <w:p w:rsidR="00456C04" w:rsidRDefault="00FF3CF7">
            <w:pPr>
              <w:spacing w:after="0"/>
              <w:jc w:val="center"/>
              <w:rPr>
                <w:b/>
                <w:i/>
                <w:noProof/>
                <w:sz w:val="20"/>
              </w:rPr>
            </w:pPr>
            <w:r>
              <w:rPr>
                <w:b/>
                <w:i/>
                <w:noProof/>
                <w:sz w:val="20"/>
              </w:rPr>
              <w:t>Препоръка № 3 на работната група</w:t>
            </w:r>
          </w:p>
        </w:tc>
      </w:tr>
      <w:tr w:rsidR="00456C04">
        <w:tblPrEx>
          <w:shd w:val="clear" w:color="auto" w:fill="DBE5F1" w:themeFill="accent1" w:themeFillTint="33"/>
        </w:tblPrEx>
        <w:tc>
          <w:tcPr>
            <w:tcW w:w="8608" w:type="dxa"/>
            <w:shd w:val="clear" w:color="auto" w:fill="auto"/>
          </w:tcPr>
          <w:p w:rsidR="00456C04" w:rsidRDefault="00FF3CF7">
            <w:pPr>
              <w:spacing w:after="120"/>
              <w:rPr>
                <w:b/>
                <w:noProof/>
                <w:sz w:val="20"/>
              </w:rPr>
            </w:pPr>
            <w:r>
              <w:rPr>
                <w:b/>
                <w:noProof/>
                <w:sz w:val="20"/>
              </w:rPr>
              <w:t>Протокол № 2 към ДЕС/ДФЕС следва да бъде преразгледан при възможност, така че националните парламенти да разполагат с 12 седмици, за</w:t>
            </w:r>
            <w:r>
              <w:rPr>
                <w:b/>
                <w:noProof/>
                <w:sz w:val="20"/>
              </w:rPr>
              <w:t xml:space="preserve"> да подготвят и предадат мотивираните си становища, както и за да изразят изцяло своите становища по субсидиарността, пропорционалността и правното основание (предоставянето на правомощия) на предложеното законодателство. Националните парламенти следва да </w:t>
            </w:r>
            <w:r>
              <w:rPr>
                <w:b/>
                <w:noProof/>
                <w:sz w:val="20"/>
              </w:rPr>
              <w:t>се консултират с регионалните парламенти със законодателни правомощия, когато предложеното законодателство на ЕС засяга техните области на компетентност съгласно националното законодателство.</w:t>
            </w:r>
          </w:p>
        </w:tc>
      </w:tr>
      <w:tr w:rsidR="00456C04">
        <w:tblPrEx>
          <w:shd w:val="clear" w:color="auto" w:fill="DBE5F1" w:themeFill="accent1" w:themeFillTint="33"/>
        </w:tblPrEx>
        <w:tc>
          <w:tcPr>
            <w:tcW w:w="8608" w:type="dxa"/>
            <w:shd w:val="clear" w:color="auto" w:fill="DBE5F1" w:themeFill="accent1" w:themeFillTint="33"/>
          </w:tcPr>
          <w:p w:rsidR="00456C04" w:rsidRDefault="00FF3CF7">
            <w:pPr>
              <w:spacing w:after="0"/>
              <w:jc w:val="center"/>
              <w:rPr>
                <w:b/>
                <w:i/>
                <w:noProof/>
                <w:sz w:val="20"/>
              </w:rPr>
            </w:pPr>
            <w:r>
              <w:rPr>
                <w:b/>
                <w:i/>
                <w:noProof/>
                <w:sz w:val="20"/>
              </w:rPr>
              <w:t>Препоръка № 4 на работната група</w:t>
            </w:r>
          </w:p>
        </w:tc>
      </w:tr>
      <w:tr w:rsidR="00456C04">
        <w:tblPrEx>
          <w:shd w:val="clear" w:color="auto" w:fill="DBE5F1" w:themeFill="accent1" w:themeFillTint="33"/>
        </w:tblPrEx>
        <w:tc>
          <w:tcPr>
            <w:tcW w:w="8608" w:type="dxa"/>
            <w:shd w:val="clear" w:color="auto" w:fill="auto"/>
          </w:tcPr>
          <w:p w:rsidR="00456C04" w:rsidRDefault="00FF3CF7">
            <w:pPr>
              <w:spacing w:after="120"/>
              <w:rPr>
                <w:b/>
                <w:noProof/>
                <w:sz w:val="20"/>
              </w:rPr>
            </w:pPr>
            <w:r>
              <w:rPr>
                <w:b/>
                <w:noProof/>
                <w:sz w:val="20"/>
              </w:rPr>
              <w:t xml:space="preserve">Заедно с националните </w:t>
            </w:r>
            <w:r>
              <w:rPr>
                <w:b/>
                <w:noProof/>
                <w:sz w:val="20"/>
              </w:rPr>
              <w:t>парламенти и Европейския комитет на регионите Комисията следва да повиши осведомеността сред националните, местните и регионалните органи относно възможностите им да допринасят към изготвянето на политики на ранен етап.</w:t>
            </w:r>
          </w:p>
          <w:p w:rsidR="00456C04" w:rsidRDefault="00FF3CF7">
            <w:pPr>
              <w:spacing w:after="120"/>
              <w:rPr>
                <w:b/>
                <w:noProof/>
                <w:sz w:val="20"/>
              </w:rPr>
            </w:pPr>
            <w:r>
              <w:rPr>
                <w:b/>
                <w:noProof/>
                <w:sz w:val="20"/>
              </w:rPr>
              <w:t>Комисията следва да привлече местнит</w:t>
            </w:r>
            <w:r>
              <w:rPr>
                <w:b/>
                <w:noProof/>
                <w:sz w:val="20"/>
              </w:rPr>
              <w:t xml:space="preserve">е и регионалните органи за пълноценно участие в нейните процеси по консултации, като взема предвид тяхната специфична роля при изпълнението на законодателството на Съюза. Тя следва да стимулира участието на тези органи, като разработи подходящи въпросници </w:t>
            </w:r>
            <w:r>
              <w:rPr>
                <w:b/>
                <w:noProof/>
                <w:sz w:val="20"/>
              </w:rPr>
              <w:t xml:space="preserve">и като даде по-ясен отговор и по-голяма видимост на вижданията, изразени от местните и регионалните органи, в своите оценки на въздействието, предложения и информация към съзаконодателите. </w:t>
            </w:r>
          </w:p>
          <w:p w:rsidR="00456C04" w:rsidRDefault="00FF3CF7">
            <w:pPr>
              <w:spacing w:after="120"/>
              <w:rPr>
                <w:b/>
                <w:noProof/>
                <w:sz w:val="20"/>
              </w:rPr>
            </w:pPr>
            <w:r>
              <w:rPr>
                <w:b/>
                <w:noProof/>
                <w:sz w:val="20"/>
              </w:rPr>
              <w:t>Държавите членки следва да спазват насоките на Европейската комиси</w:t>
            </w:r>
            <w:r>
              <w:rPr>
                <w:b/>
                <w:noProof/>
                <w:sz w:val="20"/>
              </w:rPr>
              <w:t>я и да си взаимодействат пълноценно с местните и регионалните органи при изготвянето на своите национални програми за реформа и проектирането и изпълнението на структурните си реформи в рамките на европейския семестър, така че да се повиши ангажираността с</w:t>
            </w:r>
            <w:r>
              <w:rPr>
                <w:b/>
                <w:noProof/>
                <w:sz w:val="20"/>
              </w:rPr>
              <w:t xml:space="preserve"> тези реформи и да се подобри изпълнението им.</w:t>
            </w:r>
          </w:p>
        </w:tc>
      </w:tr>
    </w:tbl>
    <w:p w:rsidR="00456C04" w:rsidRDefault="00FF3CF7">
      <w:pPr>
        <w:rPr>
          <w:noProof/>
        </w:rPr>
      </w:pPr>
      <w:r>
        <w:rPr>
          <w:noProof/>
        </w:rPr>
        <w:br w:type="page"/>
      </w:r>
    </w:p>
    <w:tbl>
      <w:tblPr>
        <w:tblStyle w:val="TableGrid"/>
        <w:tblW w:w="0" w:type="auto"/>
        <w:shd w:val="clear" w:color="auto" w:fill="DBE5F1" w:themeFill="accent1" w:themeFillTint="33"/>
        <w:tblLook w:val="04A0" w:firstRow="1" w:lastRow="0" w:firstColumn="1" w:lastColumn="0" w:noHBand="0" w:noVBand="1"/>
      </w:tblPr>
      <w:tblGrid>
        <w:gridCol w:w="8608"/>
      </w:tblGrid>
      <w:tr w:rsidR="00456C04">
        <w:tc>
          <w:tcPr>
            <w:tcW w:w="8608" w:type="dxa"/>
            <w:shd w:val="clear" w:color="auto" w:fill="DBE5F1" w:themeFill="accent1" w:themeFillTint="33"/>
          </w:tcPr>
          <w:p w:rsidR="00456C04" w:rsidRDefault="00FF3CF7">
            <w:pPr>
              <w:spacing w:after="0"/>
              <w:jc w:val="center"/>
              <w:rPr>
                <w:b/>
                <w:i/>
                <w:noProof/>
                <w:sz w:val="20"/>
              </w:rPr>
            </w:pPr>
            <w:r>
              <w:rPr>
                <w:b/>
                <w:i/>
                <w:noProof/>
                <w:sz w:val="20"/>
              </w:rPr>
              <w:lastRenderedPageBreak/>
              <w:t>Препоръка № 5 на работната група</w:t>
            </w:r>
          </w:p>
        </w:tc>
      </w:tr>
      <w:tr w:rsidR="00456C04">
        <w:tc>
          <w:tcPr>
            <w:tcW w:w="8608" w:type="dxa"/>
            <w:shd w:val="clear" w:color="auto" w:fill="auto"/>
          </w:tcPr>
          <w:p w:rsidR="00456C04" w:rsidRDefault="00FF3CF7">
            <w:pPr>
              <w:spacing w:after="120"/>
              <w:rPr>
                <w:b/>
                <w:noProof/>
                <w:sz w:val="20"/>
              </w:rPr>
            </w:pPr>
            <w:r>
              <w:rPr>
                <w:b/>
                <w:noProof/>
                <w:sz w:val="20"/>
              </w:rPr>
              <w:t xml:space="preserve">Комисията следва да гарантира, че в своите оценки на въздействието и оценки систематично отчита териториалните въздействия и им прави оценка тогава, когато те са от </w:t>
            </w:r>
            <w:r>
              <w:rPr>
                <w:b/>
                <w:noProof/>
                <w:sz w:val="20"/>
              </w:rPr>
              <w:t>значение за местните и регионалните органи. Местните и регионалните органи следва да подпомагат набелязването на такива потенциални въздействия, когато изпращат своите отговори в рамките на консултации и обратна връзка по пътните карти.</w:t>
            </w:r>
          </w:p>
          <w:p w:rsidR="00456C04" w:rsidRDefault="00FF3CF7">
            <w:pPr>
              <w:spacing w:after="120"/>
              <w:rPr>
                <w:b/>
                <w:noProof/>
                <w:sz w:val="20"/>
              </w:rPr>
            </w:pPr>
            <w:r>
              <w:rPr>
                <w:b/>
                <w:noProof/>
                <w:sz w:val="20"/>
              </w:rPr>
              <w:t>Комисията следва да</w:t>
            </w:r>
            <w:r>
              <w:rPr>
                <w:b/>
                <w:noProof/>
                <w:sz w:val="20"/>
              </w:rPr>
              <w:t xml:space="preserve"> преразгледа своите указания и инструментариум за по-добро регулиране и да предприеме мерки по въпросите, свързани с изпълнението на законодателството и неговата европейска добавена стойност, както и да осигури в своите предложения и придружаващите ги обяс</w:t>
            </w:r>
            <w:r>
              <w:rPr>
                <w:b/>
                <w:noProof/>
                <w:sz w:val="20"/>
              </w:rPr>
              <w:t>нителни меморандуми по-голяма видимост на извършваните от нея оценки на субсидиарността, пропорционалността и съответните териториални въздействия.</w:t>
            </w:r>
          </w:p>
        </w:tc>
      </w:tr>
      <w:tr w:rsidR="00456C04">
        <w:trPr>
          <w:cantSplit/>
        </w:trPr>
        <w:tc>
          <w:tcPr>
            <w:tcW w:w="8608" w:type="dxa"/>
            <w:shd w:val="clear" w:color="auto" w:fill="DBE5F1" w:themeFill="accent1" w:themeFillTint="33"/>
          </w:tcPr>
          <w:p w:rsidR="00456C04" w:rsidRDefault="00FF3CF7">
            <w:pPr>
              <w:spacing w:after="0"/>
              <w:jc w:val="center"/>
              <w:rPr>
                <w:b/>
                <w:i/>
                <w:noProof/>
                <w:sz w:val="20"/>
              </w:rPr>
            </w:pPr>
            <w:r>
              <w:rPr>
                <w:b/>
                <w:i/>
                <w:noProof/>
                <w:sz w:val="20"/>
              </w:rPr>
              <w:t>Препоръка № 6 на работната група</w:t>
            </w:r>
          </w:p>
        </w:tc>
      </w:tr>
      <w:tr w:rsidR="00456C04">
        <w:tc>
          <w:tcPr>
            <w:tcW w:w="8608" w:type="dxa"/>
            <w:shd w:val="clear" w:color="auto" w:fill="auto"/>
          </w:tcPr>
          <w:p w:rsidR="00456C04" w:rsidRDefault="00FF3CF7">
            <w:pPr>
              <w:spacing w:after="120"/>
              <w:rPr>
                <w:b/>
                <w:noProof/>
                <w:sz w:val="20"/>
              </w:rPr>
            </w:pPr>
            <w:r>
              <w:rPr>
                <w:b/>
                <w:noProof/>
                <w:sz w:val="20"/>
              </w:rPr>
              <w:t>Европейският парламент и Съветът следва да използват последователно табли</w:t>
            </w:r>
            <w:r>
              <w:rPr>
                <w:b/>
                <w:noProof/>
                <w:sz w:val="20"/>
              </w:rPr>
              <w:t xml:space="preserve">цата за субсидиарността при преговорите си, за да се популяризира култура на по-добра информираност относно проблемите, които са от значение за местните и регионалните органи. </w:t>
            </w:r>
          </w:p>
          <w:p w:rsidR="00456C04" w:rsidRDefault="00FF3CF7">
            <w:pPr>
              <w:spacing w:after="120"/>
              <w:rPr>
                <w:b/>
                <w:noProof/>
                <w:sz w:val="20"/>
              </w:rPr>
            </w:pPr>
            <w:r>
              <w:rPr>
                <w:b/>
                <w:noProof/>
                <w:sz w:val="20"/>
              </w:rPr>
              <w:t>Комисията следва да посочва пред съзаконодателите всички мнения, които получава</w:t>
            </w:r>
            <w:r>
              <w:rPr>
                <w:b/>
                <w:noProof/>
                <w:sz w:val="20"/>
              </w:rPr>
              <w:t xml:space="preserve"> от местни и регионални органи по време на периода на проверка след приемането на нейните предложения. </w:t>
            </w:r>
          </w:p>
          <w:p w:rsidR="00456C04" w:rsidRDefault="00FF3CF7">
            <w:pPr>
              <w:spacing w:after="120"/>
              <w:rPr>
                <w:b/>
                <w:noProof/>
                <w:sz w:val="20"/>
              </w:rPr>
            </w:pPr>
            <w:r>
              <w:rPr>
                <w:b/>
                <w:noProof/>
                <w:sz w:val="20"/>
              </w:rPr>
              <w:t>Правителствата и националните парламенти на държавите членки следва да призовават местните и регионалните органи да споделят своите мнения и експертен о</w:t>
            </w:r>
            <w:r>
              <w:rPr>
                <w:b/>
                <w:noProof/>
                <w:sz w:val="20"/>
              </w:rPr>
              <w:t>пит в началото на законодателната процедура. Работната група приканва съзаконодателите на ЕС да обмислят възможността да канят на своите заседания представители на местните и регионалните органи или да организират изслушвания и събития, когато това е умест</w:t>
            </w:r>
            <w:r>
              <w:rPr>
                <w:b/>
                <w:noProof/>
                <w:sz w:val="20"/>
              </w:rPr>
              <w:t>но.</w:t>
            </w:r>
          </w:p>
        </w:tc>
      </w:tr>
      <w:tr w:rsidR="00456C04">
        <w:tc>
          <w:tcPr>
            <w:tcW w:w="8608" w:type="dxa"/>
            <w:shd w:val="clear" w:color="auto" w:fill="C6D9F1" w:themeFill="text2" w:themeFillTint="33"/>
          </w:tcPr>
          <w:p w:rsidR="00456C04" w:rsidRDefault="00FF3CF7">
            <w:pPr>
              <w:spacing w:after="0"/>
              <w:jc w:val="center"/>
              <w:rPr>
                <w:b/>
                <w:i/>
                <w:noProof/>
                <w:sz w:val="20"/>
              </w:rPr>
            </w:pPr>
            <w:r>
              <w:rPr>
                <w:b/>
                <w:i/>
                <w:noProof/>
                <w:sz w:val="20"/>
              </w:rPr>
              <w:t>Препоръка № 7 на работната група</w:t>
            </w:r>
          </w:p>
        </w:tc>
      </w:tr>
      <w:tr w:rsidR="00456C04">
        <w:tc>
          <w:tcPr>
            <w:tcW w:w="8608" w:type="dxa"/>
            <w:shd w:val="clear" w:color="auto" w:fill="auto"/>
          </w:tcPr>
          <w:p w:rsidR="00456C04" w:rsidRDefault="00FF3CF7">
            <w:pPr>
              <w:spacing w:after="120"/>
              <w:rPr>
                <w:b/>
                <w:noProof/>
                <w:sz w:val="20"/>
              </w:rPr>
            </w:pPr>
            <w:r>
              <w:rPr>
                <w:b/>
                <w:noProof/>
                <w:sz w:val="20"/>
              </w:rPr>
              <w:t xml:space="preserve">Регионалните и националните парламенти следва да разгледат начините да обвържат по-ефективно своите съответни платформи за обмен на информация (REGPEX и IPEX), за да може законодателната процедура и механизмът за </w:t>
            </w:r>
            <w:r>
              <w:rPr>
                <w:b/>
                <w:noProof/>
                <w:sz w:val="20"/>
              </w:rPr>
              <w:t>контрол на субсидиарността да отразяват притесненията им по-добре.</w:t>
            </w:r>
          </w:p>
        </w:tc>
      </w:tr>
      <w:tr w:rsidR="00456C04">
        <w:tc>
          <w:tcPr>
            <w:tcW w:w="8608" w:type="dxa"/>
            <w:shd w:val="clear" w:color="auto" w:fill="DBE5F1" w:themeFill="accent1" w:themeFillTint="33"/>
          </w:tcPr>
          <w:p w:rsidR="00456C04" w:rsidRDefault="00FF3CF7">
            <w:pPr>
              <w:spacing w:after="0"/>
              <w:jc w:val="center"/>
              <w:rPr>
                <w:b/>
                <w:i/>
                <w:noProof/>
                <w:sz w:val="20"/>
              </w:rPr>
            </w:pPr>
            <w:bookmarkStart w:id="2" w:name="_Hlk526678846"/>
            <w:r>
              <w:rPr>
                <w:b/>
                <w:i/>
                <w:noProof/>
                <w:sz w:val="20"/>
              </w:rPr>
              <w:t>Препоръка № 8 на работната група</w:t>
            </w:r>
          </w:p>
        </w:tc>
      </w:tr>
      <w:tr w:rsidR="00456C04">
        <w:tc>
          <w:tcPr>
            <w:tcW w:w="8608" w:type="dxa"/>
            <w:shd w:val="clear" w:color="auto" w:fill="auto"/>
          </w:tcPr>
          <w:p w:rsidR="00456C04" w:rsidRDefault="00FF3CF7">
            <w:pPr>
              <w:spacing w:after="120"/>
              <w:rPr>
                <w:b/>
                <w:noProof/>
                <w:sz w:val="20"/>
              </w:rPr>
            </w:pPr>
            <w:r>
              <w:rPr>
                <w:b/>
                <w:noProof/>
                <w:sz w:val="20"/>
              </w:rPr>
              <w:t>Комисията следва да разработи механизъм за идентифициране и оценка на законодателство от гледна точка на субсидиарността, пропорционалността, опростяванет</w:t>
            </w:r>
            <w:r>
              <w:rPr>
                <w:b/>
                <w:noProof/>
                <w:sz w:val="20"/>
              </w:rPr>
              <w:t xml:space="preserve">о, законодателната плътност и ролята на местните и регионалните органи. Това може да доразвие програмата и платформата REFIT. </w:t>
            </w:r>
          </w:p>
          <w:p w:rsidR="00456C04" w:rsidRDefault="00FF3CF7">
            <w:pPr>
              <w:spacing w:after="120"/>
              <w:rPr>
                <w:b/>
                <w:noProof/>
                <w:sz w:val="20"/>
              </w:rPr>
            </w:pPr>
            <w:r>
              <w:rPr>
                <w:b/>
                <w:noProof/>
                <w:sz w:val="20"/>
              </w:rPr>
              <w:t>По принцип опитът на местните и регионалните органи и техните мрежи следва да се вземат предвид изцяло при контрола и оценката на</w:t>
            </w:r>
            <w:r>
              <w:rPr>
                <w:b/>
                <w:noProof/>
                <w:sz w:val="20"/>
              </w:rPr>
              <w:t xml:space="preserve"> законодателството на ЕС. Комитетът на регионите следва да въведе нова пилотна мрежа от регионални центрове, които да подпомагат прегледа на изпълнението на политиките. </w:t>
            </w:r>
          </w:p>
        </w:tc>
      </w:tr>
      <w:bookmarkEnd w:id="2"/>
      <w:tr w:rsidR="00456C04">
        <w:tc>
          <w:tcPr>
            <w:tcW w:w="8608" w:type="dxa"/>
            <w:shd w:val="clear" w:color="auto" w:fill="DBE5F1" w:themeFill="accent1" w:themeFillTint="33"/>
          </w:tcPr>
          <w:p w:rsidR="00456C04" w:rsidRDefault="00FF3CF7">
            <w:pPr>
              <w:spacing w:after="0"/>
              <w:jc w:val="center"/>
              <w:rPr>
                <w:b/>
                <w:i/>
                <w:noProof/>
                <w:sz w:val="20"/>
              </w:rPr>
            </w:pPr>
            <w:r>
              <w:rPr>
                <w:b/>
                <w:i/>
                <w:noProof/>
                <w:sz w:val="20"/>
              </w:rPr>
              <w:t>Препоръка № 9 на работната група</w:t>
            </w:r>
          </w:p>
        </w:tc>
      </w:tr>
      <w:tr w:rsidR="00456C04">
        <w:tc>
          <w:tcPr>
            <w:tcW w:w="8608" w:type="dxa"/>
            <w:shd w:val="clear" w:color="auto" w:fill="auto"/>
          </w:tcPr>
          <w:p w:rsidR="00456C04" w:rsidRDefault="00FF3CF7">
            <w:pPr>
              <w:spacing w:after="120"/>
              <w:rPr>
                <w:b/>
                <w:noProof/>
                <w:sz w:val="20"/>
              </w:rPr>
            </w:pPr>
            <w:r>
              <w:rPr>
                <w:b/>
                <w:noProof/>
                <w:sz w:val="20"/>
              </w:rPr>
              <w:t xml:space="preserve">Следващата Комисия, заедно с Европейския парламент </w:t>
            </w:r>
            <w:r>
              <w:rPr>
                <w:b/>
                <w:noProof/>
                <w:sz w:val="20"/>
              </w:rPr>
              <w:t>и Съвета, следва да разгледа възможността да балансира работата си в някои области на политиката към постигане на по-ефективно изпълнение, а не иницииране на ново законодателство в области, в които съществуващото законодателство е добре развито и/или наско</w:t>
            </w:r>
            <w:r>
              <w:rPr>
                <w:b/>
                <w:noProof/>
                <w:sz w:val="20"/>
              </w:rPr>
              <w:t>ро е било преработено задълбочено.</w:t>
            </w:r>
          </w:p>
        </w:tc>
      </w:tr>
    </w:tbl>
    <w:p w:rsidR="00456C04" w:rsidRDefault="00456C04">
      <w:pPr>
        <w:jc w:val="center"/>
        <w:rPr>
          <w:noProof/>
        </w:rPr>
      </w:pPr>
    </w:p>
    <w:p w:rsidR="00456C04" w:rsidRDefault="00FF3CF7">
      <w:pPr>
        <w:spacing w:after="0"/>
        <w:jc w:val="left"/>
        <w:rPr>
          <w:noProof/>
        </w:rPr>
      </w:pPr>
      <w:r>
        <w:rPr>
          <w:noProof/>
        </w:rPr>
        <w:br w:type="page"/>
      </w:r>
    </w:p>
    <w:p w:rsidR="00456C04" w:rsidRDefault="00FF3CF7">
      <w:pPr>
        <w:jc w:val="center"/>
        <w:rPr>
          <w:b/>
          <w:smallCaps/>
          <w:noProof/>
        </w:rPr>
      </w:pPr>
      <w:r>
        <w:rPr>
          <w:b/>
          <w:smallCaps/>
          <w:noProof/>
        </w:rPr>
        <w:t>Приложение II</w:t>
      </w:r>
    </w:p>
    <w:p w:rsidR="00456C04" w:rsidRDefault="00FF3CF7">
      <w:pPr>
        <w:jc w:val="center"/>
        <w:rPr>
          <w:b/>
          <w:noProof/>
        </w:rPr>
      </w:pPr>
      <w:r>
        <w:rPr>
          <w:b/>
          <w:noProof/>
        </w:rPr>
        <w:t>Образец на таблица за оценка на субсидиарността и пропорционалността през целия цикъл на политиката (взет от доклада на работната група по въпросите на субсидиарността, пропорционалността и принципа „пра</w:t>
      </w:r>
      <w:r>
        <w:rPr>
          <w:b/>
          <w:noProof/>
        </w:rPr>
        <w:t>вим по-малко, но по-ефективно“)</w:t>
      </w:r>
    </w:p>
    <w:tbl>
      <w:tblPr>
        <w:tblStyle w:val="TableGrid"/>
        <w:tblW w:w="0" w:type="auto"/>
        <w:tblBorders>
          <w:top w:val="double" w:sz="4" w:space="0" w:color="auto"/>
          <w:left w:val="double" w:sz="4" w:space="0" w:color="auto"/>
          <w:bottom w:val="double" w:sz="4" w:space="0" w:color="auto"/>
          <w:right w:val="double" w:sz="4" w:space="0" w:color="auto"/>
        </w:tblBorders>
        <w:tblCellMar>
          <w:top w:w="85" w:type="dxa"/>
          <w:bottom w:w="85" w:type="dxa"/>
        </w:tblCellMar>
        <w:tblLook w:val="04A0" w:firstRow="1" w:lastRow="0" w:firstColumn="1" w:lastColumn="0" w:noHBand="0" w:noVBand="1"/>
      </w:tblPr>
      <w:tblGrid>
        <w:gridCol w:w="3568"/>
        <w:gridCol w:w="5266"/>
      </w:tblGrid>
      <w:tr w:rsidR="00456C04">
        <w:tc>
          <w:tcPr>
            <w:tcW w:w="3652" w:type="dxa"/>
            <w:tcBorders>
              <w:top w:val="double" w:sz="4" w:space="0" w:color="auto"/>
              <w:left w:val="double" w:sz="4" w:space="0" w:color="auto"/>
              <w:bottom w:val="single" w:sz="4" w:space="0" w:color="auto"/>
              <w:right w:val="single" w:sz="4" w:space="0" w:color="auto"/>
            </w:tcBorders>
            <w:hideMark/>
          </w:tcPr>
          <w:p w:rsidR="00456C04" w:rsidRDefault="00FF3CF7">
            <w:pPr>
              <w:spacing w:after="0"/>
              <w:rPr>
                <w:b/>
                <w:noProof/>
                <w:sz w:val="22"/>
                <w:szCs w:val="22"/>
              </w:rPr>
            </w:pPr>
            <w:r>
              <w:rPr>
                <w:b/>
                <w:noProof/>
                <w:sz w:val="22"/>
              </w:rPr>
              <w:t>Институция*</w:t>
            </w:r>
          </w:p>
        </w:tc>
        <w:tc>
          <w:tcPr>
            <w:tcW w:w="5634" w:type="dxa"/>
            <w:tcBorders>
              <w:top w:val="double" w:sz="4" w:space="0" w:color="auto"/>
              <w:left w:val="single" w:sz="4" w:space="0" w:color="auto"/>
              <w:bottom w:val="single" w:sz="4" w:space="0" w:color="auto"/>
              <w:right w:val="double" w:sz="4" w:space="0" w:color="auto"/>
            </w:tcBorders>
          </w:tcPr>
          <w:p w:rsidR="00456C04" w:rsidRDefault="00456C04">
            <w:pPr>
              <w:spacing w:after="0"/>
              <w:rPr>
                <w:noProof/>
                <w:sz w:val="22"/>
                <w:szCs w:val="22"/>
              </w:rPr>
            </w:pPr>
          </w:p>
        </w:tc>
      </w:tr>
      <w:tr w:rsidR="00456C04">
        <w:tc>
          <w:tcPr>
            <w:tcW w:w="3652" w:type="dxa"/>
            <w:tcBorders>
              <w:top w:val="single" w:sz="4" w:space="0" w:color="auto"/>
              <w:left w:val="double" w:sz="4" w:space="0" w:color="auto"/>
              <w:bottom w:val="single" w:sz="4" w:space="0" w:color="auto"/>
              <w:right w:val="single" w:sz="4" w:space="0" w:color="auto"/>
            </w:tcBorders>
            <w:hideMark/>
          </w:tcPr>
          <w:p w:rsidR="00456C04" w:rsidRDefault="00FF3CF7">
            <w:pPr>
              <w:spacing w:after="0"/>
              <w:rPr>
                <w:b/>
                <w:noProof/>
                <w:sz w:val="22"/>
                <w:szCs w:val="22"/>
              </w:rPr>
            </w:pPr>
            <w:r>
              <w:rPr>
                <w:b/>
                <w:noProof/>
                <w:sz w:val="22"/>
              </w:rPr>
              <w:t>Наименование на предложението или инициативата</w:t>
            </w:r>
          </w:p>
        </w:tc>
        <w:tc>
          <w:tcPr>
            <w:tcW w:w="5634" w:type="dxa"/>
            <w:tcBorders>
              <w:top w:val="single" w:sz="4" w:space="0" w:color="auto"/>
              <w:left w:val="single" w:sz="4" w:space="0" w:color="auto"/>
              <w:bottom w:val="single" w:sz="4" w:space="0" w:color="auto"/>
              <w:right w:val="double" w:sz="4" w:space="0" w:color="auto"/>
            </w:tcBorders>
          </w:tcPr>
          <w:p w:rsidR="00456C04" w:rsidRDefault="00456C04">
            <w:pPr>
              <w:spacing w:after="0"/>
              <w:rPr>
                <w:noProof/>
                <w:sz w:val="22"/>
                <w:szCs w:val="22"/>
              </w:rPr>
            </w:pPr>
          </w:p>
        </w:tc>
      </w:tr>
      <w:tr w:rsidR="00456C04">
        <w:tc>
          <w:tcPr>
            <w:tcW w:w="3652" w:type="dxa"/>
            <w:tcBorders>
              <w:top w:val="single" w:sz="4" w:space="0" w:color="auto"/>
              <w:left w:val="double" w:sz="4" w:space="0" w:color="auto"/>
              <w:bottom w:val="double" w:sz="4" w:space="0" w:color="auto"/>
              <w:right w:val="single" w:sz="4" w:space="0" w:color="auto"/>
            </w:tcBorders>
            <w:hideMark/>
          </w:tcPr>
          <w:p w:rsidR="00456C04" w:rsidRDefault="00FF3CF7">
            <w:pPr>
              <w:spacing w:after="0"/>
              <w:rPr>
                <w:b/>
                <w:noProof/>
                <w:sz w:val="22"/>
                <w:szCs w:val="22"/>
              </w:rPr>
            </w:pPr>
            <w:r>
              <w:rPr>
                <w:b/>
                <w:noProof/>
                <w:sz w:val="22"/>
              </w:rPr>
              <w:t>Институционален(ни) номер(а)</w:t>
            </w:r>
          </w:p>
        </w:tc>
        <w:tc>
          <w:tcPr>
            <w:tcW w:w="5634" w:type="dxa"/>
            <w:tcBorders>
              <w:top w:val="single" w:sz="4" w:space="0" w:color="auto"/>
              <w:left w:val="single" w:sz="4" w:space="0" w:color="auto"/>
              <w:bottom w:val="double" w:sz="4" w:space="0" w:color="auto"/>
              <w:right w:val="double" w:sz="4" w:space="0" w:color="auto"/>
            </w:tcBorders>
          </w:tcPr>
          <w:p w:rsidR="00456C04" w:rsidRDefault="00456C04">
            <w:pPr>
              <w:spacing w:after="0"/>
              <w:rPr>
                <w:noProof/>
                <w:sz w:val="22"/>
                <w:szCs w:val="22"/>
              </w:rPr>
            </w:pPr>
          </w:p>
        </w:tc>
      </w:tr>
    </w:tbl>
    <w:p w:rsidR="00456C04" w:rsidRDefault="00456C04">
      <w:pPr>
        <w:spacing w:after="120"/>
        <w:rPr>
          <w:noProof/>
        </w:rPr>
      </w:pPr>
    </w:p>
    <w:tbl>
      <w:tblPr>
        <w:tblStyle w:val="TableGrid"/>
        <w:tblW w:w="0" w:type="auto"/>
        <w:tblLook w:val="04A0" w:firstRow="1" w:lastRow="0" w:firstColumn="1" w:lastColumn="0" w:noHBand="0" w:noVBand="1"/>
      </w:tblPr>
      <w:tblGrid>
        <w:gridCol w:w="8834"/>
      </w:tblGrid>
      <w:tr w:rsidR="00456C04">
        <w:tc>
          <w:tcPr>
            <w:tcW w:w="9286" w:type="dxa"/>
            <w:tcBorders>
              <w:top w:val="single" w:sz="4" w:space="0" w:color="auto"/>
              <w:left w:val="single" w:sz="4" w:space="0" w:color="auto"/>
              <w:bottom w:val="single" w:sz="4" w:space="0" w:color="auto"/>
              <w:right w:val="single" w:sz="4" w:space="0" w:color="auto"/>
            </w:tcBorders>
            <w:tcMar>
              <w:top w:w="85" w:type="dxa"/>
              <w:left w:w="108" w:type="dxa"/>
              <w:bottom w:w="85" w:type="dxa"/>
              <w:right w:w="108" w:type="dxa"/>
            </w:tcMar>
            <w:hideMark/>
          </w:tcPr>
          <w:p w:rsidR="00456C04" w:rsidRDefault="00FF3CF7">
            <w:pPr>
              <w:spacing w:after="120"/>
              <w:jc w:val="center"/>
              <w:rPr>
                <w:b/>
                <w:i/>
                <w:noProof/>
                <w:sz w:val="22"/>
                <w:szCs w:val="22"/>
              </w:rPr>
            </w:pPr>
            <w:r>
              <w:rPr>
                <w:b/>
                <w:i/>
                <w:noProof/>
                <w:sz w:val="22"/>
              </w:rPr>
              <w:t>Цел и разяснение на тази таблица за оценка</w:t>
            </w:r>
          </w:p>
          <w:p w:rsidR="00456C04" w:rsidRDefault="00FF3CF7">
            <w:pPr>
              <w:spacing w:after="120"/>
              <w:rPr>
                <w:i/>
                <w:noProof/>
                <w:sz w:val="22"/>
                <w:szCs w:val="22"/>
              </w:rPr>
            </w:pPr>
            <w:r>
              <w:rPr>
                <w:i/>
                <w:noProof/>
                <w:sz w:val="22"/>
              </w:rPr>
              <w:t xml:space="preserve">Целта на тази таблица е да се даде всеобщ и последователен подход за оценка на </w:t>
            </w:r>
            <w:r>
              <w:rPr>
                <w:i/>
                <w:noProof/>
                <w:sz w:val="22"/>
              </w:rPr>
              <w:t>съответствието на дадено предложение или инициатива с принципите на субсидиарност и пропорционалност въз основа на Договорите. Тя е предназначена да се използва от Европейската комисия при иницииране на нейните предложения, от националните парламенти при и</w:t>
            </w:r>
            <w:r>
              <w:rPr>
                <w:i/>
                <w:noProof/>
                <w:sz w:val="22"/>
              </w:rPr>
              <w:t>зготвяне на техните мотивирани становища съгласно Протокол № 2 от Договора за функционирането на Европейския съюз (ДФЕС), както и от Европейския парламент и от Съвета като законодатели на ЕС. Таблицата е предназначена да се използва и при инициативи от гру</w:t>
            </w:r>
            <w:r>
              <w:rPr>
                <w:i/>
                <w:noProof/>
                <w:sz w:val="22"/>
              </w:rPr>
              <w:t>па от държави членки, искания на Съда, препоръки на Европейската централна банка и искания на Европейската инвестиционна банка, които целят приемането на законодателни актове (член 3 от Протокол № 2).</w:t>
            </w:r>
          </w:p>
          <w:p w:rsidR="00456C04" w:rsidRDefault="00FF3CF7">
            <w:pPr>
              <w:spacing w:after="120"/>
              <w:rPr>
                <w:i/>
                <w:noProof/>
                <w:sz w:val="22"/>
                <w:szCs w:val="22"/>
              </w:rPr>
            </w:pPr>
            <w:r>
              <w:rPr>
                <w:i/>
                <w:noProof/>
                <w:sz w:val="22"/>
              </w:rPr>
              <w:t>Чрез принципа на субсидиарност се определя дали е оправ</w:t>
            </w:r>
            <w:r>
              <w:rPr>
                <w:i/>
                <w:noProof/>
                <w:sz w:val="22"/>
              </w:rPr>
              <w:t xml:space="preserve">дано Съюзът да действа в рамките на споделената или подпомагащата компетентност, с които разполага съгласно Договорите, или дали е по-удачно държавите членки да действат на съответното национално, регионално или местно равнище. За успешното преминаване на </w:t>
            </w:r>
            <w:r>
              <w:rPr>
                <w:i/>
                <w:noProof/>
                <w:sz w:val="22"/>
              </w:rPr>
              <w:t xml:space="preserve">проверката за субсидиарност е необходимо да бъдат спазени и двата кумулативни аспекта за </w:t>
            </w:r>
            <w:r>
              <w:rPr>
                <w:i/>
                <w:noProof/>
                <w:sz w:val="22"/>
                <w:u w:val="single"/>
              </w:rPr>
              <w:t>необходимост от действие на равнище ЕС</w:t>
            </w:r>
            <w:r>
              <w:rPr>
                <w:i/>
                <w:noProof/>
                <w:sz w:val="22"/>
              </w:rPr>
              <w:t xml:space="preserve"> и </w:t>
            </w:r>
            <w:r>
              <w:rPr>
                <w:i/>
                <w:noProof/>
                <w:sz w:val="22"/>
                <w:u w:val="single"/>
              </w:rPr>
              <w:t>европейска добавена стойност</w:t>
            </w:r>
            <w:r>
              <w:rPr>
                <w:i/>
                <w:noProof/>
                <w:sz w:val="22"/>
              </w:rPr>
              <w:t>. Те са разяснени допълнително по-долу.</w:t>
            </w:r>
          </w:p>
          <w:p w:rsidR="00456C04" w:rsidRDefault="00FF3CF7">
            <w:pPr>
              <w:spacing w:after="120"/>
              <w:rPr>
                <w:i/>
                <w:noProof/>
                <w:sz w:val="22"/>
                <w:szCs w:val="22"/>
              </w:rPr>
            </w:pPr>
            <w:r>
              <w:rPr>
                <w:i/>
                <w:noProof/>
                <w:sz w:val="22"/>
              </w:rPr>
              <w:t>Чрез принципа на пропорционалност се гарантира, че интензи</w:t>
            </w:r>
            <w:r>
              <w:rPr>
                <w:i/>
                <w:noProof/>
                <w:sz w:val="22"/>
              </w:rPr>
              <w:t>вността на законодателните задължения или политическият подход отговарят на планираните цели на политиката или законодателството. Това означава, че съдържанието и формата на действието на Съюза не трябва да надхвърлят необходимото за постигане на целите.</w:t>
            </w:r>
          </w:p>
          <w:p w:rsidR="00456C04" w:rsidRDefault="00FF3CF7">
            <w:pPr>
              <w:spacing w:after="120"/>
              <w:rPr>
                <w:i/>
                <w:noProof/>
                <w:sz w:val="22"/>
                <w:szCs w:val="22"/>
              </w:rPr>
            </w:pPr>
            <w:r>
              <w:rPr>
                <w:i/>
                <w:noProof/>
                <w:sz w:val="22"/>
              </w:rPr>
              <w:t>О</w:t>
            </w:r>
            <w:r>
              <w:rPr>
                <w:i/>
                <w:noProof/>
                <w:sz w:val="22"/>
              </w:rPr>
              <w:t>ценките на въздействието, които Европейската комисия изготвя в подкрепа на предложенията си, включват оценка на субсидиарността и пропорционалността. Освен това всяко предложение на Комисията ще бъде придружено от обяснителен меморандум, който също предста</w:t>
            </w:r>
            <w:r>
              <w:rPr>
                <w:i/>
                <w:noProof/>
                <w:sz w:val="22"/>
              </w:rPr>
              <w:t>вя оценката на Комисията на субсидиарността и пропорционалността, тъй като това е изискване съгласно Протокол № 2 към ДФЕС наред с изискванията да се извършват широки консултации преди предлагането на законодателен акт, както и да се отчитат местните и рег</w:t>
            </w:r>
            <w:r>
              <w:rPr>
                <w:i/>
                <w:noProof/>
                <w:sz w:val="22"/>
              </w:rPr>
              <w:t>ионалните измерения на предвиденото действие.</w:t>
            </w:r>
          </w:p>
          <w:p w:rsidR="00456C04" w:rsidRDefault="00FF3CF7">
            <w:pPr>
              <w:spacing w:after="120"/>
              <w:rPr>
                <w:i/>
                <w:noProof/>
                <w:sz w:val="22"/>
                <w:szCs w:val="22"/>
              </w:rPr>
            </w:pPr>
            <w:r>
              <w:rPr>
                <w:i/>
                <w:noProof/>
                <w:sz w:val="22"/>
              </w:rPr>
              <w:t>Независимо че тази таблица за оценка се отнася само за субсидиарността и пропорционалността, всяка институция, която я използва, има право да добавя елементи, които са от полза с оглед на нейните собствени вътр</w:t>
            </w:r>
            <w:r>
              <w:rPr>
                <w:i/>
                <w:noProof/>
                <w:sz w:val="22"/>
              </w:rPr>
              <w:t>ешни процеси и приоритети. Така например таблицата може да бъде адаптирана така, че да включва оценка на използването от страна на Комисията на инструментите за по-добро регулиране или политическите аспекти на предложенията на Комисията.</w:t>
            </w:r>
          </w:p>
          <w:p w:rsidR="00456C04" w:rsidRDefault="00FF3CF7">
            <w:pPr>
              <w:spacing w:after="0"/>
              <w:rPr>
                <w:i/>
                <w:noProof/>
              </w:rPr>
            </w:pPr>
            <w:r>
              <w:rPr>
                <w:i/>
                <w:noProof/>
                <w:sz w:val="22"/>
              </w:rPr>
              <w:t>* Не всички въпрос</w:t>
            </w:r>
            <w:r>
              <w:rPr>
                <w:i/>
                <w:noProof/>
                <w:sz w:val="22"/>
              </w:rPr>
              <w:t>и в този образец на таблица за оценка се отнасят за всички институции.</w:t>
            </w:r>
          </w:p>
        </w:tc>
      </w:tr>
    </w:tbl>
    <w:p w:rsidR="00456C04" w:rsidRDefault="00456C04">
      <w:pPr>
        <w:spacing w:after="0"/>
        <w:jc w:val="left"/>
        <w:rPr>
          <w:noProof/>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8834"/>
      </w:tblGrid>
      <w:tr w:rsidR="00456C04">
        <w:tc>
          <w:tcPr>
            <w:tcW w:w="8834" w:type="dxa"/>
            <w:tcBorders>
              <w:top w:val="double" w:sz="4" w:space="0" w:color="auto"/>
              <w:left w:val="double" w:sz="4" w:space="0" w:color="auto"/>
              <w:bottom w:val="single" w:sz="4" w:space="0" w:color="auto"/>
              <w:right w:val="double" w:sz="4" w:space="0" w:color="auto"/>
            </w:tcBorders>
            <w:shd w:val="clear" w:color="auto" w:fill="C6D9F1" w:themeFill="text2" w:themeFillTint="33"/>
            <w:tcMar>
              <w:top w:w="85" w:type="dxa"/>
              <w:left w:w="108" w:type="dxa"/>
              <w:bottom w:w="85" w:type="dxa"/>
              <w:right w:w="108" w:type="dxa"/>
            </w:tcMar>
            <w:hideMark/>
          </w:tcPr>
          <w:p w:rsidR="00456C04" w:rsidRDefault="00FF3CF7">
            <w:pPr>
              <w:pStyle w:val="ListParagraph"/>
              <w:numPr>
                <w:ilvl w:val="0"/>
                <w:numId w:val="28"/>
              </w:numPr>
              <w:spacing w:after="0"/>
              <w:jc w:val="center"/>
              <w:rPr>
                <w:b/>
                <w:i/>
                <w:noProof/>
                <w:sz w:val="22"/>
                <w:szCs w:val="22"/>
              </w:rPr>
            </w:pPr>
            <w:r>
              <w:rPr>
                <w:b/>
                <w:i/>
                <w:noProof/>
                <w:sz w:val="22"/>
              </w:rPr>
              <w:t>Може ли Съюзът да действа? Какво е правното основание и компетентност на планираното действие на Съюза?</w:t>
            </w:r>
          </w:p>
        </w:tc>
      </w:tr>
      <w:tr w:rsidR="00456C04">
        <w:tc>
          <w:tcPr>
            <w:tcW w:w="8834" w:type="dxa"/>
            <w:tcBorders>
              <w:top w:val="single" w:sz="4" w:space="0" w:color="auto"/>
              <w:left w:val="double" w:sz="4" w:space="0" w:color="auto"/>
              <w:bottom w:val="single" w:sz="4" w:space="0" w:color="auto"/>
              <w:right w:val="double" w:sz="4" w:space="0" w:color="auto"/>
            </w:tcBorders>
            <w:tcMar>
              <w:top w:w="85" w:type="dxa"/>
              <w:left w:w="108" w:type="dxa"/>
              <w:bottom w:w="85" w:type="dxa"/>
              <w:right w:w="108" w:type="dxa"/>
            </w:tcMar>
            <w:hideMark/>
          </w:tcPr>
          <w:p w:rsidR="00456C04" w:rsidRDefault="00FF3CF7">
            <w:pPr>
              <w:spacing w:after="0"/>
              <w:rPr>
                <w:b/>
                <w:noProof/>
                <w:sz w:val="22"/>
                <w:szCs w:val="22"/>
              </w:rPr>
            </w:pPr>
            <w:r>
              <w:rPr>
                <w:b/>
                <w:noProof/>
                <w:sz w:val="22"/>
              </w:rPr>
              <w:t xml:space="preserve">1.1 Кой член или кои членове от Договора се използват в подкрепа на </w:t>
            </w:r>
            <w:r>
              <w:rPr>
                <w:b/>
                <w:noProof/>
                <w:sz w:val="22"/>
              </w:rPr>
              <w:t>законодателното предложение или политическата инициатива?</w:t>
            </w:r>
          </w:p>
        </w:tc>
      </w:tr>
      <w:tr w:rsidR="00456C04">
        <w:tc>
          <w:tcPr>
            <w:tcW w:w="8834" w:type="dxa"/>
            <w:tcBorders>
              <w:top w:val="single" w:sz="4" w:space="0" w:color="auto"/>
              <w:left w:val="double" w:sz="4" w:space="0" w:color="auto"/>
              <w:bottom w:val="single" w:sz="4" w:space="0" w:color="auto"/>
              <w:right w:val="double" w:sz="4" w:space="0" w:color="auto"/>
            </w:tcBorders>
            <w:tcMar>
              <w:top w:w="85" w:type="dxa"/>
              <w:left w:w="108" w:type="dxa"/>
              <w:bottom w:w="85" w:type="dxa"/>
              <w:right w:w="108" w:type="dxa"/>
            </w:tcMar>
          </w:tcPr>
          <w:p w:rsidR="00456C04" w:rsidRDefault="00456C04">
            <w:pPr>
              <w:spacing w:after="0"/>
              <w:rPr>
                <w:noProof/>
                <w:sz w:val="22"/>
                <w:szCs w:val="22"/>
              </w:rPr>
            </w:pPr>
          </w:p>
        </w:tc>
      </w:tr>
      <w:tr w:rsidR="00456C04">
        <w:tc>
          <w:tcPr>
            <w:tcW w:w="8834" w:type="dxa"/>
            <w:tcBorders>
              <w:top w:val="single" w:sz="4" w:space="0" w:color="auto"/>
              <w:left w:val="double" w:sz="4" w:space="0" w:color="auto"/>
              <w:bottom w:val="single" w:sz="4" w:space="0" w:color="auto"/>
              <w:right w:val="double" w:sz="4" w:space="0" w:color="auto"/>
            </w:tcBorders>
            <w:tcMar>
              <w:top w:w="85" w:type="dxa"/>
              <w:left w:w="108" w:type="dxa"/>
              <w:bottom w:w="85" w:type="dxa"/>
              <w:right w:w="108" w:type="dxa"/>
            </w:tcMar>
            <w:hideMark/>
          </w:tcPr>
          <w:p w:rsidR="00456C04" w:rsidRDefault="00FF3CF7">
            <w:pPr>
              <w:spacing w:after="0"/>
              <w:rPr>
                <w:b/>
                <w:noProof/>
                <w:sz w:val="22"/>
                <w:szCs w:val="22"/>
              </w:rPr>
            </w:pPr>
            <w:r>
              <w:rPr>
                <w:b/>
                <w:noProof/>
                <w:sz w:val="22"/>
              </w:rPr>
              <w:t>1.2 Каква по характер е компетентността на Съюза, представена в този член от Договора — изключителна, споделена или подпомагаща?</w:t>
            </w:r>
          </w:p>
        </w:tc>
      </w:tr>
      <w:tr w:rsidR="00456C04">
        <w:tc>
          <w:tcPr>
            <w:tcW w:w="8834" w:type="dxa"/>
            <w:tcBorders>
              <w:top w:val="single" w:sz="4" w:space="0" w:color="auto"/>
              <w:left w:val="double" w:sz="4" w:space="0" w:color="auto"/>
              <w:bottom w:val="single" w:sz="4" w:space="0" w:color="auto"/>
              <w:right w:val="double" w:sz="4" w:space="0" w:color="auto"/>
            </w:tcBorders>
            <w:tcMar>
              <w:top w:w="85" w:type="dxa"/>
              <w:left w:w="108" w:type="dxa"/>
              <w:bottom w:w="85" w:type="dxa"/>
              <w:right w:w="108" w:type="dxa"/>
            </w:tcMar>
          </w:tcPr>
          <w:p w:rsidR="00456C04" w:rsidRDefault="00456C04">
            <w:pPr>
              <w:spacing w:after="0"/>
              <w:rPr>
                <w:noProof/>
                <w:sz w:val="22"/>
                <w:szCs w:val="22"/>
              </w:rPr>
            </w:pPr>
          </w:p>
        </w:tc>
      </w:tr>
      <w:tr w:rsidR="00456C04">
        <w:tc>
          <w:tcPr>
            <w:tcW w:w="8834" w:type="dxa"/>
            <w:tcBorders>
              <w:top w:val="single" w:sz="4" w:space="0" w:color="auto"/>
              <w:left w:val="double" w:sz="4" w:space="0" w:color="auto"/>
              <w:bottom w:val="double" w:sz="4" w:space="0" w:color="auto"/>
              <w:right w:val="double" w:sz="4" w:space="0" w:color="auto"/>
            </w:tcBorders>
            <w:tcMar>
              <w:top w:w="85" w:type="dxa"/>
              <w:left w:w="108" w:type="dxa"/>
              <w:bottom w:w="85" w:type="dxa"/>
              <w:right w:w="108" w:type="dxa"/>
            </w:tcMar>
            <w:hideMark/>
          </w:tcPr>
          <w:p w:rsidR="00456C04" w:rsidRDefault="00FF3CF7">
            <w:pPr>
              <w:spacing w:after="0"/>
              <w:rPr>
                <w:i/>
                <w:noProof/>
                <w:sz w:val="22"/>
                <w:szCs w:val="22"/>
              </w:rPr>
            </w:pPr>
            <w:r>
              <w:rPr>
                <w:i/>
                <w:noProof/>
                <w:sz w:val="22"/>
              </w:rPr>
              <w:t xml:space="preserve">Субсидиарността не се прилага за области на политиката, в които Съюзът има </w:t>
            </w:r>
            <w:r>
              <w:rPr>
                <w:i/>
                <w:noProof/>
                <w:sz w:val="22"/>
                <w:u w:val="single"/>
              </w:rPr>
              <w:t>изключителна</w:t>
            </w:r>
            <w:r>
              <w:rPr>
                <w:i/>
                <w:noProof/>
                <w:sz w:val="22"/>
              </w:rPr>
              <w:t xml:space="preserve"> компетентност, както е определено в член 3 от ДФЕС. Именно конкретното правно основание определя дали предложението попада в рамките на механизма за контрол на субсидиа</w:t>
            </w:r>
            <w:r>
              <w:rPr>
                <w:i/>
                <w:noProof/>
                <w:sz w:val="22"/>
              </w:rPr>
              <w:t>рността. В член 4 от ДФЕС се определят областите, в които компетентността се споделя между Съюза и държавите членки и в член 6 от ДФЕС се определят областите, за които Съюзът разполага с компетентност само да подкрепя действията на държавите членки.</w:t>
            </w:r>
          </w:p>
        </w:tc>
      </w:tr>
    </w:tbl>
    <w:p w:rsidR="00456C04" w:rsidRDefault="00456C04">
      <w:pPr>
        <w:rPr>
          <w:noProof/>
        </w:rPr>
      </w:pPr>
    </w:p>
    <w:tbl>
      <w:tblPr>
        <w:tblStyle w:val="TableGrid"/>
        <w:tblW w:w="8897" w:type="dxa"/>
        <w:tblBorders>
          <w:top w:val="double" w:sz="4" w:space="0" w:color="auto"/>
          <w:left w:val="double" w:sz="4" w:space="0" w:color="auto"/>
          <w:bottom w:val="double" w:sz="4" w:space="0" w:color="auto"/>
          <w:right w:val="double" w:sz="4" w:space="0" w:color="auto"/>
        </w:tblBorders>
        <w:tblCellMar>
          <w:top w:w="85" w:type="dxa"/>
          <w:bottom w:w="85" w:type="dxa"/>
        </w:tblCellMar>
        <w:tblLook w:val="04A0" w:firstRow="1" w:lastRow="0" w:firstColumn="1" w:lastColumn="0" w:noHBand="0" w:noVBand="1"/>
      </w:tblPr>
      <w:tblGrid>
        <w:gridCol w:w="817"/>
        <w:gridCol w:w="8080"/>
      </w:tblGrid>
      <w:tr w:rsidR="00456C04">
        <w:tc>
          <w:tcPr>
            <w:tcW w:w="8897" w:type="dxa"/>
            <w:gridSpan w:val="2"/>
            <w:tcBorders>
              <w:top w:val="double" w:sz="4" w:space="0" w:color="auto"/>
              <w:left w:val="double" w:sz="4" w:space="0" w:color="auto"/>
              <w:bottom w:val="single" w:sz="4" w:space="0" w:color="auto"/>
              <w:right w:val="double" w:sz="4" w:space="0" w:color="auto"/>
            </w:tcBorders>
            <w:shd w:val="clear" w:color="auto" w:fill="C6D9F1" w:themeFill="text2" w:themeFillTint="33"/>
            <w:hideMark/>
          </w:tcPr>
          <w:p w:rsidR="00456C04" w:rsidRDefault="00FF3CF7">
            <w:pPr>
              <w:pStyle w:val="ListParagraph"/>
              <w:numPr>
                <w:ilvl w:val="0"/>
                <w:numId w:val="28"/>
              </w:numPr>
              <w:spacing w:after="0"/>
              <w:jc w:val="center"/>
              <w:rPr>
                <w:b/>
                <w:i/>
                <w:noProof/>
              </w:rPr>
            </w:pPr>
            <w:r>
              <w:rPr>
                <w:b/>
                <w:i/>
                <w:noProof/>
              </w:rPr>
              <w:t>Принцип на субсидиарност: Защо е необходимо ЕС да предприеме действия?</w:t>
            </w:r>
          </w:p>
        </w:tc>
      </w:tr>
      <w:tr w:rsidR="00456C04">
        <w:tc>
          <w:tcPr>
            <w:tcW w:w="8897" w:type="dxa"/>
            <w:gridSpan w:val="2"/>
            <w:tcBorders>
              <w:top w:val="single" w:sz="4" w:space="0" w:color="auto"/>
              <w:left w:val="double" w:sz="4" w:space="0" w:color="auto"/>
              <w:bottom w:val="single" w:sz="4" w:space="0" w:color="auto"/>
              <w:right w:val="double" w:sz="4" w:space="0" w:color="auto"/>
            </w:tcBorders>
            <w:hideMark/>
          </w:tcPr>
          <w:p w:rsidR="00456C04" w:rsidRDefault="00FF3CF7">
            <w:pPr>
              <w:spacing w:after="120"/>
              <w:jc w:val="left"/>
              <w:rPr>
                <w:b/>
                <w:noProof/>
                <w:sz w:val="22"/>
                <w:szCs w:val="22"/>
              </w:rPr>
            </w:pPr>
            <w:r>
              <w:rPr>
                <w:b/>
                <w:noProof/>
                <w:sz w:val="22"/>
              </w:rPr>
              <w:t>2.1 Изпълнява ли предложението процедурните изисквания от Протокол № 2:</w:t>
            </w:r>
          </w:p>
          <w:p w:rsidR="00456C04" w:rsidRDefault="00FF3CF7">
            <w:pPr>
              <w:pStyle w:val="ListDash1"/>
              <w:tabs>
                <w:tab w:val="left" w:pos="720"/>
              </w:tabs>
              <w:spacing w:after="120"/>
              <w:ind w:left="426" w:hanging="284"/>
              <w:rPr>
                <w:noProof/>
                <w:sz w:val="22"/>
                <w:szCs w:val="22"/>
              </w:rPr>
            </w:pPr>
            <w:r>
              <w:rPr>
                <w:noProof/>
                <w:sz w:val="22"/>
              </w:rPr>
              <w:t>Проведени ли са широки консултации преди предлагането на акта?</w:t>
            </w:r>
          </w:p>
          <w:p w:rsidR="00456C04" w:rsidRDefault="00FF3CF7">
            <w:pPr>
              <w:pStyle w:val="ListDash1"/>
              <w:tabs>
                <w:tab w:val="left" w:pos="720"/>
              </w:tabs>
              <w:spacing w:after="120"/>
              <w:ind w:left="426" w:hanging="284"/>
              <w:rPr>
                <w:b/>
                <w:noProof/>
              </w:rPr>
            </w:pPr>
            <w:r>
              <w:rPr>
                <w:noProof/>
                <w:sz w:val="22"/>
              </w:rPr>
              <w:t xml:space="preserve">Има ли подробна декларация с количествени и, по </w:t>
            </w:r>
            <w:r>
              <w:rPr>
                <w:noProof/>
                <w:sz w:val="22"/>
              </w:rPr>
              <w:t>възможност, качествени показатели, които дават възможност за оценка на това дали действието може да бъде постигнато най-добре на равнището на Съюза?</w:t>
            </w:r>
          </w:p>
        </w:tc>
      </w:tr>
      <w:tr w:rsidR="00456C04">
        <w:tc>
          <w:tcPr>
            <w:tcW w:w="8897" w:type="dxa"/>
            <w:gridSpan w:val="2"/>
            <w:tcBorders>
              <w:top w:val="single" w:sz="4" w:space="0" w:color="auto"/>
              <w:left w:val="double" w:sz="4" w:space="0" w:color="auto"/>
              <w:bottom w:val="single" w:sz="4" w:space="0" w:color="auto"/>
              <w:right w:val="double" w:sz="4" w:space="0" w:color="auto"/>
            </w:tcBorders>
          </w:tcPr>
          <w:p w:rsidR="00456C04" w:rsidRDefault="00456C04">
            <w:pPr>
              <w:spacing w:after="0"/>
              <w:rPr>
                <w:b/>
                <w:noProof/>
              </w:rPr>
            </w:pPr>
          </w:p>
        </w:tc>
      </w:tr>
      <w:tr w:rsidR="00456C04">
        <w:tc>
          <w:tcPr>
            <w:tcW w:w="8897" w:type="dxa"/>
            <w:gridSpan w:val="2"/>
            <w:tcBorders>
              <w:top w:val="single" w:sz="4" w:space="0" w:color="auto"/>
              <w:left w:val="double" w:sz="4" w:space="0" w:color="auto"/>
              <w:bottom w:val="single" w:sz="4" w:space="0" w:color="auto"/>
              <w:right w:val="double" w:sz="4" w:space="0" w:color="auto"/>
            </w:tcBorders>
            <w:hideMark/>
          </w:tcPr>
          <w:p w:rsidR="00456C04" w:rsidRDefault="00FF3CF7">
            <w:pPr>
              <w:spacing w:after="0"/>
              <w:rPr>
                <w:b/>
                <w:noProof/>
              </w:rPr>
            </w:pPr>
            <w:r>
              <w:rPr>
                <w:b/>
                <w:noProof/>
              </w:rPr>
              <w:t xml:space="preserve">2.2 Съдържа ли обяснителният меморандум (и всяка оценка на въздействието), придружаващ предложението на </w:t>
            </w:r>
            <w:r>
              <w:rPr>
                <w:b/>
                <w:noProof/>
              </w:rPr>
              <w:t>Комисията, подходящо основание относно спазването на принципа на субсидиарност?</w:t>
            </w:r>
          </w:p>
        </w:tc>
      </w:tr>
      <w:tr w:rsidR="00456C04">
        <w:tc>
          <w:tcPr>
            <w:tcW w:w="8897" w:type="dxa"/>
            <w:gridSpan w:val="2"/>
            <w:tcBorders>
              <w:top w:val="single" w:sz="4" w:space="0" w:color="auto"/>
              <w:left w:val="double" w:sz="4" w:space="0" w:color="auto"/>
              <w:bottom w:val="single" w:sz="4" w:space="0" w:color="auto"/>
              <w:right w:val="double" w:sz="4" w:space="0" w:color="auto"/>
            </w:tcBorders>
          </w:tcPr>
          <w:p w:rsidR="00456C04" w:rsidRDefault="00456C04">
            <w:pPr>
              <w:spacing w:after="0"/>
              <w:rPr>
                <w:b/>
                <w:noProof/>
              </w:rPr>
            </w:pPr>
          </w:p>
        </w:tc>
      </w:tr>
      <w:tr w:rsidR="00456C04">
        <w:tc>
          <w:tcPr>
            <w:tcW w:w="8897" w:type="dxa"/>
            <w:gridSpan w:val="2"/>
            <w:tcBorders>
              <w:top w:val="single" w:sz="4" w:space="0" w:color="auto"/>
              <w:left w:val="double" w:sz="4" w:space="0" w:color="auto"/>
              <w:bottom w:val="single" w:sz="4" w:space="0" w:color="auto"/>
              <w:right w:val="double" w:sz="4" w:space="0" w:color="auto"/>
            </w:tcBorders>
            <w:hideMark/>
          </w:tcPr>
          <w:p w:rsidR="00456C04" w:rsidRDefault="00FF3CF7">
            <w:pPr>
              <w:spacing w:after="0"/>
              <w:rPr>
                <w:b/>
                <w:noProof/>
              </w:rPr>
            </w:pPr>
            <w:r>
              <w:rPr>
                <w:b/>
                <w:noProof/>
              </w:rPr>
              <w:t xml:space="preserve">2.3. Въз основа на отговорите на въпросите по-долу могат ли целите на предложеното действие да бъдат постигнати в задоволителна степен, ако държавите членки действат сами </w:t>
            </w:r>
            <w:r>
              <w:rPr>
                <w:b/>
                <w:noProof/>
              </w:rPr>
              <w:t>(необходимо за действие на ЕС)?</w:t>
            </w:r>
          </w:p>
        </w:tc>
      </w:tr>
      <w:tr w:rsidR="00456C04">
        <w:tc>
          <w:tcPr>
            <w:tcW w:w="8897" w:type="dxa"/>
            <w:gridSpan w:val="2"/>
            <w:tcBorders>
              <w:top w:val="single" w:sz="4" w:space="0" w:color="auto"/>
              <w:left w:val="double" w:sz="4" w:space="0" w:color="auto"/>
              <w:bottom w:val="single" w:sz="4" w:space="0" w:color="auto"/>
              <w:right w:val="double" w:sz="4" w:space="0" w:color="auto"/>
            </w:tcBorders>
          </w:tcPr>
          <w:p w:rsidR="00456C04" w:rsidRDefault="00456C04">
            <w:pPr>
              <w:spacing w:after="0"/>
              <w:rPr>
                <w:noProof/>
              </w:rPr>
            </w:pPr>
          </w:p>
          <w:p w:rsidR="00456C04" w:rsidRDefault="00456C04">
            <w:pPr>
              <w:spacing w:after="0"/>
              <w:rPr>
                <w:noProof/>
              </w:rPr>
            </w:pPr>
          </w:p>
        </w:tc>
      </w:tr>
      <w:tr w:rsidR="00456C04">
        <w:trPr>
          <w:trHeight w:val="453"/>
        </w:trPr>
        <w:tc>
          <w:tcPr>
            <w:tcW w:w="817" w:type="dxa"/>
            <w:vMerge w:val="restart"/>
            <w:tcBorders>
              <w:top w:val="single" w:sz="4" w:space="0" w:color="auto"/>
              <w:left w:val="double" w:sz="4" w:space="0" w:color="auto"/>
              <w:bottom w:val="single" w:sz="4" w:space="0" w:color="auto"/>
              <w:right w:val="single" w:sz="4" w:space="0" w:color="auto"/>
            </w:tcBorders>
            <w:vAlign w:val="center"/>
            <w:hideMark/>
          </w:tcPr>
          <w:p w:rsidR="00456C04" w:rsidRDefault="00FF3CF7">
            <w:pPr>
              <w:spacing w:after="0"/>
              <w:jc w:val="center"/>
              <w:rPr>
                <w:noProof/>
              </w:rPr>
            </w:pPr>
            <w:r>
              <w:rPr>
                <w:noProof/>
              </w:rPr>
              <w:t>а)</w:t>
            </w:r>
          </w:p>
        </w:tc>
        <w:tc>
          <w:tcPr>
            <w:tcW w:w="8080" w:type="dxa"/>
            <w:tcBorders>
              <w:top w:val="single" w:sz="4" w:space="0" w:color="auto"/>
              <w:left w:val="single" w:sz="4" w:space="0" w:color="auto"/>
              <w:bottom w:val="single" w:sz="4" w:space="0" w:color="auto"/>
              <w:right w:val="double" w:sz="4" w:space="0" w:color="auto"/>
            </w:tcBorders>
            <w:vAlign w:val="center"/>
            <w:hideMark/>
          </w:tcPr>
          <w:p w:rsidR="00456C04" w:rsidRDefault="00FF3CF7">
            <w:pPr>
              <w:spacing w:after="0"/>
              <w:jc w:val="left"/>
              <w:rPr>
                <w:noProof/>
                <w:sz w:val="22"/>
                <w:szCs w:val="22"/>
              </w:rPr>
            </w:pPr>
            <w:r>
              <w:rPr>
                <w:noProof/>
                <w:sz w:val="22"/>
              </w:rPr>
              <w:t xml:space="preserve">Има ли значителни/осезаеми транснационални/трансгранични аспекти на проблемите, по които се предприемат мерки? Направена ли им е количествена оценка? </w:t>
            </w:r>
          </w:p>
        </w:tc>
      </w:tr>
      <w:tr w:rsidR="00456C04">
        <w:trPr>
          <w:trHeight w:val="444"/>
        </w:trPr>
        <w:tc>
          <w:tcPr>
            <w:tcW w:w="0" w:type="auto"/>
            <w:vMerge/>
            <w:tcBorders>
              <w:top w:val="single" w:sz="4" w:space="0" w:color="auto"/>
              <w:left w:val="double" w:sz="4" w:space="0" w:color="auto"/>
              <w:bottom w:val="single" w:sz="4" w:space="0" w:color="auto"/>
              <w:right w:val="single" w:sz="4" w:space="0" w:color="auto"/>
            </w:tcBorders>
            <w:vAlign w:val="center"/>
            <w:hideMark/>
          </w:tcPr>
          <w:p w:rsidR="00456C04" w:rsidRDefault="00456C04">
            <w:pPr>
              <w:spacing w:after="0"/>
              <w:jc w:val="left"/>
              <w:rPr>
                <w:noProof/>
              </w:rPr>
            </w:pPr>
          </w:p>
        </w:tc>
        <w:tc>
          <w:tcPr>
            <w:tcW w:w="8080" w:type="dxa"/>
            <w:tcBorders>
              <w:top w:val="single" w:sz="4" w:space="0" w:color="auto"/>
              <w:left w:val="single" w:sz="4" w:space="0" w:color="auto"/>
              <w:bottom w:val="single" w:sz="4" w:space="0" w:color="auto"/>
              <w:right w:val="double" w:sz="4" w:space="0" w:color="auto"/>
            </w:tcBorders>
            <w:vAlign w:val="center"/>
          </w:tcPr>
          <w:p w:rsidR="00456C04" w:rsidRDefault="00456C04">
            <w:pPr>
              <w:spacing w:after="0"/>
              <w:jc w:val="left"/>
              <w:rPr>
                <w:noProof/>
                <w:sz w:val="22"/>
                <w:szCs w:val="22"/>
              </w:rPr>
            </w:pPr>
          </w:p>
        </w:tc>
      </w:tr>
      <w:tr w:rsidR="00456C04">
        <w:trPr>
          <w:trHeight w:val="444"/>
        </w:trPr>
        <w:tc>
          <w:tcPr>
            <w:tcW w:w="817" w:type="dxa"/>
            <w:vMerge w:val="restart"/>
            <w:tcBorders>
              <w:top w:val="single" w:sz="4" w:space="0" w:color="auto"/>
              <w:left w:val="double" w:sz="4" w:space="0" w:color="auto"/>
              <w:bottom w:val="single" w:sz="4" w:space="0" w:color="auto"/>
              <w:right w:val="single" w:sz="4" w:space="0" w:color="auto"/>
            </w:tcBorders>
            <w:vAlign w:val="center"/>
            <w:hideMark/>
          </w:tcPr>
          <w:p w:rsidR="00456C04" w:rsidRDefault="00FF3CF7">
            <w:pPr>
              <w:spacing w:after="0"/>
              <w:jc w:val="center"/>
              <w:rPr>
                <w:noProof/>
              </w:rPr>
            </w:pPr>
            <w:r>
              <w:rPr>
                <w:noProof/>
              </w:rPr>
              <w:t>б)</w:t>
            </w:r>
          </w:p>
        </w:tc>
        <w:tc>
          <w:tcPr>
            <w:tcW w:w="8080" w:type="dxa"/>
            <w:tcBorders>
              <w:top w:val="single" w:sz="4" w:space="0" w:color="auto"/>
              <w:left w:val="single" w:sz="4" w:space="0" w:color="auto"/>
              <w:bottom w:val="single" w:sz="4" w:space="0" w:color="auto"/>
              <w:right w:val="double" w:sz="4" w:space="0" w:color="auto"/>
            </w:tcBorders>
            <w:vAlign w:val="center"/>
            <w:hideMark/>
          </w:tcPr>
          <w:p w:rsidR="00456C04" w:rsidRDefault="00FF3CF7">
            <w:pPr>
              <w:spacing w:after="0"/>
              <w:jc w:val="left"/>
              <w:rPr>
                <w:noProof/>
                <w:sz w:val="22"/>
                <w:szCs w:val="22"/>
              </w:rPr>
            </w:pPr>
            <w:r>
              <w:rPr>
                <w:noProof/>
                <w:sz w:val="22"/>
              </w:rPr>
              <w:t xml:space="preserve">Биха ли противоречали националните действия или липсата на действие на равнището на ЕС на основните цели на Договора или биха ли накърнили значително интересите на други държави членки? </w:t>
            </w:r>
          </w:p>
        </w:tc>
      </w:tr>
      <w:tr w:rsidR="00456C04">
        <w:trPr>
          <w:trHeight w:val="444"/>
        </w:trPr>
        <w:tc>
          <w:tcPr>
            <w:tcW w:w="0" w:type="auto"/>
            <w:vMerge/>
            <w:tcBorders>
              <w:top w:val="single" w:sz="4" w:space="0" w:color="auto"/>
              <w:left w:val="double" w:sz="4" w:space="0" w:color="auto"/>
              <w:bottom w:val="single" w:sz="4" w:space="0" w:color="auto"/>
              <w:right w:val="single" w:sz="4" w:space="0" w:color="auto"/>
            </w:tcBorders>
            <w:vAlign w:val="center"/>
            <w:hideMark/>
          </w:tcPr>
          <w:p w:rsidR="00456C04" w:rsidRDefault="00456C04">
            <w:pPr>
              <w:spacing w:after="0"/>
              <w:jc w:val="left"/>
              <w:rPr>
                <w:noProof/>
              </w:rPr>
            </w:pPr>
          </w:p>
        </w:tc>
        <w:tc>
          <w:tcPr>
            <w:tcW w:w="8080" w:type="dxa"/>
            <w:tcBorders>
              <w:top w:val="single" w:sz="4" w:space="0" w:color="auto"/>
              <w:left w:val="single" w:sz="4" w:space="0" w:color="auto"/>
              <w:bottom w:val="single" w:sz="4" w:space="0" w:color="auto"/>
              <w:right w:val="double" w:sz="4" w:space="0" w:color="auto"/>
            </w:tcBorders>
            <w:vAlign w:val="center"/>
          </w:tcPr>
          <w:p w:rsidR="00456C04" w:rsidRDefault="00456C04">
            <w:pPr>
              <w:spacing w:after="0"/>
              <w:jc w:val="left"/>
              <w:rPr>
                <w:noProof/>
                <w:sz w:val="22"/>
                <w:szCs w:val="22"/>
              </w:rPr>
            </w:pPr>
          </w:p>
        </w:tc>
      </w:tr>
      <w:tr w:rsidR="00456C04">
        <w:trPr>
          <w:trHeight w:val="444"/>
        </w:trPr>
        <w:tc>
          <w:tcPr>
            <w:tcW w:w="817" w:type="dxa"/>
            <w:vMerge w:val="restart"/>
            <w:tcBorders>
              <w:top w:val="single" w:sz="4" w:space="0" w:color="auto"/>
              <w:left w:val="double" w:sz="4" w:space="0" w:color="auto"/>
              <w:bottom w:val="single" w:sz="4" w:space="0" w:color="auto"/>
              <w:right w:val="single" w:sz="4" w:space="0" w:color="auto"/>
            </w:tcBorders>
            <w:vAlign w:val="center"/>
            <w:hideMark/>
          </w:tcPr>
          <w:p w:rsidR="00456C04" w:rsidRDefault="00FF3CF7">
            <w:pPr>
              <w:spacing w:after="0"/>
              <w:jc w:val="center"/>
              <w:rPr>
                <w:noProof/>
              </w:rPr>
            </w:pPr>
            <w:r>
              <w:rPr>
                <w:noProof/>
              </w:rPr>
              <w:t>в)</w:t>
            </w:r>
          </w:p>
        </w:tc>
        <w:tc>
          <w:tcPr>
            <w:tcW w:w="8080" w:type="dxa"/>
            <w:tcBorders>
              <w:top w:val="single" w:sz="4" w:space="0" w:color="auto"/>
              <w:left w:val="single" w:sz="4" w:space="0" w:color="auto"/>
              <w:bottom w:val="single" w:sz="4" w:space="0" w:color="auto"/>
              <w:right w:val="double" w:sz="4" w:space="0" w:color="auto"/>
            </w:tcBorders>
            <w:vAlign w:val="center"/>
            <w:hideMark/>
          </w:tcPr>
          <w:p w:rsidR="00456C04" w:rsidRDefault="00FF3CF7">
            <w:pPr>
              <w:spacing w:after="0"/>
              <w:jc w:val="left"/>
              <w:rPr>
                <w:noProof/>
                <w:sz w:val="22"/>
                <w:szCs w:val="22"/>
              </w:rPr>
            </w:pPr>
            <w:r>
              <w:rPr>
                <w:noProof/>
                <w:sz w:val="22"/>
              </w:rPr>
              <w:t xml:space="preserve">До каква степен държавите членки са в състояние или имат възможност да приложат на практика адекватни мерки? </w:t>
            </w:r>
          </w:p>
        </w:tc>
      </w:tr>
      <w:tr w:rsidR="00456C04">
        <w:trPr>
          <w:trHeight w:val="444"/>
        </w:trPr>
        <w:tc>
          <w:tcPr>
            <w:tcW w:w="0" w:type="auto"/>
            <w:vMerge/>
            <w:tcBorders>
              <w:top w:val="single" w:sz="4" w:space="0" w:color="auto"/>
              <w:left w:val="double" w:sz="4" w:space="0" w:color="auto"/>
              <w:bottom w:val="single" w:sz="4" w:space="0" w:color="auto"/>
              <w:right w:val="single" w:sz="4" w:space="0" w:color="auto"/>
            </w:tcBorders>
            <w:vAlign w:val="center"/>
            <w:hideMark/>
          </w:tcPr>
          <w:p w:rsidR="00456C04" w:rsidRDefault="00456C04">
            <w:pPr>
              <w:spacing w:after="0"/>
              <w:jc w:val="left"/>
              <w:rPr>
                <w:noProof/>
              </w:rPr>
            </w:pPr>
          </w:p>
        </w:tc>
        <w:tc>
          <w:tcPr>
            <w:tcW w:w="8080" w:type="dxa"/>
            <w:tcBorders>
              <w:top w:val="single" w:sz="4" w:space="0" w:color="auto"/>
              <w:left w:val="single" w:sz="4" w:space="0" w:color="auto"/>
              <w:bottom w:val="single" w:sz="4" w:space="0" w:color="auto"/>
              <w:right w:val="double" w:sz="4" w:space="0" w:color="auto"/>
            </w:tcBorders>
            <w:vAlign w:val="center"/>
          </w:tcPr>
          <w:p w:rsidR="00456C04" w:rsidRDefault="00456C04">
            <w:pPr>
              <w:spacing w:after="0"/>
              <w:jc w:val="left"/>
              <w:rPr>
                <w:noProof/>
                <w:sz w:val="22"/>
                <w:szCs w:val="22"/>
              </w:rPr>
            </w:pPr>
          </w:p>
        </w:tc>
      </w:tr>
      <w:tr w:rsidR="00456C04">
        <w:trPr>
          <w:trHeight w:val="444"/>
        </w:trPr>
        <w:tc>
          <w:tcPr>
            <w:tcW w:w="817" w:type="dxa"/>
            <w:vMerge w:val="restart"/>
            <w:tcBorders>
              <w:top w:val="single" w:sz="4" w:space="0" w:color="auto"/>
              <w:left w:val="double" w:sz="4" w:space="0" w:color="auto"/>
              <w:bottom w:val="single" w:sz="4" w:space="0" w:color="auto"/>
              <w:right w:val="single" w:sz="4" w:space="0" w:color="auto"/>
            </w:tcBorders>
            <w:vAlign w:val="center"/>
            <w:hideMark/>
          </w:tcPr>
          <w:p w:rsidR="00456C04" w:rsidRDefault="00FF3CF7">
            <w:pPr>
              <w:spacing w:after="0"/>
              <w:jc w:val="center"/>
              <w:rPr>
                <w:noProof/>
              </w:rPr>
            </w:pPr>
            <w:r>
              <w:rPr>
                <w:noProof/>
              </w:rPr>
              <w:t>г)</w:t>
            </w:r>
          </w:p>
        </w:tc>
        <w:tc>
          <w:tcPr>
            <w:tcW w:w="8080" w:type="dxa"/>
            <w:tcBorders>
              <w:top w:val="single" w:sz="4" w:space="0" w:color="auto"/>
              <w:left w:val="single" w:sz="4" w:space="0" w:color="auto"/>
              <w:bottom w:val="single" w:sz="4" w:space="0" w:color="auto"/>
              <w:right w:val="double" w:sz="4" w:space="0" w:color="auto"/>
            </w:tcBorders>
            <w:vAlign w:val="center"/>
            <w:hideMark/>
          </w:tcPr>
          <w:p w:rsidR="00456C04" w:rsidRDefault="00FF3CF7">
            <w:pPr>
              <w:spacing w:after="0"/>
              <w:jc w:val="left"/>
              <w:rPr>
                <w:noProof/>
                <w:sz w:val="22"/>
                <w:szCs w:val="22"/>
              </w:rPr>
            </w:pPr>
            <w:r>
              <w:rPr>
                <w:noProof/>
                <w:sz w:val="22"/>
              </w:rPr>
              <w:t xml:space="preserve">Как проблемът и причините за него (напр. отрицателните външни фактори, въздействие върху други области) варират на националното, регионалното и местното равнище на ЕС? </w:t>
            </w:r>
          </w:p>
        </w:tc>
      </w:tr>
      <w:tr w:rsidR="00456C04">
        <w:trPr>
          <w:trHeight w:val="444"/>
        </w:trPr>
        <w:tc>
          <w:tcPr>
            <w:tcW w:w="0" w:type="auto"/>
            <w:vMerge/>
            <w:tcBorders>
              <w:top w:val="single" w:sz="4" w:space="0" w:color="auto"/>
              <w:left w:val="double" w:sz="4" w:space="0" w:color="auto"/>
              <w:bottom w:val="single" w:sz="4" w:space="0" w:color="auto"/>
              <w:right w:val="single" w:sz="4" w:space="0" w:color="auto"/>
            </w:tcBorders>
            <w:vAlign w:val="center"/>
            <w:hideMark/>
          </w:tcPr>
          <w:p w:rsidR="00456C04" w:rsidRDefault="00456C04">
            <w:pPr>
              <w:spacing w:after="0"/>
              <w:jc w:val="left"/>
              <w:rPr>
                <w:noProof/>
              </w:rPr>
            </w:pPr>
          </w:p>
        </w:tc>
        <w:tc>
          <w:tcPr>
            <w:tcW w:w="8080" w:type="dxa"/>
            <w:tcBorders>
              <w:top w:val="single" w:sz="4" w:space="0" w:color="auto"/>
              <w:left w:val="single" w:sz="4" w:space="0" w:color="auto"/>
              <w:bottom w:val="single" w:sz="4" w:space="0" w:color="auto"/>
              <w:right w:val="double" w:sz="4" w:space="0" w:color="auto"/>
            </w:tcBorders>
            <w:vAlign w:val="center"/>
          </w:tcPr>
          <w:p w:rsidR="00456C04" w:rsidRDefault="00456C04">
            <w:pPr>
              <w:spacing w:after="0"/>
              <w:jc w:val="left"/>
              <w:rPr>
                <w:noProof/>
                <w:sz w:val="22"/>
                <w:szCs w:val="22"/>
              </w:rPr>
            </w:pPr>
          </w:p>
        </w:tc>
      </w:tr>
      <w:tr w:rsidR="00456C04">
        <w:trPr>
          <w:trHeight w:val="444"/>
        </w:trPr>
        <w:tc>
          <w:tcPr>
            <w:tcW w:w="817" w:type="dxa"/>
            <w:vMerge w:val="restart"/>
            <w:tcBorders>
              <w:top w:val="single" w:sz="4" w:space="0" w:color="auto"/>
              <w:left w:val="double" w:sz="4" w:space="0" w:color="auto"/>
              <w:bottom w:val="single" w:sz="4" w:space="0" w:color="auto"/>
              <w:right w:val="single" w:sz="4" w:space="0" w:color="auto"/>
            </w:tcBorders>
            <w:vAlign w:val="center"/>
            <w:hideMark/>
          </w:tcPr>
          <w:p w:rsidR="00456C04" w:rsidRDefault="00FF3CF7">
            <w:pPr>
              <w:spacing w:after="0"/>
              <w:jc w:val="center"/>
              <w:rPr>
                <w:noProof/>
              </w:rPr>
            </w:pPr>
            <w:r>
              <w:rPr>
                <w:noProof/>
              </w:rPr>
              <w:t>д)</w:t>
            </w:r>
          </w:p>
        </w:tc>
        <w:tc>
          <w:tcPr>
            <w:tcW w:w="8080" w:type="dxa"/>
            <w:tcBorders>
              <w:top w:val="single" w:sz="4" w:space="0" w:color="auto"/>
              <w:left w:val="single" w:sz="4" w:space="0" w:color="auto"/>
              <w:bottom w:val="single" w:sz="4" w:space="0" w:color="auto"/>
              <w:right w:val="double" w:sz="4" w:space="0" w:color="auto"/>
            </w:tcBorders>
            <w:vAlign w:val="center"/>
            <w:hideMark/>
          </w:tcPr>
          <w:p w:rsidR="00456C04" w:rsidRDefault="00FF3CF7">
            <w:pPr>
              <w:spacing w:after="0"/>
              <w:jc w:val="left"/>
              <w:rPr>
                <w:noProof/>
                <w:sz w:val="22"/>
                <w:szCs w:val="22"/>
              </w:rPr>
            </w:pPr>
            <w:r>
              <w:rPr>
                <w:noProof/>
                <w:sz w:val="22"/>
              </w:rPr>
              <w:t xml:space="preserve">Широко разпространен ли е проблемът в ЕС или е ограничен до няколко държави членки? </w:t>
            </w:r>
          </w:p>
        </w:tc>
      </w:tr>
      <w:tr w:rsidR="00456C04">
        <w:trPr>
          <w:trHeight w:val="444"/>
        </w:trPr>
        <w:tc>
          <w:tcPr>
            <w:tcW w:w="0" w:type="auto"/>
            <w:vMerge/>
            <w:tcBorders>
              <w:top w:val="single" w:sz="4" w:space="0" w:color="auto"/>
              <w:left w:val="double" w:sz="4" w:space="0" w:color="auto"/>
              <w:bottom w:val="single" w:sz="4" w:space="0" w:color="auto"/>
              <w:right w:val="single" w:sz="4" w:space="0" w:color="auto"/>
            </w:tcBorders>
            <w:vAlign w:val="center"/>
            <w:hideMark/>
          </w:tcPr>
          <w:p w:rsidR="00456C04" w:rsidRDefault="00456C04">
            <w:pPr>
              <w:spacing w:after="0"/>
              <w:jc w:val="left"/>
              <w:rPr>
                <w:noProof/>
              </w:rPr>
            </w:pPr>
          </w:p>
        </w:tc>
        <w:tc>
          <w:tcPr>
            <w:tcW w:w="8080" w:type="dxa"/>
            <w:tcBorders>
              <w:top w:val="single" w:sz="4" w:space="0" w:color="auto"/>
              <w:left w:val="single" w:sz="4" w:space="0" w:color="auto"/>
              <w:bottom w:val="single" w:sz="4" w:space="0" w:color="auto"/>
              <w:right w:val="double" w:sz="4" w:space="0" w:color="auto"/>
            </w:tcBorders>
            <w:vAlign w:val="center"/>
          </w:tcPr>
          <w:p w:rsidR="00456C04" w:rsidRDefault="00456C04">
            <w:pPr>
              <w:spacing w:after="0"/>
              <w:jc w:val="left"/>
              <w:rPr>
                <w:noProof/>
                <w:sz w:val="22"/>
                <w:szCs w:val="22"/>
              </w:rPr>
            </w:pPr>
          </w:p>
        </w:tc>
      </w:tr>
      <w:tr w:rsidR="00456C04">
        <w:trPr>
          <w:trHeight w:val="444"/>
        </w:trPr>
        <w:tc>
          <w:tcPr>
            <w:tcW w:w="817" w:type="dxa"/>
            <w:vMerge w:val="restart"/>
            <w:tcBorders>
              <w:top w:val="single" w:sz="4" w:space="0" w:color="auto"/>
              <w:left w:val="double" w:sz="4" w:space="0" w:color="auto"/>
              <w:bottom w:val="single" w:sz="4" w:space="0" w:color="auto"/>
              <w:right w:val="single" w:sz="4" w:space="0" w:color="auto"/>
            </w:tcBorders>
            <w:vAlign w:val="center"/>
            <w:hideMark/>
          </w:tcPr>
          <w:p w:rsidR="00456C04" w:rsidRDefault="00FF3CF7">
            <w:pPr>
              <w:spacing w:after="0"/>
              <w:jc w:val="center"/>
              <w:rPr>
                <w:noProof/>
              </w:rPr>
            </w:pPr>
            <w:r>
              <w:rPr>
                <w:noProof/>
              </w:rPr>
              <w:t>е)</w:t>
            </w:r>
          </w:p>
        </w:tc>
        <w:tc>
          <w:tcPr>
            <w:tcW w:w="8080" w:type="dxa"/>
            <w:tcBorders>
              <w:top w:val="single" w:sz="4" w:space="0" w:color="auto"/>
              <w:left w:val="single" w:sz="4" w:space="0" w:color="auto"/>
              <w:bottom w:val="single" w:sz="4" w:space="0" w:color="auto"/>
              <w:right w:val="double" w:sz="4" w:space="0" w:color="auto"/>
            </w:tcBorders>
            <w:vAlign w:val="center"/>
            <w:hideMark/>
          </w:tcPr>
          <w:p w:rsidR="00456C04" w:rsidRDefault="00FF3CF7">
            <w:pPr>
              <w:spacing w:after="0"/>
              <w:jc w:val="left"/>
              <w:rPr>
                <w:noProof/>
                <w:sz w:val="22"/>
                <w:szCs w:val="22"/>
              </w:rPr>
            </w:pPr>
            <w:r>
              <w:rPr>
                <w:noProof/>
                <w:sz w:val="22"/>
              </w:rPr>
              <w:t>Претоварени ли са държавите членки при постигането на целите на планираната мярка?</w:t>
            </w:r>
          </w:p>
        </w:tc>
      </w:tr>
      <w:tr w:rsidR="00456C04">
        <w:trPr>
          <w:trHeight w:val="444"/>
        </w:trPr>
        <w:tc>
          <w:tcPr>
            <w:tcW w:w="0" w:type="auto"/>
            <w:vMerge/>
            <w:tcBorders>
              <w:top w:val="single" w:sz="4" w:space="0" w:color="auto"/>
              <w:left w:val="double" w:sz="4" w:space="0" w:color="auto"/>
              <w:bottom w:val="single" w:sz="4" w:space="0" w:color="auto"/>
              <w:right w:val="single" w:sz="4" w:space="0" w:color="auto"/>
            </w:tcBorders>
            <w:vAlign w:val="center"/>
            <w:hideMark/>
          </w:tcPr>
          <w:p w:rsidR="00456C04" w:rsidRDefault="00456C04">
            <w:pPr>
              <w:spacing w:after="0"/>
              <w:jc w:val="left"/>
              <w:rPr>
                <w:noProof/>
              </w:rPr>
            </w:pPr>
          </w:p>
        </w:tc>
        <w:tc>
          <w:tcPr>
            <w:tcW w:w="8080" w:type="dxa"/>
            <w:tcBorders>
              <w:top w:val="single" w:sz="4" w:space="0" w:color="auto"/>
              <w:left w:val="single" w:sz="4" w:space="0" w:color="auto"/>
              <w:bottom w:val="single" w:sz="4" w:space="0" w:color="auto"/>
              <w:right w:val="double" w:sz="4" w:space="0" w:color="auto"/>
            </w:tcBorders>
            <w:vAlign w:val="center"/>
          </w:tcPr>
          <w:p w:rsidR="00456C04" w:rsidRDefault="00456C04">
            <w:pPr>
              <w:spacing w:after="0"/>
              <w:jc w:val="left"/>
              <w:rPr>
                <w:noProof/>
                <w:sz w:val="22"/>
                <w:szCs w:val="22"/>
              </w:rPr>
            </w:pPr>
          </w:p>
        </w:tc>
      </w:tr>
      <w:tr w:rsidR="00456C04">
        <w:trPr>
          <w:trHeight w:val="444"/>
        </w:trPr>
        <w:tc>
          <w:tcPr>
            <w:tcW w:w="817" w:type="dxa"/>
            <w:vMerge w:val="restart"/>
            <w:tcBorders>
              <w:top w:val="single" w:sz="4" w:space="0" w:color="auto"/>
              <w:left w:val="double" w:sz="4" w:space="0" w:color="auto"/>
              <w:bottom w:val="single" w:sz="4" w:space="0" w:color="auto"/>
              <w:right w:val="single" w:sz="4" w:space="0" w:color="auto"/>
            </w:tcBorders>
            <w:vAlign w:val="center"/>
            <w:hideMark/>
          </w:tcPr>
          <w:p w:rsidR="00456C04" w:rsidRDefault="00FF3CF7">
            <w:pPr>
              <w:spacing w:after="0"/>
              <w:jc w:val="center"/>
              <w:rPr>
                <w:noProof/>
              </w:rPr>
            </w:pPr>
            <w:r>
              <w:rPr>
                <w:noProof/>
              </w:rPr>
              <w:t>ж)</w:t>
            </w:r>
          </w:p>
        </w:tc>
        <w:tc>
          <w:tcPr>
            <w:tcW w:w="8080" w:type="dxa"/>
            <w:tcBorders>
              <w:top w:val="single" w:sz="4" w:space="0" w:color="auto"/>
              <w:left w:val="single" w:sz="4" w:space="0" w:color="auto"/>
              <w:bottom w:val="single" w:sz="4" w:space="0" w:color="auto"/>
              <w:right w:val="double" w:sz="4" w:space="0" w:color="auto"/>
            </w:tcBorders>
            <w:vAlign w:val="center"/>
            <w:hideMark/>
          </w:tcPr>
          <w:p w:rsidR="00456C04" w:rsidRDefault="00FF3CF7">
            <w:pPr>
              <w:spacing w:after="0"/>
              <w:jc w:val="left"/>
              <w:rPr>
                <w:noProof/>
                <w:sz w:val="22"/>
                <w:szCs w:val="22"/>
              </w:rPr>
            </w:pPr>
            <w:r>
              <w:rPr>
                <w:noProof/>
                <w:sz w:val="22"/>
              </w:rPr>
              <w:t xml:space="preserve">Как се различават мненията/предпочитаните курсове на действие на националните, регионалните и местните органи в целия ЕС? </w:t>
            </w:r>
          </w:p>
        </w:tc>
      </w:tr>
      <w:tr w:rsidR="00456C04">
        <w:trPr>
          <w:trHeight w:val="444"/>
        </w:trPr>
        <w:tc>
          <w:tcPr>
            <w:tcW w:w="0" w:type="auto"/>
            <w:vMerge/>
            <w:tcBorders>
              <w:top w:val="single" w:sz="4" w:space="0" w:color="auto"/>
              <w:left w:val="double" w:sz="4" w:space="0" w:color="auto"/>
              <w:bottom w:val="single" w:sz="4" w:space="0" w:color="auto"/>
              <w:right w:val="single" w:sz="4" w:space="0" w:color="auto"/>
            </w:tcBorders>
            <w:vAlign w:val="center"/>
            <w:hideMark/>
          </w:tcPr>
          <w:p w:rsidR="00456C04" w:rsidRDefault="00456C04">
            <w:pPr>
              <w:spacing w:after="0"/>
              <w:jc w:val="left"/>
              <w:rPr>
                <w:noProof/>
              </w:rPr>
            </w:pPr>
          </w:p>
        </w:tc>
        <w:tc>
          <w:tcPr>
            <w:tcW w:w="8080" w:type="dxa"/>
            <w:tcBorders>
              <w:top w:val="single" w:sz="4" w:space="0" w:color="auto"/>
              <w:left w:val="single" w:sz="4" w:space="0" w:color="auto"/>
              <w:bottom w:val="single" w:sz="4" w:space="0" w:color="auto"/>
              <w:right w:val="double" w:sz="4" w:space="0" w:color="auto"/>
            </w:tcBorders>
            <w:vAlign w:val="center"/>
          </w:tcPr>
          <w:p w:rsidR="00456C04" w:rsidRDefault="00456C04">
            <w:pPr>
              <w:spacing w:after="0"/>
              <w:jc w:val="left"/>
              <w:rPr>
                <w:noProof/>
                <w:sz w:val="22"/>
                <w:szCs w:val="22"/>
              </w:rPr>
            </w:pPr>
          </w:p>
        </w:tc>
      </w:tr>
      <w:tr w:rsidR="00456C04">
        <w:tc>
          <w:tcPr>
            <w:tcW w:w="8897" w:type="dxa"/>
            <w:gridSpan w:val="2"/>
            <w:tcBorders>
              <w:top w:val="single" w:sz="4" w:space="0" w:color="auto"/>
              <w:left w:val="double" w:sz="4" w:space="0" w:color="auto"/>
              <w:bottom w:val="single" w:sz="4" w:space="0" w:color="auto"/>
              <w:right w:val="double" w:sz="4" w:space="0" w:color="auto"/>
            </w:tcBorders>
            <w:hideMark/>
          </w:tcPr>
          <w:p w:rsidR="00456C04" w:rsidRDefault="00FF3CF7">
            <w:pPr>
              <w:spacing w:after="0"/>
              <w:rPr>
                <w:b/>
                <w:noProof/>
                <w:sz w:val="22"/>
                <w:szCs w:val="22"/>
              </w:rPr>
            </w:pPr>
            <w:r>
              <w:rPr>
                <w:b/>
                <w:noProof/>
                <w:sz w:val="22"/>
              </w:rPr>
              <w:t xml:space="preserve">2.4 Въз основа на отговорите на въпросите по-долу могат ли целите на предложеното действие да бъдат постигнати по-добре на </w:t>
            </w:r>
            <w:r>
              <w:rPr>
                <w:b/>
                <w:noProof/>
                <w:sz w:val="22"/>
              </w:rPr>
              <w:t>равнището на Съюза поради мащаба или въздействията на това действие (европейска добавена стойност)?</w:t>
            </w:r>
          </w:p>
        </w:tc>
      </w:tr>
      <w:tr w:rsidR="00456C04">
        <w:tc>
          <w:tcPr>
            <w:tcW w:w="8897" w:type="dxa"/>
            <w:gridSpan w:val="2"/>
            <w:tcBorders>
              <w:top w:val="single" w:sz="4" w:space="0" w:color="auto"/>
              <w:left w:val="double" w:sz="4" w:space="0" w:color="auto"/>
              <w:bottom w:val="single" w:sz="4" w:space="0" w:color="auto"/>
              <w:right w:val="double" w:sz="4" w:space="0" w:color="auto"/>
            </w:tcBorders>
          </w:tcPr>
          <w:p w:rsidR="00456C04" w:rsidRDefault="00456C04">
            <w:pPr>
              <w:spacing w:after="0"/>
              <w:rPr>
                <w:noProof/>
              </w:rPr>
            </w:pPr>
          </w:p>
        </w:tc>
      </w:tr>
      <w:tr w:rsidR="00456C04">
        <w:trPr>
          <w:trHeight w:val="444"/>
        </w:trPr>
        <w:tc>
          <w:tcPr>
            <w:tcW w:w="817" w:type="dxa"/>
            <w:vMerge w:val="restart"/>
            <w:tcBorders>
              <w:top w:val="single" w:sz="4" w:space="0" w:color="auto"/>
              <w:left w:val="double" w:sz="4" w:space="0" w:color="auto"/>
              <w:bottom w:val="single" w:sz="4" w:space="0" w:color="auto"/>
              <w:right w:val="single" w:sz="4" w:space="0" w:color="auto"/>
            </w:tcBorders>
            <w:vAlign w:val="center"/>
            <w:hideMark/>
          </w:tcPr>
          <w:p w:rsidR="00456C04" w:rsidRDefault="00FF3CF7">
            <w:pPr>
              <w:spacing w:after="0"/>
              <w:jc w:val="center"/>
              <w:rPr>
                <w:noProof/>
              </w:rPr>
            </w:pPr>
            <w:r>
              <w:rPr>
                <w:noProof/>
              </w:rPr>
              <w:t>а)</w:t>
            </w:r>
          </w:p>
        </w:tc>
        <w:tc>
          <w:tcPr>
            <w:tcW w:w="8080" w:type="dxa"/>
            <w:tcBorders>
              <w:top w:val="single" w:sz="4" w:space="0" w:color="auto"/>
              <w:left w:val="single" w:sz="4" w:space="0" w:color="auto"/>
              <w:bottom w:val="single" w:sz="4" w:space="0" w:color="auto"/>
              <w:right w:val="double" w:sz="4" w:space="0" w:color="auto"/>
            </w:tcBorders>
            <w:vAlign w:val="center"/>
            <w:hideMark/>
          </w:tcPr>
          <w:p w:rsidR="00456C04" w:rsidRDefault="00FF3CF7">
            <w:pPr>
              <w:spacing w:after="0"/>
              <w:jc w:val="left"/>
              <w:rPr>
                <w:noProof/>
                <w:sz w:val="22"/>
                <w:szCs w:val="22"/>
              </w:rPr>
            </w:pPr>
            <w:r>
              <w:rPr>
                <w:noProof/>
                <w:sz w:val="22"/>
              </w:rPr>
              <w:t>Има ли ясни ползи от действието на равнището на ЕС?</w:t>
            </w:r>
          </w:p>
        </w:tc>
      </w:tr>
      <w:tr w:rsidR="00456C04">
        <w:trPr>
          <w:trHeight w:val="439"/>
        </w:trPr>
        <w:tc>
          <w:tcPr>
            <w:tcW w:w="0" w:type="auto"/>
            <w:vMerge/>
            <w:tcBorders>
              <w:top w:val="single" w:sz="4" w:space="0" w:color="auto"/>
              <w:left w:val="double" w:sz="4" w:space="0" w:color="auto"/>
              <w:bottom w:val="single" w:sz="4" w:space="0" w:color="auto"/>
              <w:right w:val="single" w:sz="4" w:space="0" w:color="auto"/>
            </w:tcBorders>
            <w:vAlign w:val="center"/>
            <w:hideMark/>
          </w:tcPr>
          <w:p w:rsidR="00456C04" w:rsidRDefault="00456C04">
            <w:pPr>
              <w:spacing w:after="0"/>
              <w:jc w:val="left"/>
              <w:rPr>
                <w:noProof/>
              </w:rPr>
            </w:pPr>
          </w:p>
        </w:tc>
        <w:tc>
          <w:tcPr>
            <w:tcW w:w="8080" w:type="dxa"/>
            <w:tcBorders>
              <w:top w:val="single" w:sz="4" w:space="0" w:color="auto"/>
              <w:left w:val="single" w:sz="4" w:space="0" w:color="auto"/>
              <w:bottom w:val="single" w:sz="4" w:space="0" w:color="auto"/>
              <w:right w:val="double" w:sz="4" w:space="0" w:color="auto"/>
            </w:tcBorders>
            <w:vAlign w:val="center"/>
          </w:tcPr>
          <w:p w:rsidR="00456C04" w:rsidRDefault="00456C04">
            <w:pPr>
              <w:spacing w:after="0"/>
              <w:jc w:val="left"/>
              <w:rPr>
                <w:noProof/>
                <w:sz w:val="22"/>
                <w:szCs w:val="22"/>
              </w:rPr>
            </w:pPr>
          </w:p>
        </w:tc>
      </w:tr>
      <w:tr w:rsidR="00456C04">
        <w:trPr>
          <w:trHeight w:val="439"/>
        </w:trPr>
        <w:tc>
          <w:tcPr>
            <w:tcW w:w="817" w:type="dxa"/>
            <w:vMerge w:val="restart"/>
            <w:tcBorders>
              <w:top w:val="single" w:sz="4" w:space="0" w:color="auto"/>
              <w:left w:val="double" w:sz="4" w:space="0" w:color="auto"/>
              <w:bottom w:val="single" w:sz="4" w:space="0" w:color="auto"/>
              <w:right w:val="single" w:sz="4" w:space="0" w:color="auto"/>
            </w:tcBorders>
            <w:vAlign w:val="center"/>
            <w:hideMark/>
          </w:tcPr>
          <w:p w:rsidR="00456C04" w:rsidRDefault="00FF3CF7">
            <w:pPr>
              <w:spacing w:after="0"/>
              <w:jc w:val="center"/>
              <w:rPr>
                <w:noProof/>
              </w:rPr>
            </w:pPr>
            <w:r>
              <w:rPr>
                <w:noProof/>
              </w:rPr>
              <w:t>б)</w:t>
            </w:r>
          </w:p>
        </w:tc>
        <w:tc>
          <w:tcPr>
            <w:tcW w:w="8080" w:type="dxa"/>
            <w:tcBorders>
              <w:top w:val="single" w:sz="4" w:space="0" w:color="auto"/>
              <w:left w:val="single" w:sz="4" w:space="0" w:color="auto"/>
              <w:bottom w:val="single" w:sz="4" w:space="0" w:color="auto"/>
              <w:right w:val="double" w:sz="4" w:space="0" w:color="auto"/>
            </w:tcBorders>
            <w:vAlign w:val="center"/>
            <w:hideMark/>
          </w:tcPr>
          <w:p w:rsidR="00456C04" w:rsidRDefault="00FF3CF7">
            <w:pPr>
              <w:spacing w:after="0"/>
              <w:jc w:val="left"/>
              <w:rPr>
                <w:noProof/>
                <w:sz w:val="22"/>
                <w:szCs w:val="22"/>
              </w:rPr>
            </w:pPr>
            <w:r>
              <w:rPr>
                <w:noProof/>
                <w:sz w:val="22"/>
              </w:rPr>
              <w:t xml:space="preserve">Има ли икономии от мащаба? Могат ли целите да бъдат изпълнени по-ефективно на равнището на </w:t>
            </w:r>
            <w:r>
              <w:rPr>
                <w:noProof/>
                <w:sz w:val="22"/>
              </w:rPr>
              <w:t>ЕС (по-големи ползи на единичен разход)? Ще се подобри ли функционирането на вътрешния пазар?</w:t>
            </w:r>
          </w:p>
        </w:tc>
      </w:tr>
      <w:tr w:rsidR="00456C04">
        <w:trPr>
          <w:trHeight w:val="439"/>
        </w:trPr>
        <w:tc>
          <w:tcPr>
            <w:tcW w:w="0" w:type="auto"/>
            <w:vMerge/>
            <w:tcBorders>
              <w:top w:val="single" w:sz="4" w:space="0" w:color="auto"/>
              <w:left w:val="double" w:sz="4" w:space="0" w:color="auto"/>
              <w:bottom w:val="single" w:sz="4" w:space="0" w:color="auto"/>
              <w:right w:val="single" w:sz="4" w:space="0" w:color="auto"/>
            </w:tcBorders>
            <w:vAlign w:val="center"/>
            <w:hideMark/>
          </w:tcPr>
          <w:p w:rsidR="00456C04" w:rsidRDefault="00456C04">
            <w:pPr>
              <w:spacing w:after="0"/>
              <w:jc w:val="left"/>
              <w:rPr>
                <w:noProof/>
              </w:rPr>
            </w:pPr>
          </w:p>
        </w:tc>
        <w:tc>
          <w:tcPr>
            <w:tcW w:w="8080" w:type="dxa"/>
            <w:tcBorders>
              <w:top w:val="single" w:sz="4" w:space="0" w:color="auto"/>
              <w:left w:val="single" w:sz="4" w:space="0" w:color="auto"/>
              <w:bottom w:val="single" w:sz="4" w:space="0" w:color="auto"/>
              <w:right w:val="double" w:sz="4" w:space="0" w:color="auto"/>
            </w:tcBorders>
            <w:vAlign w:val="center"/>
          </w:tcPr>
          <w:p w:rsidR="00456C04" w:rsidRDefault="00456C04">
            <w:pPr>
              <w:spacing w:after="0"/>
              <w:jc w:val="left"/>
              <w:rPr>
                <w:noProof/>
                <w:sz w:val="22"/>
                <w:szCs w:val="22"/>
              </w:rPr>
            </w:pPr>
          </w:p>
        </w:tc>
      </w:tr>
      <w:tr w:rsidR="00456C04">
        <w:trPr>
          <w:trHeight w:val="439"/>
        </w:trPr>
        <w:tc>
          <w:tcPr>
            <w:tcW w:w="817" w:type="dxa"/>
            <w:vMerge w:val="restart"/>
            <w:tcBorders>
              <w:top w:val="single" w:sz="4" w:space="0" w:color="auto"/>
              <w:left w:val="double" w:sz="4" w:space="0" w:color="auto"/>
              <w:bottom w:val="single" w:sz="4" w:space="0" w:color="auto"/>
              <w:right w:val="single" w:sz="4" w:space="0" w:color="auto"/>
            </w:tcBorders>
            <w:vAlign w:val="center"/>
            <w:hideMark/>
          </w:tcPr>
          <w:p w:rsidR="00456C04" w:rsidRDefault="00FF3CF7">
            <w:pPr>
              <w:spacing w:after="0"/>
              <w:jc w:val="center"/>
              <w:rPr>
                <w:noProof/>
              </w:rPr>
            </w:pPr>
            <w:r>
              <w:rPr>
                <w:noProof/>
              </w:rPr>
              <w:t>в)</w:t>
            </w:r>
          </w:p>
        </w:tc>
        <w:tc>
          <w:tcPr>
            <w:tcW w:w="8080" w:type="dxa"/>
            <w:tcBorders>
              <w:top w:val="single" w:sz="4" w:space="0" w:color="auto"/>
              <w:left w:val="single" w:sz="4" w:space="0" w:color="auto"/>
              <w:bottom w:val="single" w:sz="4" w:space="0" w:color="auto"/>
              <w:right w:val="double" w:sz="4" w:space="0" w:color="auto"/>
            </w:tcBorders>
            <w:vAlign w:val="center"/>
            <w:hideMark/>
          </w:tcPr>
          <w:p w:rsidR="00456C04" w:rsidRDefault="00FF3CF7">
            <w:pPr>
              <w:spacing w:after="0"/>
              <w:jc w:val="left"/>
              <w:rPr>
                <w:noProof/>
                <w:sz w:val="22"/>
                <w:szCs w:val="22"/>
              </w:rPr>
            </w:pPr>
            <w:r>
              <w:rPr>
                <w:noProof/>
                <w:sz w:val="22"/>
              </w:rPr>
              <w:t xml:space="preserve">Какви са ползите от заместването на различните национални политики и правила с по-еднороден политически подход? </w:t>
            </w:r>
          </w:p>
        </w:tc>
      </w:tr>
      <w:tr w:rsidR="00456C04">
        <w:trPr>
          <w:trHeight w:val="439"/>
        </w:trPr>
        <w:tc>
          <w:tcPr>
            <w:tcW w:w="0" w:type="auto"/>
            <w:vMerge/>
            <w:tcBorders>
              <w:top w:val="single" w:sz="4" w:space="0" w:color="auto"/>
              <w:left w:val="double" w:sz="4" w:space="0" w:color="auto"/>
              <w:bottom w:val="single" w:sz="4" w:space="0" w:color="auto"/>
              <w:right w:val="single" w:sz="4" w:space="0" w:color="auto"/>
            </w:tcBorders>
            <w:vAlign w:val="center"/>
            <w:hideMark/>
          </w:tcPr>
          <w:p w:rsidR="00456C04" w:rsidRDefault="00456C04">
            <w:pPr>
              <w:spacing w:after="0"/>
              <w:jc w:val="left"/>
              <w:rPr>
                <w:noProof/>
              </w:rPr>
            </w:pPr>
          </w:p>
        </w:tc>
        <w:tc>
          <w:tcPr>
            <w:tcW w:w="8080" w:type="dxa"/>
            <w:tcBorders>
              <w:top w:val="single" w:sz="4" w:space="0" w:color="auto"/>
              <w:left w:val="single" w:sz="4" w:space="0" w:color="auto"/>
              <w:bottom w:val="single" w:sz="4" w:space="0" w:color="auto"/>
              <w:right w:val="double" w:sz="4" w:space="0" w:color="auto"/>
            </w:tcBorders>
            <w:vAlign w:val="center"/>
          </w:tcPr>
          <w:p w:rsidR="00456C04" w:rsidRDefault="00456C04">
            <w:pPr>
              <w:spacing w:after="0"/>
              <w:jc w:val="left"/>
              <w:rPr>
                <w:noProof/>
                <w:sz w:val="22"/>
                <w:szCs w:val="22"/>
              </w:rPr>
            </w:pPr>
          </w:p>
        </w:tc>
      </w:tr>
      <w:tr w:rsidR="00456C04">
        <w:trPr>
          <w:trHeight w:val="439"/>
        </w:trPr>
        <w:tc>
          <w:tcPr>
            <w:tcW w:w="817" w:type="dxa"/>
            <w:vMerge w:val="restart"/>
            <w:tcBorders>
              <w:top w:val="single" w:sz="4" w:space="0" w:color="auto"/>
              <w:left w:val="double" w:sz="4" w:space="0" w:color="auto"/>
              <w:bottom w:val="single" w:sz="4" w:space="0" w:color="auto"/>
              <w:right w:val="single" w:sz="4" w:space="0" w:color="auto"/>
            </w:tcBorders>
            <w:vAlign w:val="center"/>
            <w:hideMark/>
          </w:tcPr>
          <w:p w:rsidR="00456C04" w:rsidRDefault="00FF3CF7">
            <w:pPr>
              <w:spacing w:after="0"/>
              <w:jc w:val="center"/>
              <w:rPr>
                <w:noProof/>
              </w:rPr>
            </w:pPr>
            <w:r>
              <w:rPr>
                <w:noProof/>
              </w:rPr>
              <w:t>г)</w:t>
            </w:r>
          </w:p>
        </w:tc>
        <w:tc>
          <w:tcPr>
            <w:tcW w:w="8080" w:type="dxa"/>
            <w:tcBorders>
              <w:top w:val="single" w:sz="4" w:space="0" w:color="auto"/>
              <w:left w:val="single" w:sz="4" w:space="0" w:color="auto"/>
              <w:bottom w:val="single" w:sz="4" w:space="0" w:color="auto"/>
              <w:right w:val="double" w:sz="4" w:space="0" w:color="auto"/>
            </w:tcBorders>
            <w:vAlign w:val="center"/>
            <w:hideMark/>
          </w:tcPr>
          <w:p w:rsidR="00456C04" w:rsidRDefault="00FF3CF7">
            <w:pPr>
              <w:spacing w:after="0"/>
              <w:jc w:val="left"/>
              <w:rPr>
                <w:noProof/>
                <w:sz w:val="22"/>
                <w:szCs w:val="22"/>
              </w:rPr>
            </w:pPr>
            <w:r>
              <w:rPr>
                <w:noProof/>
                <w:sz w:val="22"/>
              </w:rPr>
              <w:t xml:space="preserve">Надминават ли ползите на равнището </w:t>
            </w:r>
            <w:r>
              <w:rPr>
                <w:noProof/>
                <w:sz w:val="22"/>
              </w:rPr>
              <w:t>на ЕС загубата на компетентност на държавите членки и местните и регионалните органи (отвъд разходите и ползите от действието на национално, местно и регионално равнище?</w:t>
            </w:r>
          </w:p>
        </w:tc>
      </w:tr>
      <w:tr w:rsidR="00456C04">
        <w:trPr>
          <w:trHeight w:val="439"/>
        </w:trPr>
        <w:tc>
          <w:tcPr>
            <w:tcW w:w="0" w:type="auto"/>
            <w:vMerge/>
            <w:tcBorders>
              <w:top w:val="single" w:sz="4" w:space="0" w:color="auto"/>
              <w:left w:val="double" w:sz="4" w:space="0" w:color="auto"/>
              <w:bottom w:val="single" w:sz="4" w:space="0" w:color="auto"/>
              <w:right w:val="single" w:sz="4" w:space="0" w:color="auto"/>
            </w:tcBorders>
            <w:vAlign w:val="center"/>
            <w:hideMark/>
          </w:tcPr>
          <w:p w:rsidR="00456C04" w:rsidRDefault="00456C04">
            <w:pPr>
              <w:spacing w:after="0"/>
              <w:jc w:val="left"/>
              <w:rPr>
                <w:noProof/>
              </w:rPr>
            </w:pPr>
          </w:p>
        </w:tc>
        <w:tc>
          <w:tcPr>
            <w:tcW w:w="8080" w:type="dxa"/>
            <w:tcBorders>
              <w:top w:val="single" w:sz="4" w:space="0" w:color="auto"/>
              <w:left w:val="single" w:sz="4" w:space="0" w:color="auto"/>
              <w:bottom w:val="single" w:sz="4" w:space="0" w:color="auto"/>
              <w:right w:val="double" w:sz="4" w:space="0" w:color="auto"/>
            </w:tcBorders>
            <w:vAlign w:val="center"/>
          </w:tcPr>
          <w:p w:rsidR="00456C04" w:rsidRDefault="00456C04">
            <w:pPr>
              <w:spacing w:after="0"/>
              <w:jc w:val="left"/>
              <w:rPr>
                <w:noProof/>
                <w:sz w:val="22"/>
                <w:szCs w:val="22"/>
              </w:rPr>
            </w:pPr>
          </w:p>
        </w:tc>
      </w:tr>
      <w:tr w:rsidR="00456C04">
        <w:trPr>
          <w:trHeight w:val="439"/>
        </w:trPr>
        <w:tc>
          <w:tcPr>
            <w:tcW w:w="817" w:type="dxa"/>
            <w:vMerge w:val="restart"/>
            <w:tcBorders>
              <w:top w:val="single" w:sz="4" w:space="0" w:color="auto"/>
              <w:left w:val="double" w:sz="4" w:space="0" w:color="auto"/>
              <w:bottom w:val="double" w:sz="4" w:space="0" w:color="auto"/>
              <w:right w:val="single" w:sz="4" w:space="0" w:color="auto"/>
            </w:tcBorders>
            <w:vAlign w:val="center"/>
            <w:hideMark/>
          </w:tcPr>
          <w:p w:rsidR="00456C04" w:rsidRDefault="00FF3CF7">
            <w:pPr>
              <w:spacing w:after="0"/>
              <w:jc w:val="center"/>
              <w:rPr>
                <w:noProof/>
              </w:rPr>
            </w:pPr>
            <w:r>
              <w:rPr>
                <w:noProof/>
              </w:rPr>
              <w:t>д)</w:t>
            </w:r>
          </w:p>
        </w:tc>
        <w:tc>
          <w:tcPr>
            <w:tcW w:w="8080" w:type="dxa"/>
            <w:tcBorders>
              <w:top w:val="single" w:sz="4" w:space="0" w:color="auto"/>
              <w:left w:val="single" w:sz="4" w:space="0" w:color="auto"/>
              <w:bottom w:val="single" w:sz="4" w:space="0" w:color="auto"/>
              <w:right w:val="double" w:sz="4" w:space="0" w:color="auto"/>
            </w:tcBorders>
            <w:vAlign w:val="center"/>
            <w:hideMark/>
          </w:tcPr>
          <w:p w:rsidR="00456C04" w:rsidRDefault="00FF3CF7">
            <w:pPr>
              <w:spacing w:after="0"/>
              <w:jc w:val="left"/>
              <w:rPr>
                <w:noProof/>
                <w:sz w:val="22"/>
                <w:szCs w:val="22"/>
              </w:rPr>
            </w:pPr>
            <w:r>
              <w:rPr>
                <w:noProof/>
                <w:sz w:val="22"/>
              </w:rPr>
              <w:t xml:space="preserve">Ще се подобри ли правната яснота за тези, които трябва да изпълняват </w:t>
            </w:r>
            <w:r>
              <w:rPr>
                <w:noProof/>
                <w:sz w:val="22"/>
              </w:rPr>
              <w:t>законодателството?</w:t>
            </w:r>
          </w:p>
        </w:tc>
      </w:tr>
      <w:tr w:rsidR="00456C04">
        <w:trPr>
          <w:trHeight w:val="439"/>
        </w:trPr>
        <w:tc>
          <w:tcPr>
            <w:tcW w:w="0" w:type="auto"/>
            <w:vMerge/>
            <w:tcBorders>
              <w:top w:val="single" w:sz="4" w:space="0" w:color="auto"/>
              <w:left w:val="double" w:sz="4" w:space="0" w:color="auto"/>
              <w:bottom w:val="double" w:sz="4" w:space="0" w:color="auto"/>
              <w:right w:val="single" w:sz="4" w:space="0" w:color="auto"/>
            </w:tcBorders>
            <w:vAlign w:val="center"/>
            <w:hideMark/>
          </w:tcPr>
          <w:p w:rsidR="00456C04" w:rsidRDefault="00456C04">
            <w:pPr>
              <w:spacing w:after="0"/>
              <w:jc w:val="left"/>
              <w:rPr>
                <w:noProof/>
              </w:rPr>
            </w:pPr>
          </w:p>
        </w:tc>
        <w:tc>
          <w:tcPr>
            <w:tcW w:w="8080" w:type="dxa"/>
            <w:tcBorders>
              <w:top w:val="single" w:sz="4" w:space="0" w:color="auto"/>
              <w:left w:val="single" w:sz="4" w:space="0" w:color="auto"/>
              <w:bottom w:val="double" w:sz="4" w:space="0" w:color="auto"/>
              <w:right w:val="double" w:sz="4" w:space="0" w:color="auto"/>
            </w:tcBorders>
            <w:vAlign w:val="center"/>
          </w:tcPr>
          <w:p w:rsidR="00456C04" w:rsidRDefault="00456C04">
            <w:pPr>
              <w:spacing w:after="0"/>
              <w:jc w:val="left"/>
              <w:rPr>
                <w:noProof/>
                <w:sz w:val="22"/>
                <w:szCs w:val="22"/>
              </w:rPr>
            </w:pPr>
          </w:p>
        </w:tc>
      </w:tr>
    </w:tbl>
    <w:p w:rsidR="00456C04" w:rsidRDefault="00456C04">
      <w:pPr>
        <w:spacing w:after="160"/>
        <w:rPr>
          <w:noProof/>
        </w:rPr>
      </w:pPr>
    </w:p>
    <w:tbl>
      <w:tblPr>
        <w:tblStyle w:val="TableGrid"/>
        <w:tblW w:w="8897" w:type="dxa"/>
        <w:tblBorders>
          <w:top w:val="double" w:sz="4" w:space="0" w:color="auto"/>
          <w:left w:val="double" w:sz="4" w:space="0" w:color="auto"/>
          <w:bottom w:val="double" w:sz="4" w:space="0" w:color="auto"/>
          <w:right w:val="double" w:sz="4" w:space="0" w:color="auto"/>
        </w:tblBorders>
        <w:tblCellMar>
          <w:top w:w="85" w:type="dxa"/>
          <w:bottom w:w="85" w:type="dxa"/>
        </w:tblCellMar>
        <w:tblLook w:val="04A0" w:firstRow="1" w:lastRow="0" w:firstColumn="1" w:lastColumn="0" w:noHBand="0" w:noVBand="1"/>
      </w:tblPr>
      <w:tblGrid>
        <w:gridCol w:w="846"/>
        <w:gridCol w:w="8051"/>
      </w:tblGrid>
      <w:tr w:rsidR="00456C04">
        <w:tc>
          <w:tcPr>
            <w:tcW w:w="8897" w:type="dxa"/>
            <w:gridSpan w:val="2"/>
            <w:tcBorders>
              <w:top w:val="double" w:sz="4" w:space="0" w:color="auto"/>
              <w:left w:val="double" w:sz="4" w:space="0" w:color="auto"/>
              <w:bottom w:val="single" w:sz="4" w:space="0" w:color="auto"/>
              <w:right w:val="double" w:sz="4" w:space="0" w:color="auto"/>
            </w:tcBorders>
            <w:shd w:val="clear" w:color="auto" w:fill="C6D9F1" w:themeFill="text2" w:themeFillTint="33"/>
            <w:hideMark/>
          </w:tcPr>
          <w:p w:rsidR="00456C04" w:rsidRDefault="00FF3CF7">
            <w:pPr>
              <w:pStyle w:val="ListParagraph"/>
              <w:numPr>
                <w:ilvl w:val="0"/>
                <w:numId w:val="28"/>
              </w:numPr>
              <w:spacing w:after="0"/>
              <w:jc w:val="center"/>
              <w:rPr>
                <w:b/>
                <w:i/>
                <w:noProof/>
                <w:sz w:val="22"/>
                <w:szCs w:val="22"/>
              </w:rPr>
            </w:pPr>
            <w:r>
              <w:rPr>
                <w:b/>
                <w:i/>
                <w:noProof/>
                <w:sz w:val="22"/>
              </w:rPr>
              <w:t>Пропорционалност: Как следва да действа ЕС</w:t>
            </w:r>
          </w:p>
        </w:tc>
      </w:tr>
      <w:tr w:rsidR="00456C04">
        <w:tc>
          <w:tcPr>
            <w:tcW w:w="8897" w:type="dxa"/>
            <w:gridSpan w:val="2"/>
            <w:tcBorders>
              <w:top w:val="single" w:sz="4" w:space="0" w:color="auto"/>
              <w:left w:val="double" w:sz="4" w:space="0" w:color="auto"/>
              <w:bottom w:val="single" w:sz="4" w:space="0" w:color="auto"/>
              <w:right w:val="double" w:sz="4" w:space="0" w:color="auto"/>
            </w:tcBorders>
            <w:hideMark/>
          </w:tcPr>
          <w:p w:rsidR="00456C04" w:rsidRDefault="00FF3CF7">
            <w:pPr>
              <w:spacing w:after="0"/>
              <w:rPr>
                <w:b/>
                <w:noProof/>
                <w:sz w:val="22"/>
                <w:szCs w:val="22"/>
              </w:rPr>
            </w:pPr>
            <w:r>
              <w:rPr>
                <w:b/>
                <w:noProof/>
                <w:sz w:val="22"/>
              </w:rPr>
              <w:t xml:space="preserve">3.1. Съдържа ли обяснителният меморандум (и оценката на въздействието), придружаващ предложението на Комисията, добро основание във връзка с пропорционалността на предложението и </w:t>
            </w:r>
            <w:r>
              <w:rPr>
                <w:b/>
                <w:noProof/>
                <w:sz w:val="22"/>
              </w:rPr>
              <w:t>декларация, която дава възможност за оценка на съответствието на предложението с принципа на пропорционалност?</w:t>
            </w:r>
          </w:p>
        </w:tc>
      </w:tr>
      <w:tr w:rsidR="00456C04">
        <w:tc>
          <w:tcPr>
            <w:tcW w:w="8897" w:type="dxa"/>
            <w:gridSpan w:val="2"/>
            <w:tcBorders>
              <w:top w:val="single" w:sz="4" w:space="0" w:color="auto"/>
              <w:left w:val="double" w:sz="4" w:space="0" w:color="auto"/>
              <w:bottom w:val="single" w:sz="4" w:space="0" w:color="auto"/>
              <w:right w:val="double" w:sz="4" w:space="0" w:color="auto"/>
            </w:tcBorders>
          </w:tcPr>
          <w:p w:rsidR="00456C04" w:rsidRDefault="00456C04">
            <w:pPr>
              <w:spacing w:after="0"/>
              <w:rPr>
                <w:noProof/>
                <w:sz w:val="22"/>
                <w:szCs w:val="22"/>
              </w:rPr>
            </w:pPr>
          </w:p>
          <w:p w:rsidR="00456C04" w:rsidRDefault="00456C04">
            <w:pPr>
              <w:spacing w:after="0"/>
              <w:rPr>
                <w:noProof/>
                <w:sz w:val="22"/>
                <w:szCs w:val="22"/>
              </w:rPr>
            </w:pPr>
          </w:p>
        </w:tc>
      </w:tr>
      <w:tr w:rsidR="00456C04">
        <w:tc>
          <w:tcPr>
            <w:tcW w:w="8897" w:type="dxa"/>
            <w:gridSpan w:val="2"/>
            <w:tcBorders>
              <w:top w:val="single" w:sz="4" w:space="0" w:color="auto"/>
              <w:left w:val="double" w:sz="4" w:space="0" w:color="auto"/>
              <w:bottom w:val="single" w:sz="4" w:space="0" w:color="auto"/>
              <w:right w:val="double" w:sz="4" w:space="0" w:color="auto"/>
            </w:tcBorders>
            <w:hideMark/>
          </w:tcPr>
          <w:p w:rsidR="00456C04" w:rsidRDefault="00FF3CF7">
            <w:pPr>
              <w:spacing w:after="0"/>
              <w:rPr>
                <w:b/>
                <w:noProof/>
                <w:sz w:val="22"/>
                <w:szCs w:val="22"/>
              </w:rPr>
            </w:pPr>
            <w:r>
              <w:rPr>
                <w:b/>
                <w:noProof/>
                <w:sz w:val="22"/>
              </w:rPr>
              <w:t>3.2 Въз основа на отговорите по-долу и наличната информация от оценката на въздействието, обяснителния меморандум или други източници предста</w:t>
            </w:r>
            <w:r>
              <w:rPr>
                <w:b/>
                <w:noProof/>
                <w:sz w:val="22"/>
              </w:rPr>
              <w:t>влява ли предложеното действие добър начин за постигане на планираните цели?</w:t>
            </w:r>
          </w:p>
        </w:tc>
      </w:tr>
      <w:tr w:rsidR="00456C04">
        <w:tc>
          <w:tcPr>
            <w:tcW w:w="8897" w:type="dxa"/>
            <w:gridSpan w:val="2"/>
            <w:tcBorders>
              <w:top w:val="single" w:sz="4" w:space="0" w:color="auto"/>
              <w:left w:val="double" w:sz="4" w:space="0" w:color="auto"/>
              <w:bottom w:val="single" w:sz="4" w:space="0" w:color="auto"/>
              <w:right w:val="double" w:sz="4" w:space="0" w:color="auto"/>
            </w:tcBorders>
          </w:tcPr>
          <w:p w:rsidR="00456C04" w:rsidRDefault="00456C04">
            <w:pPr>
              <w:spacing w:after="0"/>
              <w:rPr>
                <w:noProof/>
                <w:sz w:val="22"/>
                <w:szCs w:val="22"/>
              </w:rPr>
            </w:pPr>
          </w:p>
          <w:p w:rsidR="00456C04" w:rsidRDefault="00456C04">
            <w:pPr>
              <w:spacing w:after="0"/>
              <w:rPr>
                <w:noProof/>
                <w:sz w:val="22"/>
                <w:szCs w:val="22"/>
              </w:rPr>
            </w:pPr>
          </w:p>
        </w:tc>
      </w:tr>
      <w:tr w:rsidR="00456C04">
        <w:trPr>
          <w:trHeight w:val="420"/>
        </w:trPr>
        <w:tc>
          <w:tcPr>
            <w:tcW w:w="846" w:type="dxa"/>
            <w:vMerge w:val="restart"/>
            <w:tcBorders>
              <w:top w:val="single" w:sz="4" w:space="0" w:color="auto"/>
              <w:left w:val="double" w:sz="4" w:space="0" w:color="auto"/>
              <w:bottom w:val="single" w:sz="4" w:space="0" w:color="auto"/>
              <w:right w:val="single" w:sz="4" w:space="0" w:color="auto"/>
            </w:tcBorders>
            <w:vAlign w:val="center"/>
            <w:hideMark/>
          </w:tcPr>
          <w:p w:rsidR="00456C04" w:rsidRDefault="00FF3CF7">
            <w:pPr>
              <w:spacing w:after="0"/>
              <w:jc w:val="center"/>
              <w:rPr>
                <w:noProof/>
                <w:sz w:val="22"/>
                <w:szCs w:val="22"/>
              </w:rPr>
            </w:pPr>
            <w:r>
              <w:rPr>
                <w:noProof/>
                <w:sz w:val="22"/>
              </w:rPr>
              <w:t>а)</w:t>
            </w:r>
          </w:p>
        </w:tc>
        <w:tc>
          <w:tcPr>
            <w:tcW w:w="8051" w:type="dxa"/>
            <w:tcBorders>
              <w:top w:val="single" w:sz="4" w:space="0" w:color="auto"/>
              <w:left w:val="single" w:sz="4" w:space="0" w:color="auto"/>
              <w:bottom w:val="single" w:sz="4" w:space="0" w:color="auto"/>
              <w:right w:val="double" w:sz="4" w:space="0" w:color="auto"/>
            </w:tcBorders>
            <w:hideMark/>
          </w:tcPr>
          <w:p w:rsidR="00456C04" w:rsidRDefault="00FF3CF7">
            <w:pPr>
              <w:spacing w:after="0"/>
              <w:rPr>
                <w:noProof/>
                <w:sz w:val="22"/>
                <w:szCs w:val="22"/>
              </w:rPr>
            </w:pPr>
            <w:r>
              <w:rPr>
                <w:noProof/>
                <w:sz w:val="22"/>
              </w:rPr>
              <w:t xml:space="preserve">Ограничена ли е инициативата до онези аспекти, които държавите членки не могат да постигнат в задоволителна степен самостоятелно, и по отношение на които Съюзът може да </w:t>
            </w:r>
            <w:r>
              <w:rPr>
                <w:noProof/>
                <w:sz w:val="22"/>
              </w:rPr>
              <w:t>постигне по-добри резултати?</w:t>
            </w:r>
          </w:p>
        </w:tc>
      </w:tr>
      <w:tr w:rsidR="00456C04">
        <w:trPr>
          <w:trHeight w:val="417"/>
        </w:trPr>
        <w:tc>
          <w:tcPr>
            <w:tcW w:w="0" w:type="auto"/>
            <w:vMerge/>
            <w:tcBorders>
              <w:top w:val="single" w:sz="4" w:space="0" w:color="auto"/>
              <w:left w:val="double" w:sz="4" w:space="0" w:color="auto"/>
              <w:bottom w:val="single" w:sz="4" w:space="0" w:color="auto"/>
              <w:right w:val="single" w:sz="4" w:space="0" w:color="auto"/>
            </w:tcBorders>
            <w:vAlign w:val="center"/>
            <w:hideMark/>
          </w:tcPr>
          <w:p w:rsidR="00456C04" w:rsidRDefault="00456C04">
            <w:pPr>
              <w:spacing w:after="0"/>
              <w:jc w:val="left"/>
              <w:rPr>
                <w:noProof/>
                <w:sz w:val="22"/>
                <w:szCs w:val="22"/>
              </w:rPr>
            </w:pPr>
          </w:p>
        </w:tc>
        <w:tc>
          <w:tcPr>
            <w:tcW w:w="8051" w:type="dxa"/>
            <w:tcBorders>
              <w:top w:val="single" w:sz="4" w:space="0" w:color="auto"/>
              <w:left w:val="single" w:sz="4" w:space="0" w:color="auto"/>
              <w:bottom w:val="single" w:sz="4" w:space="0" w:color="auto"/>
              <w:right w:val="double" w:sz="4" w:space="0" w:color="auto"/>
            </w:tcBorders>
          </w:tcPr>
          <w:p w:rsidR="00456C04" w:rsidRDefault="00456C04">
            <w:pPr>
              <w:spacing w:after="0"/>
              <w:rPr>
                <w:noProof/>
                <w:sz w:val="22"/>
                <w:szCs w:val="22"/>
              </w:rPr>
            </w:pPr>
          </w:p>
        </w:tc>
      </w:tr>
      <w:tr w:rsidR="00456C04">
        <w:trPr>
          <w:trHeight w:val="417"/>
        </w:trPr>
        <w:tc>
          <w:tcPr>
            <w:tcW w:w="846" w:type="dxa"/>
            <w:vMerge w:val="restart"/>
            <w:tcBorders>
              <w:top w:val="single" w:sz="4" w:space="0" w:color="auto"/>
              <w:left w:val="double" w:sz="4" w:space="0" w:color="auto"/>
              <w:bottom w:val="single" w:sz="4" w:space="0" w:color="auto"/>
              <w:right w:val="single" w:sz="4" w:space="0" w:color="auto"/>
            </w:tcBorders>
            <w:vAlign w:val="center"/>
            <w:hideMark/>
          </w:tcPr>
          <w:p w:rsidR="00456C04" w:rsidRDefault="00FF3CF7">
            <w:pPr>
              <w:spacing w:after="0"/>
              <w:jc w:val="center"/>
              <w:rPr>
                <w:noProof/>
                <w:sz w:val="22"/>
                <w:szCs w:val="22"/>
              </w:rPr>
            </w:pPr>
            <w:r>
              <w:rPr>
                <w:noProof/>
                <w:sz w:val="22"/>
              </w:rPr>
              <w:t>б)</w:t>
            </w:r>
          </w:p>
        </w:tc>
        <w:tc>
          <w:tcPr>
            <w:tcW w:w="8051" w:type="dxa"/>
            <w:tcBorders>
              <w:top w:val="single" w:sz="4" w:space="0" w:color="auto"/>
              <w:left w:val="single" w:sz="4" w:space="0" w:color="auto"/>
              <w:bottom w:val="single" w:sz="4" w:space="0" w:color="auto"/>
              <w:right w:val="double" w:sz="4" w:space="0" w:color="auto"/>
            </w:tcBorders>
            <w:hideMark/>
          </w:tcPr>
          <w:p w:rsidR="00456C04" w:rsidRDefault="00FF3CF7">
            <w:pPr>
              <w:spacing w:after="0"/>
              <w:rPr>
                <w:noProof/>
                <w:sz w:val="22"/>
                <w:szCs w:val="22"/>
              </w:rPr>
            </w:pPr>
            <w:r>
              <w:rPr>
                <w:noProof/>
                <w:sz w:val="22"/>
              </w:rPr>
              <w:t xml:space="preserve">Оправдана ли е формата на действие на Съюза (избор на инструмент), възможно най-опростена ли е и позволява ли задоволителното постигане и гарантиране на съответствие със заложените цели (напр. избор между регламент, </w:t>
            </w:r>
            <w:r>
              <w:rPr>
                <w:noProof/>
                <w:sz w:val="22"/>
              </w:rPr>
              <w:t>(рамкова) директива, препоръка или други регулаторни методи, като например съвместно регулиране и др.)?</w:t>
            </w:r>
          </w:p>
        </w:tc>
      </w:tr>
      <w:tr w:rsidR="00456C04">
        <w:trPr>
          <w:trHeight w:val="417"/>
        </w:trPr>
        <w:tc>
          <w:tcPr>
            <w:tcW w:w="0" w:type="auto"/>
            <w:vMerge/>
            <w:tcBorders>
              <w:top w:val="single" w:sz="4" w:space="0" w:color="auto"/>
              <w:left w:val="double" w:sz="4" w:space="0" w:color="auto"/>
              <w:bottom w:val="single" w:sz="4" w:space="0" w:color="auto"/>
              <w:right w:val="single" w:sz="4" w:space="0" w:color="auto"/>
            </w:tcBorders>
            <w:vAlign w:val="center"/>
            <w:hideMark/>
          </w:tcPr>
          <w:p w:rsidR="00456C04" w:rsidRDefault="00456C04">
            <w:pPr>
              <w:spacing w:after="0"/>
              <w:jc w:val="left"/>
              <w:rPr>
                <w:noProof/>
                <w:sz w:val="22"/>
                <w:szCs w:val="22"/>
              </w:rPr>
            </w:pPr>
          </w:p>
        </w:tc>
        <w:tc>
          <w:tcPr>
            <w:tcW w:w="8051" w:type="dxa"/>
            <w:tcBorders>
              <w:top w:val="single" w:sz="4" w:space="0" w:color="auto"/>
              <w:left w:val="single" w:sz="4" w:space="0" w:color="auto"/>
              <w:bottom w:val="single" w:sz="4" w:space="0" w:color="auto"/>
              <w:right w:val="double" w:sz="4" w:space="0" w:color="auto"/>
            </w:tcBorders>
          </w:tcPr>
          <w:p w:rsidR="00456C04" w:rsidRDefault="00456C04">
            <w:pPr>
              <w:spacing w:after="0"/>
              <w:rPr>
                <w:noProof/>
                <w:sz w:val="22"/>
                <w:szCs w:val="22"/>
              </w:rPr>
            </w:pPr>
          </w:p>
        </w:tc>
      </w:tr>
      <w:tr w:rsidR="00456C04">
        <w:trPr>
          <w:trHeight w:val="417"/>
        </w:trPr>
        <w:tc>
          <w:tcPr>
            <w:tcW w:w="846" w:type="dxa"/>
            <w:vMerge w:val="restart"/>
            <w:tcBorders>
              <w:top w:val="single" w:sz="4" w:space="0" w:color="auto"/>
              <w:left w:val="double" w:sz="4" w:space="0" w:color="auto"/>
              <w:bottom w:val="single" w:sz="4" w:space="0" w:color="auto"/>
              <w:right w:val="single" w:sz="4" w:space="0" w:color="auto"/>
            </w:tcBorders>
            <w:vAlign w:val="center"/>
            <w:hideMark/>
          </w:tcPr>
          <w:p w:rsidR="00456C04" w:rsidRDefault="00FF3CF7">
            <w:pPr>
              <w:spacing w:after="0"/>
              <w:jc w:val="center"/>
              <w:rPr>
                <w:noProof/>
                <w:sz w:val="22"/>
                <w:szCs w:val="22"/>
              </w:rPr>
            </w:pPr>
            <w:r>
              <w:rPr>
                <w:noProof/>
                <w:sz w:val="22"/>
              </w:rPr>
              <w:t>в)</w:t>
            </w:r>
          </w:p>
        </w:tc>
        <w:tc>
          <w:tcPr>
            <w:tcW w:w="8051" w:type="dxa"/>
            <w:tcBorders>
              <w:top w:val="single" w:sz="4" w:space="0" w:color="auto"/>
              <w:left w:val="single" w:sz="4" w:space="0" w:color="auto"/>
              <w:bottom w:val="single" w:sz="4" w:space="0" w:color="auto"/>
              <w:right w:val="double" w:sz="4" w:space="0" w:color="auto"/>
            </w:tcBorders>
            <w:hideMark/>
          </w:tcPr>
          <w:p w:rsidR="00456C04" w:rsidRDefault="00FF3CF7">
            <w:pPr>
              <w:spacing w:after="0"/>
              <w:rPr>
                <w:noProof/>
                <w:sz w:val="22"/>
                <w:szCs w:val="22"/>
              </w:rPr>
            </w:pPr>
            <w:r>
              <w:rPr>
                <w:noProof/>
                <w:sz w:val="22"/>
              </w:rPr>
              <w:t>Оставя ли действието на Съюза максимална възможност за вземане на решение на национално равнище, като същевременно чрез него определените цели се</w:t>
            </w:r>
            <w:r>
              <w:rPr>
                <w:noProof/>
                <w:sz w:val="22"/>
              </w:rPr>
              <w:t xml:space="preserve"> постигат в задоволителна степен? (напр. възможно ли е европейското действие да се ограничи до минималните стандарти или да се използва по-малко стриктен инструмент или подход на политиката?).</w:t>
            </w:r>
          </w:p>
        </w:tc>
      </w:tr>
      <w:tr w:rsidR="00456C04">
        <w:trPr>
          <w:trHeight w:val="417"/>
        </w:trPr>
        <w:tc>
          <w:tcPr>
            <w:tcW w:w="0" w:type="auto"/>
            <w:vMerge/>
            <w:tcBorders>
              <w:top w:val="single" w:sz="4" w:space="0" w:color="auto"/>
              <w:left w:val="double" w:sz="4" w:space="0" w:color="auto"/>
              <w:bottom w:val="single" w:sz="4" w:space="0" w:color="auto"/>
              <w:right w:val="single" w:sz="4" w:space="0" w:color="auto"/>
            </w:tcBorders>
            <w:vAlign w:val="center"/>
            <w:hideMark/>
          </w:tcPr>
          <w:p w:rsidR="00456C04" w:rsidRDefault="00456C04">
            <w:pPr>
              <w:spacing w:after="0"/>
              <w:jc w:val="left"/>
              <w:rPr>
                <w:noProof/>
                <w:sz w:val="22"/>
                <w:szCs w:val="22"/>
              </w:rPr>
            </w:pPr>
          </w:p>
        </w:tc>
        <w:tc>
          <w:tcPr>
            <w:tcW w:w="8051" w:type="dxa"/>
            <w:tcBorders>
              <w:top w:val="single" w:sz="4" w:space="0" w:color="auto"/>
              <w:left w:val="single" w:sz="4" w:space="0" w:color="auto"/>
              <w:bottom w:val="single" w:sz="4" w:space="0" w:color="auto"/>
              <w:right w:val="double" w:sz="4" w:space="0" w:color="auto"/>
            </w:tcBorders>
          </w:tcPr>
          <w:p w:rsidR="00456C04" w:rsidRDefault="00456C04">
            <w:pPr>
              <w:spacing w:after="0"/>
              <w:rPr>
                <w:noProof/>
                <w:sz w:val="22"/>
                <w:szCs w:val="22"/>
              </w:rPr>
            </w:pPr>
          </w:p>
        </w:tc>
      </w:tr>
      <w:tr w:rsidR="00456C04">
        <w:trPr>
          <w:trHeight w:val="417"/>
        </w:trPr>
        <w:tc>
          <w:tcPr>
            <w:tcW w:w="846" w:type="dxa"/>
            <w:vMerge w:val="restart"/>
            <w:tcBorders>
              <w:top w:val="single" w:sz="4" w:space="0" w:color="auto"/>
              <w:left w:val="double" w:sz="4" w:space="0" w:color="auto"/>
              <w:bottom w:val="single" w:sz="4" w:space="0" w:color="auto"/>
              <w:right w:val="single" w:sz="4" w:space="0" w:color="auto"/>
            </w:tcBorders>
            <w:vAlign w:val="center"/>
            <w:hideMark/>
          </w:tcPr>
          <w:p w:rsidR="00456C04" w:rsidRDefault="00FF3CF7">
            <w:pPr>
              <w:spacing w:after="0"/>
              <w:jc w:val="center"/>
              <w:rPr>
                <w:noProof/>
                <w:sz w:val="22"/>
                <w:szCs w:val="22"/>
              </w:rPr>
            </w:pPr>
            <w:r>
              <w:rPr>
                <w:noProof/>
                <w:sz w:val="22"/>
              </w:rPr>
              <w:t>г)</w:t>
            </w:r>
          </w:p>
        </w:tc>
        <w:tc>
          <w:tcPr>
            <w:tcW w:w="8051" w:type="dxa"/>
            <w:tcBorders>
              <w:top w:val="single" w:sz="4" w:space="0" w:color="auto"/>
              <w:left w:val="single" w:sz="4" w:space="0" w:color="auto"/>
              <w:bottom w:val="single" w:sz="4" w:space="0" w:color="auto"/>
              <w:right w:val="double" w:sz="4" w:space="0" w:color="auto"/>
            </w:tcBorders>
            <w:hideMark/>
          </w:tcPr>
          <w:p w:rsidR="00456C04" w:rsidRDefault="00FF3CF7">
            <w:pPr>
              <w:spacing w:after="0"/>
              <w:rPr>
                <w:noProof/>
                <w:sz w:val="22"/>
                <w:szCs w:val="22"/>
              </w:rPr>
            </w:pPr>
            <w:r>
              <w:rPr>
                <w:noProof/>
                <w:sz w:val="22"/>
              </w:rPr>
              <w:t xml:space="preserve">Поражда ли инициативата финансови или административни </w:t>
            </w:r>
            <w:r>
              <w:rPr>
                <w:noProof/>
                <w:sz w:val="22"/>
              </w:rPr>
              <w:t>разходи за Съюза, за националните правителства, за регионалните или местните органи, за икономическите оператори или за гражданите? Съизмерими ли са тези разходи с целите, които трябва да се постигнат?</w:t>
            </w:r>
          </w:p>
        </w:tc>
      </w:tr>
      <w:tr w:rsidR="00456C04">
        <w:trPr>
          <w:trHeight w:val="417"/>
        </w:trPr>
        <w:tc>
          <w:tcPr>
            <w:tcW w:w="0" w:type="auto"/>
            <w:vMerge/>
            <w:tcBorders>
              <w:top w:val="single" w:sz="4" w:space="0" w:color="auto"/>
              <w:left w:val="double" w:sz="4" w:space="0" w:color="auto"/>
              <w:bottom w:val="single" w:sz="4" w:space="0" w:color="auto"/>
              <w:right w:val="single" w:sz="4" w:space="0" w:color="auto"/>
            </w:tcBorders>
            <w:vAlign w:val="center"/>
            <w:hideMark/>
          </w:tcPr>
          <w:p w:rsidR="00456C04" w:rsidRDefault="00456C04">
            <w:pPr>
              <w:spacing w:after="0"/>
              <w:jc w:val="left"/>
              <w:rPr>
                <w:noProof/>
                <w:sz w:val="22"/>
                <w:szCs w:val="22"/>
              </w:rPr>
            </w:pPr>
          </w:p>
        </w:tc>
        <w:tc>
          <w:tcPr>
            <w:tcW w:w="8051" w:type="dxa"/>
            <w:tcBorders>
              <w:top w:val="single" w:sz="4" w:space="0" w:color="auto"/>
              <w:left w:val="single" w:sz="4" w:space="0" w:color="auto"/>
              <w:bottom w:val="single" w:sz="4" w:space="0" w:color="auto"/>
              <w:right w:val="double" w:sz="4" w:space="0" w:color="auto"/>
            </w:tcBorders>
          </w:tcPr>
          <w:p w:rsidR="00456C04" w:rsidRDefault="00456C04">
            <w:pPr>
              <w:spacing w:after="0"/>
              <w:rPr>
                <w:noProof/>
                <w:sz w:val="22"/>
                <w:szCs w:val="22"/>
              </w:rPr>
            </w:pPr>
          </w:p>
        </w:tc>
      </w:tr>
      <w:tr w:rsidR="00456C04">
        <w:trPr>
          <w:trHeight w:val="417"/>
        </w:trPr>
        <w:tc>
          <w:tcPr>
            <w:tcW w:w="846" w:type="dxa"/>
            <w:vMerge w:val="restart"/>
            <w:tcBorders>
              <w:top w:val="single" w:sz="4" w:space="0" w:color="auto"/>
              <w:left w:val="double" w:sz="4" w:space="0" w:color="auto"/>
              <w:bottom w:val="double" w:sz="4" w:space="0" w:color="auto"/>
              <w:right w:val="single" w:sz="4" w:space="0" w:color="auto"/>
            </w:tcBorders>
            <w:vAlign w:val="center"/>
            <w:hideMark/>
          </w:tcPr>
          <w:p w:rsidR="00456C04" w:rsidRDefault="00FF3CF7">
            <w:pPr>
              <w:spacing w:after="0"/>
              <w:jc w:val="center"/>
              <w:rPr>
                <w:noProof/>
                <w:sz w:val="22"/>
                <w:szCs w:val="22"/>
              </w:rPr>
            </w:pPr>
            <w:r>
              <w:rPr>
                <w:noProof/>
                <w:sz w:val="22"/>
              </w:rPr>
              <w:t>д)</w:t>
            </w:r>
          </w:p>
        </w:tc>
        <w:tc>
          <w:tcPr>
            <w:tcW w:w="8051" w:type="dxa"/>
            <w:tcBorders>
              <w:top w:val="single" w:sz="4" w:space="0" w:color="auto"/>
              <w:left w:val="single" w:sz="4" w:space="0" w:color="auto"/>
              <w:bottom w:val="single" w:sz="4" w:space="0" w:color="auto"/>
              <w:right w:val="double" w:sz="4" w:space="0" w:color="auto"/>
            </w:tcBorders>
            <w:hideMark/>
          </w:tcPr>
          <w:p w:rsidR="00456C04" w:rsidRDefault="00FF3CF7">
            <w:pPr>
              <w:spacing w:after="0"/>
              <w:rPr>
                <w:noProof/>
                <w:sz w:val="22"/>
                <w:szCs w:val="22"/>
              </w:rPr>
            </w:pPr>
            <w:r>
              <w:rPr>
                <w:noProof/>
                <w:sz w:val="22"/>
              </w:rPr>
              <w:t>При съблюдаване на правото на Съюза взети ли са</w:t>
            </w:r>
            <w:r>
              <w:rPr>
                <w:noProof/>
                <w:sz w:val="22"/>
              </w:rPr>
              <w:t xml:space="preserve"> предвид специални обстоятелства, приложими в отделни държави членки?</w:t>
            </w:r>
          </w:p>
        </w:tc>
      </w:tr>
      <w:tr w:rsidR="00456C04">
        <w:trPr>
          <w:trHeight w:val="417"/>
        </w:trPr>
        <w:tc>
          <w:tcPr>
            <w:tcW w:w="0" w:type="auto"/>
            <w:vMerge/>
            <w:tcBorders>
              <w:top w:val="single" w:sz="4" w:space="0" w:color="auto"/>
              <w:left w:val="double" w:sz="4" w:space="0" w:color="auto"/>
              <w:bottom w:val="double" w:sz="4" w:space="0" w:color="auto"/>
              <w:right w:val="single" w:sz="4" w:space="0" w:color="auto"/>
            </w:tcBorders>
            <w:vAlign w:val="center"/>
            <w:hideMark/>
          </w:tcPr>
          <w:p w:rsidR="00456C04" w:rsidRDefault="00456C04">
            <w:pPr>
              <w:spacing w:after="0"/>
              <w:jc w:val="left"/>
              <w:rPr>
                <w:noProof/>
                <w:sz w:val="22"/>
                <w:szCs w:val="22"/>
              </w:rPr>
            </w:pPr>
          </w:p>
        </w:tc>
        <w:tc>
          <w:tcPr>
            <w:tcW w:w="8051" w:type="dxa"/>
            <w:tcBorders>
              <w:top w:val="single" w:sz="4" w:space="0" w:color="auto"/>
              <w:left w:val="single" w:sz="4" w:space="0" w:color="auto"/>
              <w:bottom w:val="double" w:sz="4" w:space="0" w:color="auto"/>
              <w:right w:val="double" w:sz="4" w:space="0" w:color="auto"/>
            </w:tcBorders>
          </w:tcPr>
          <w:p w:rsidR="00456C04" w:rsidRDefault="00456C04">
            <w:pPr>
              <w:spacing w:after="0"/>
              <w:rPr>
                <w:noProof/>
                <w:sz w:val="22"/>
                <w:szCs w:val="22"/>
              </w:rPr>
            </w:pPr>
          </w:p>
        </w:tc>
      </w:tr>
    </w:tbl>
    <w:p w:rsidR="00456C04" w:rsidRPr="00FF3CF7" w:rsidRDefault="00456C04">
      <w:pPr>
        <w:rPr>
          <w:noProof/>
        </w:rPr>
      </w:pPr>
    </w:p>
    <w:sectPr w:rsidR="00456C04" w:rsidRPr="00FF3CF7">
      <w:headerReference w:type="even" r:id="rId18"/>
      <w:headerReference w:type="default" r:id="rId19"/>
      <w:footerReference w:type="even" r:id="rId20"/>
      <w:footerReference w:type="default" r:id="rId21"/>
      <w:headerReference w:type="first" r:id="rId22"/>
      <w:footerReference w:type="first" r:id="rId23"/>
      <w:pgSz w:w="11906" w:h="16838"/>
      <w:pgMar w:top="1020" w:right="1701" w:bottom="1020" w:left="1587"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C04" w:rsidRDefault="00FF3CF7">
      <w:pPr>
        <w:spacing w:after="0"/>
      </w:pPr>
      <w:r>
        <w:separator/>
      </w:r>
    </w:p>
  </w:endnote>
  <w:endnote w:type="continuationSeparator" w:id="0">
    <w:p w:rsidR="00456C04" w:rsidRDefault="00FF3C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CF7" w:rsidRPr="00FF3CF7" w:rsidRDefault="00FF3CF7" w:rsidP="00FF3C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CF7" w:rsidRPr="00FF3CF7" w:rsidRDefault="00FF3CF7" w:rsidP="00FF3CF7">
    <w:pPr>
      <w:pStyle w:val="FooterCoverPage"/>
      <w:rPr>
        <w:rFonts w:ascii="Arial" w:hAnsi="Arial" w:cs="Arial"/>
        <w:b/>
        <w:sz w:val="48"/>
      </w:rPr>
    </w:pPr>
    <w:r w:rsidRPr="00FF3CF7">
      <w:rPr>
        <w:rFonts w:ascii="Arial" w:hAnsi="Arial" w:cs="Arial"/>
        <w:b/>
        <w:sz w:val="48"/>
      </w:rPr>
      <w:t>BG</w:t>
    </w:r>
    <w:r w:rsidRPr="00FF3CF7">
      <w:rPr>
        <w:rFonts w:ascii="Arial" w:hAnsi="Arial" w:cs="Arial"/>
        <w:b/>
        <w:sz w:val="48"/>
      </w:rPr>
      <w:tab/>
    </w:r>
    <w:r w:rsidRPr="00FF3CF7">
      <w:rPr>
        <w:rFonts w:ascii="Arial" w:hAnsi="Arial" w:cs="Arial"/>
        <w:b/>
        <w:sz w:val="48"/>
      </w:rPr>
      <w:tab/>
    </w:r>
    <w:r w:rsidRPr="00FF3CF7">
      <w:tab/>
    </w:r>
    <w:r w:rsidRPr="00FF3CF7">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CF7" w:rsidRPr="00FF3CF7" w:rsidRDefault="00FF3CF7" w:rsidP="00FF3CF7">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C04" w:rsidRDefault="00456C0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C04" w:rsidRDefault="00FF3CF7">
    <w:pPr>
      <w:pStyle w:val="Footer"/>
      <w:jc w:val="center"/>
    </w:pPr>
    <w:r>
      <w:fldChar w:fldCharType="begin"/>
    </w:r>
    <w:r>
      <w:instrText>PAGE</w:instrText>
    </w:r>
    <w:r>
      <w:fldChar w:fldCharType="separate"/>
    </w:r>
    <w:r>
      <w:rPr>
        <w:noProof/>
      </w:rPr>
      <w:t>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C04" w:rsidRDefault="00FF3CF7">
    <w:pPr>
      <w:pStyle w:val="Footer"/>
      <w:jc w:val="center"/>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C04" w:rsidRDefault="00FF3CF7">
      <w:pPr>
        <w:spacing w:after="0"/>
      </w:pPr>
      <w:r>
        <w:separator/>
      </w:r>
    </w:p>
  </w:footnote>
  <w:footnote w:type="continuationSeparator" w:id="0">
    <w:p w:rsidR="00456C04" w:rsidRDefault="00FF3C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CF7" w:rsidRPr="00FF3CF7" w:rsidRDefault="00FF3CF7" w:rsidP="00FF3C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CF7" w:rsidRPr="00FF3CF7" w:rsidRDefault="00FF3CF7" w:rsidP="00FF3CF7">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CF7" w:rsidRPr="00FF3CF7" w:rsidRDefault="00FF3CF7" w:rsidP="00FF3CF7">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C04" w:rsidRDefault="00456C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C04" w:rsidRDefault="00456C0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C04" w:rsidRDefault="00456C04">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15:restartNumberingAfterBreak="0">
    <w:nsid w:val="50FC19AC"/>
    <w:multiLevelType w:val="hybridMultilevel"/>
    <w:tmpl w:val="6C00BB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6"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7"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8"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9"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0"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2"/>
  </w:num>
  <w:num w:numId="5">
    <w:abstractNumId w:val="6"/>
  </w:num>
  <w:num w:numId="6">
    <w:abstractNumId w:val="11"/>
  </w:num>
  <w:num w:numId="7">
    <w:abstractNumId w:val="18"/>
  </w:num>
  <w:num w:numId="8">
    <w:abstractNumId w:val="19"/>
  </w:num>
  <w:num w:numId="9">
    <w:abstractNumId w:val="9"/>
  </w:num>
  <w:num w:numId="10">
    <w:abstractNumId w:val="17"/>
  </w:num>
  <w:num w:numId="11">
    <w:abstractNumId w:val="16"/>
  </w:num>
  <w:num w:numId="12">
    <w:abstractNumId w:val="13"/>
  </w:num>
  <w:num w:numId="13">
    <w:abstractNumId w:val="15"/>
  </w:num>
  <w:num w:numId="14">
    <w:abstractNumId w:val="5"/>
  </w:num>
  <w:num w:numId="15">
    <w:abstractNumId w:val="10"/>
  </w:num>
  <w:num w:numId="16">
    <w:abstractNumId w:val="3"/>
  </w:num>
  <w:num w:numId="17">
    <w:abstractNumId w:val="7"/>
  </w:num>
  <w:num w:numId="18">
    <w:abstractNumId w:val="20"/>
  </w:num>
  <w:num w:numId="19">
    <w:abstractNumId w:val="8"/>
  </w:num>
  <w:num w:numId="20">
    <w:abstractNumId w:val="21"/>
  </w:num>
  <w:num w:numId="21">
    <w:abstractNumId w:val="2"/>
  </w:num>
  <w:num w:numId="22">
    <w:abstractNumId w:val="8"/>
  </w:num>
  <w:num w:numId="23">
    <w:abstractNumId w:val="8"/>
  </w:num>
  <w:num w:numId="24">
    <w:abstractNumId w:val="8"/>
  </w:num>
  <w:num w:numId="25">
    <w:abstractNumId w:val="8"/>
  </w:num>
  <w:num w:numId="26">
    <w:abstractNumId w:val="8"/>
  </w:num>
  <w:num w:numId="27">
    <w:abstractNumId w:val="8"/>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1"/>
    <w:docVar w:name="LW_ANNEX_NBR_LAST" w:val="2"/>
    <w:docVar w:name="LW_ANNEX_UNIQUE" w:val="0"/>
    <w:docVar w:name="LW_CORRIGENDUM" w:val="&lt;UNUSED&gt;"/>
    <w:docVar w:name="LW_COVERPAGE_EXISTS" w:val="True"/>
    <w:docVar w:name="LW_COVERPAGE_GUID" w:val="A1BF9BE4-E386-4E19-A9C4-7AADBE9F3914"/>
    <w:docVar w:name="LW_COVERPAGE_TYPE" w:val="1"/>
    <w:docVar w:name="LW_CROSSREFERENCE" w:val="{COM(2018) 490}_x000a_{COM(2018) 491}"/>
    <w:docVar w:name="LW_DocType" w:val="REP"/>
    <w:docVar w:name="LW_EMISSION" w:val="23.10.2018"/>
    <w:docVar w:name="LW_EMISSION_ISODATE" w:val="2018-10-23"/>
    <w:docVar w:name="LW_EMISSION_LOCATION" w:val="STR"/>
    <w:docVar w:name="LW_EMISSION_PREFIX" w:val="\u1057?\u1090?\u1088?\u1072?\u1089?\u1073?\u1091?\u1088?\u1075?, "/>
    <w:docVar w:name="LW_EMISSION_SUFFIX" w:val=" \u1075?."/>
    <w:docVar w:name="LW_ID_DOCTYPE_NONLW" w:val="CP-039"/>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55?\u1088?\u1080?\u1085?\u1094?\u1080?\u1087?\u1080?\u1090?\u1077? \u1085?\u1072? \u1089?\u1091?\u1073?\u1089?\u1080?\u1076?\u1080?\u1072?\u1088?\u1085?\u1086?\u1089?\u1090? \u1080? \u1087?\u1088?\u1086?\u1087?\u1086?\u1088?\u1094?\u1080?\u1086?\u1085?\u1072?\u1083?\u1085?\u1086?\u1089?\u1090?: \u1079?\u1072?\u1089?\u1080?\u1083?\u1074?\u1072?\u1085?\u1077? \u1085?\u1072? \u1090?\u1103?\u1093?\u1085?\u1072?\u1090?\u1072? \u1088?\u1086?\u1083?\u1103? \u1074? \u1080?\u1079?\u1075?\u1086?\u1090?\u1074?\u1103?\u1085?\u1077?\u1090?\u1086? \u1085?\u1072? \u1087?\u1086?\u1083?\u1080?\u1090?\u1080?\u1082?\u1080?\u1090?\u1077? \u1085?\u1072? \u1045?\u1057?"/>
    <w:docVar w:name="LW_PART_NBR" w:val="&lt;UNUSED&gt;"/>
    <w:docVar w:name="LW_PART_NBR_TOTAL" w:val="&lt;UNUSED&gt;"/>
    <w:docVar w:name="LW_REF.INST.NEW" w:val="COM"/>
    <w:docVar w:name="LW_REF.INST.NEW_ADOPTED" w:val="final"/>
    <w:docVar w:name="LW_REF.INST.NEW_TEXT" w:val="(2018) 7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u1055?\u1056?\u1048?\u1051?\u1054?\u1046?\u1045?\u1053?\u1048?\u1071?_x000b_"/>
    <w:docVar w:name="LW_TYPEACTEPRINCIPAL.CP" w:val="\u1057?\u1066?\u1054?\u1041?\u1065?\u1045?\u1053?\u1048?\u1045? \u1053?\u1040? \u1050?\u1054?\u1052?\u1048?\u1057?\u1048?\u1071?\u1058?\u1040? \u1044?\u1054? \u1045?\u1042?\u1056?\u1054?\u1055?\u1045?\u1049?\u1057?\u1050?\u1048?\u1071? \u1055?\u1040?\u1056?\u1051?\u1040?\u1052?\u1045?\u1053?\u1058?, \u1045?\u1042?\u1056?\u1054?\u1055?\u1045?\u1049?\u1057?\u1050?\u1048?\u1071? \u1057?\u1066?\u1042?\u1045?\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w:rsids>
    <w:rsidRoot w:val="00456C04"/>
    <w:rsid w:val="00456C04"/>
    <w:rsid w:val="00FF3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7BBB819-3D02-4D64-9A72-2B70089A9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bg-BG"/>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bg-BG"/>
    </w:rPr>
  </w:style>
  <w:style w:type="character" w:customStyle="1" w:styleId="HeaderChar">
    <w:name w:val="Header Char"/>
    <w:basedOn w:val="DefaultParagraphFont"/>
    <w:link w:val="Header"/>
    <w:uiPriority w:val="99"/>
    <w:rPr>
      <w:sz w:val="24"/>
      <w:lang w:eastAsia="bg-BG"/>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customStyle="1" w:styleId="ANNEXstyle">
    <w:name w:val="ANNEX style"/>
    <w:basedOn w:val="Normal"/>
    <w:next w:val="Normal"/>
    <w:qFormat/>
    <w:pPr>
      <w:jc w:val="center"/>
    </w:pPr>
    <w:rPr>
      <w:b/>
      <w:i/>
      <w:smallCaps/>
      <w:sz w:val="28"/>
      <w:szCs w:val="2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Created>
    <Version>4.6</Version>
    <Date>2018-10-17T17:34:49</Date>
    <Language>EN</Language>
  </Created>
  <Edited>
    <Version>10.0.37613.0</Version>
    <Date>2018-11-05T10:00:01</Date>
  </Edited>
  <DocumentModel>
    <Id>6cbda13a-4db2-46c6-876a-ef72275827ef</Id>
    <Name>Report</Name>
  </DocumentModel>
  <DocumentDate/>
  <DocumentVersion/>
  <CompatibilityMode>Eurolook4x</CompatibilityMode>
  <Address/>
</EurolookProperties>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Author Role="Creator">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ShowInSignature="true"/>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5bfaee95-3489-4c92-8292-c43019406cf5</Id>
    <LogicalLevel>2</LogicalLevel>
    <Name>SG.A</Name>
    <HeadLine1>Directorate A -  Strategy, Better Regulation &amp; Corporate Governance</HeadLine1>
    <HeadLine2/>
    <PrimaryAddressId>f03b5801-04c9-4931-aa17-c6d6c70bc579</PrimaryAddressId>
    <SecondaryAddressId/>
    <WebAddress/>
    <InheritedWebAddress>WebAddress</InheritedWebAddress>
    <ShowInHeader>true</ShowInHeader>
  </OrgaEntity2>
  <OrgaEntity3>
    <Id>e54bba68-9594-477c-a130-7fe31e382331</Id>
    <LogicalLevel>3</LogicalLevel>
    <Name>SG.A.1</Name>
    <HeadLine1>SG.A.1-Policy Priorities &amp; Work Programme</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+32 229 84108</Phone>
    <Office>BERL 05/078</Office>
  </MainWorkplace>
  <Workplaces>
    <Workplace IsMain="false">
      <AddressId>1264fb81-f6bb-475e-9f9d-a937d3be6ee2</AddressId>
      <Fax/>
      <Phone/>
      <Office/>
    </Workplace>
    <Workplace IsMain="true">
      <AddressId>f03b5801-04c9-4931-aa17-c6d6c70bc579</AddressId>
      <Fax/>
      <Phone>+32 229 84108</Phone>
      <Office>BERL 05/078</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DBC48-88FA-49A8-B281-B3A9C66A5659}">
  <ds:schemaRefs/>
</ds:datastoreItem>
</file>

<file path=customXml/itemProps2.xml><?xml version="1.0" encoding="utf-8"?>
<ds:datastoreItem xmlns:ds="http://schemas.openxmlformats.org/officeDocument/2006/customXml" ds:itemID="{BFE1FD3A-8616-443B-87F6-9F2B27931FF7}">
  <ds:schemaRefs/>
</ds:datastoreItem>
</file>

<file path=customXml/itemProps3.xml><?xml version="1.0" encoding="utf-8"?>
<ds:datastoreItem xmlns:ds="http://schemas.openxmlformats.org/officeDocument/2006/customXml" ds:itemID="{BB4E2109-C55E-49C4-99E1-9D1DD31552F2}">
  <ds:schemaRefs/>
</ds:datastoreItem>
</file>

<file path=customXml/itemProps4.xml><?xml version="1.0" encoding="utf-8"?>
<ds:datastoreItem xmlns:ds="http://schemas.openxmlformats.org/officeDocument/2006/customXml" ds:itemID="{23D08D06-4C48-4FD9-BF77-66AF96853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15</TotalTime>
  <Pages>7</Pages>
  <Words>2138</Words>
  <Characters>13087</Characters>
  <Application>Microsoft Office Word</Application>
  <DocSecurity>0</DocSecurity>
  <PresentationFormat>Microsoft Word 14.0</PresentationFormat>
  <Lines>311</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HEILEMANN Stefanie (SG)</cp:lastModifiedBy>
  <cp:revision>13</cp:revision>
  <dcterms:created xsi:type="dcterms:W3CDTF">2018-10-17T17:30:00Z</dcterms:created>
  <dcterms:modified xsi:type="dcterms:W3CDTF">2018-11-05T09:00:00Z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LW 6.0.1, Build 20180503</vt:lpwstr>
  </property>
  <property fmtid="{D5CDD505-2E9C-101B-9397-08002B2CF9AE}" pid="7" name="Formatting">
    <vt:lpwstr>4.1</vt:lpwstr>
  </property>
  <property fmtid="{D5CDD505-2E9C-101B-9397-08002B2CF9AE}" pid="8" name="Last edited using">
    <vt:lpwstr>LW 6.0.1, Build 20180503</vt:lpwstr>
  </property>
  <property fmtid="{D5CDD505-2E9C-101B-9397-08002B2CF9AE}" pid="9" name="EL_Author">
    <vt:lpwstr>Duncan Johnstone</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Level of sensitivity">
    <vt:lpwstr>Standard treatment</vt:lpwstr>
  </property>
  <property fmtid="{D5CDD505-2E9C-101B-9397-08002B2CF9AE}" pid="14" name="First annex">
    <vt:lpwstr>1</vt:lpwstr>
  </property>
  <property fmtid="{D5CDD505-2E9C-101B-9397-08002B2CF9AE}" pid="15" name="Last annex">
    <vt:lpwstr>2</vt:lpwstr>
  </property>
  <property fmtid="{D5CDD505-2E9C-101B-9397-08002B2CF9AE}" pid="16" name="Unique annex">
    <vt:lpwstr>0</vt:lpwstr>
  </property>
  <property fmtid="{D5CDD505-2E9C-101B-9397-08002B2CF9AE}" pid="17" name="Part">
    <vt:lpwstr>&lt;UNUSED&gt;</vt:lpwstr>
  </property>
  <property fmtid="{D5CDD505-2E9C-101B-9397-08002B2CF9AE}" pid="18" name="Total parts">
    <vt:lpwstr>&lt;UNUSED&gt;</vt:lpwstr>
  </property>
  <property fmtid="{D5CDD505-2E9C-101B-9397-08002B2CF9AE}" pid="19" name="DocStatus">
    <vt:lpwstr>Green</vt:lpwstr>
  </property>
</Properties>
</file>