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3E5DF5E-B801-4725-A4BE-315493544C5D" style="width:450.8pt;height:379.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rPr>
          <w:noProof/>
        </w:rPr>
      </w:pPr>
      <w:r>
        <w:rPr>
          <w:noProof/>
        </w:rPr>
        <w:t>В съответствие с член 395, параграф 1 от Директива 2006/112/ЕО от 28 ноември 2006 г. относно общата система на данъка върху добавената стойност</w:t>
      </w:r>
      <w:r>
        <w:rPr>
          <w:rStyle w:val="FootnoteReference"/>
          <w:noProof/>
        </w:rPr>
        <w:footnoteReference w:id="1"/>
      </w:r>
      <w:r>
        <w:rPr>
          <w:noProof/>
        </w:rPr>
        <w:t xml:space="preserve"> (Директивата за ДДС) Съветът, като действа с единодушие по предложение на Комисията, може да разреши на всяка държава членка да прилага специални мерки за дерогация от разпоредбите на посочената директива с цел да опрости процедурата за събиране на ДДС или да предотврати някои форми на отклонение от данъчно облагане или избягване на данъци.</w:t>
      </w:r>
    </w:p>
    <w:p>
      <w:pPr>
        <w:rPr>
          <w:noProof/>
        </w:rPr>
      </w:pPr>
      <w:r>
        <w:rPr>
          <w:noProof/>
        </w:rPr>
        <w:t>С писмо, заведено в Комисията на 20 юни 2018 г., Република Латвия (наричана по-нататък Латвия) поиска разрешение да продължи да прилага мярка за дерогация от член 193 от Директивата за ДДС, с който се определя лицето – платец на ДДС. С писмо, заведено в Комисията на 17 август 2018 г., Латвия изпрати доклад за прилагането на мярката, както се изисква с член 2 от Решение за изпълнение 2009/1008/EС на Съвета от 7 декември 2009 г.</w:t>
      </w:r>
      <w:r>
        <w:rPr>
          <w:rStyle w:val="FootnoteReference"/>
          <w:noProof/>
        </w:rPr>
        <w:footnoteReference w:id="2"/>
      </w:r>
      <w:r>
        <w:rPr>
          <w:noProof/>
        </w:rPr>
        <w:t>, изменено с Решение за изпълнение (EС) 2015/2396 на Съвета от 10 декември 2015 г.</w:t>
      </w:r>
      <w:r>
        <w:rPr>
          <w:rStyle w:val="FootnoteReference"/>
          <w:noProof/>
        </w:rPr>
        <w:footnoteReference w:id="3"/>
      </w:r>
      <w:r>
        <w:rPr>
          <w:noProof/>
        </w:rPr>
        <w:t>.</w:t>
      </w:r>
    </w:p>
    <w:p>
      <w:pPr>
        <w:rPr>
          <w:noProof/>
        </w:rPr>
      </w:pPr>
      <w:r>
        <w:rPr>
          <w:noProof/>
        </w:rPr>
        <w:t>В съответствие с член 395, параграф 2 от Директивата за ДДС с писма от 7 септември 2018 г. Комисията осведоми останалите държави членки за отправеното от Латвия искане. С писмо от 10 септември 2018 г. Комисията уведоми Латвия, че разполага с цялата информация, необходима за разглеждане на искането.</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В член 193 от Директивата за ДДС се предвижда, че в общия случай платец на ДДС е данъчно задълженото лице, което доставя стоките или услугите.</w:t>
      </w:r>
    </w:p>
    <w:p>
      <w:pPr>
        <w:pBdr>
          <w:top w:val="nil"/>
          <w:left w:val="nil"/>
          <w:bottom w:val="nil"/>
          <w:right w:val="nil"/>
          <w:between w:val="nil"/>
          <w:bar w:val="nil"/>
        </w:pBdr>
        <w:spacing w:before="0" w:after="240"/>
        <w:rPr>
          <w:noProof/>
        </w:rPr>
      </w:pPr>
      <w:r>
        <w:rPr>
          <w:noProof/>
        </w:rPr>
        <w:t>По силата на член 395 от Директивата за ДДС държавите членки могат да въведат с разрешение от Съвета мерки за дерогация от разпоредбите на Директивата, за да опростят процедурата за събиране на ДДС или за да предотвратят определени форми на отклонение от данъчно облагане или избягване на данъци.</w:t>
      </w:r>
    </w:p>
    <w:p>
      <w:pPr>
        <w:pBdr>
          <w:top w:val="nil"/>
          <w:left w:val="nil"/>
          <w:bottom w:val="nil"/>
          <w:right w:val="nil"/>
          <w:between w:val="nil"/>
          <w:bar w:val="nil"/>
        </w:pBdr>
        <w:spacing w:before="0" w:after="240"/>
        <w:rPr>
          <w:noProof/>
        </w:rPr>
      </w:pPr>
      <w:r>
        <w:rPr>
          <w:noProof/>
        </w:rPr>
        <w:t>Латвия поиска да продължи прилагането на механизма за обратно начисляване за сделките с дървен материал. При този механизъм платец на ДДС е лицето, което получава доставките на стоки или услуги.</w:t>
      </w:r>
    </w:p>
    <w:p>
      <w:pPr>
        <w:pBdr>
          <w:top w:val="nil"/>
          <w:left w:val="nil"/>
          <w:bottom w:val="nil"/>
          <w:right w:val="nil"/>
          <w:between w:val="nil"/>
          <w:bar w:val="nil"/>
        </w:pBdr>
        <w:spacing w:before="0" w:after="240"/>
        <w:rPr>
          <w:noProof/>
        </w:rPr>
      </w:pPr>
      <w:r>
        <w:rPr>
          <w:noProof/>
        </w:rPr>
        <w:t>Мярката за дерогация бе първоначално разрешена на Латвия по силата на Решение 2006/42/EО на Съвета от 24 януари 2006 г.</w:t>
      </w:r>
      <w:r>
        <w:rPr>
          <w:rStyle w:val="FootnoteReference"/>
          <w:noProof/>
        </w:rPr>
        <w:footnoteReference w:id="4"/>
      </w:r>
      <w:r>
        <w:rPr>
          <w:noProof/>
        </w:rPr>
        <w:t xml:space="preserve"> със срок до 31 декември 2009 г. и Решение за изпълнение 2009/1008/EС на Съвета от 7 декември 2009 г.</w:t>
      </w:r>
      <w:r>
        <w:rPr>
          <w:rStyle w:val="FootnoteReference"/>
          <w:noProof/>
        </w:rPr>
        <w:footnoteReference w:id="5"/>
      </w:r>
      <w:r>
        <w:rPr>
          <w:noProof/>
        </w:rPr>
        <w:t xml:space="preserve"> със срок до 31 декември 2012 г. Впоследствие срокът на разрешението за прилагане на мярката за дерогация бе удължен по силата на Решение за изпълнение 2013/55/EС на Съвета от 22 януари 2013 г.</w:t>
      </w:r>
      <w:r>
        <w:rPr>
          <w:rStyle w:val="FootnoteReference"/>
          <w:noProof/>
        </w:rPr>
        <w:footnoteReference w:id="6"/>
      </w:r>
      <w:r>
        <w:rPr>
          <w:noProof/>
        </w:rPr>
        <w:t xml:space="preserve"> до 31 декември 2015 г. и Решение за изпълнение (ЕС) 2015/2396 на Съвета от 10 декември 2015 г. </w:t>
      </w:r>
      <w:r>
        <w:rPr>
          <w:rStyle w:val="FootnoteReference"/>
          <w:noProof/>
        </w:rPr>
        <w:footnoteReference w:id="7"/>
      </w:r>
      <w:r>
        <w:rPr>
          <w:noProof/>
        </w:rPr>
        <w:t xml:space="preserve"> до 31 декември 2018 г.</w:t>
      </w:r>
    </w:p>
    <w:p>
      <w:pPr>
        <w:pBdr>
          <w:top w:val="nil"/>
          <w:left w:val="nil"/>
          <w:bottom w:val="nil"/>
          <w:right w:val="nil"/>
          <w:between w:val="nil"/>
          <w:bar w:val="nil"/>
        </w:pBdr>
        <w:spacing w:before="0" w:after="240"/>
        <w:rPr>
          <w:noProof/>
        </w:rPr>
      </w:pPr>
      <w:r>
        <w:rPr>
          <w:noProof/>
        </w:rPr>
        <w:lastRenderedPageBreak/>
        <w:t xml:space="preserve">Според Латвия търговията с дървен материал, която е един от най-важните отрасли на стопанството ѝ, е особено чувствителна към измамите с ДДС, защото на пазара господстват голям брой малки местни предприятия и индивидуални доставчици. Естеството на пазара и на действащите на него предприятия е довело до измами с ДДС, контролът върху които е труден за данъчните власти на Латвия. За да противодействат на тези измами, те са въвели механизма за обратно начисляване за сделките с дървен материал, който се е оказал много ефективен и е довел до значителен спад на измамите в този отрасъл. </w:t>
      </w:r>
    </w:p>
    <w:p>
      <w:pPr>
        <w:pBdr>
          <w:top w:val="nil"/>
          <w:left w:val="nil"/>
          <w:bottom w:val="nil"/>
          <w:right w:val="nil"/>
          <w:between w:val="nil"/>
          <w:bar w:val="nil"/>
        </w:pBdr>
        <w:spacing w:before="0" w:after="240"/>
        <w:rPr>
          <w:noProof/>
        </w:rPr>
      </w:pPr>
      <w:r>
        <w:rPr>
          <w:noProof/>
        </w:rPr>
        <w:t>Освен това според Латвия специалната мярка не се отразява отрицателно върху общия размер на приходите от ДДС, събирани на етапа на крайното потребление, и съответно не въздейства неблагоприятно и върху собствените ресурси на Съюза от ДДС.</w:t>
      </w:r>
    </w:p>
    <w:p>
      <w:pPr>
        <w:pBdr>
          <w:top w:val="nil"/>
          <w:left w:val="nil"/>
          <w:bottom w:val="nil"/>
          <w:right w:val="nil"/>
          <w:between w:val="nil"/>
          <w:bar w:val="nil"/>
        </w:pBdr>
        <w:spacing w:before="0" w:after="240"/>
        <w:rPr>
          <w:noProof/>
        </w:rPr>
      </w:pPr>
      <w:r>
        <w:rPr>
          <w:noProof/>
        </w:rPr>
        <w:t xml:space="preserve">По начало дерогациите се предоставят за ограничен срок, така щото да може да се прецени дали специалната мярка е подходяща и ефективна и да се осигури достатъчно време на държавите членки за въвеждане на други конвенционални мерки по съответния проблем до изтичането на срока на мярката за дерогация, поради което би отпаднала нуждата от удължаване на срока ѝ. Дерогация за използване на механизма за обратно начисляване се разрешава само по изключение за определени области с повече измами и се употребява в краен случай. </w:t>
      </w:r>
    </w:p>
    <w:p>
      <w:pPr>
        <w:pBdr>
          <w:top w:val="nil"/>
          <w:left w:val="nil"/>
          <w:bottom w:val="nil"/>
          <w:right w:val="nil"/>
          <w:between w:val="nil"/>
          <w:bar w:val="nil"/>
        </w:pBdr>
        <w:spacing w:before="0" w:after="240"/>
        <w:rPr>
          <w:rFonts w:eastAsia="Arial Unicode MS"/>
          <w:noProof/>
        </w:rPr>
      </w:pPr>
      <w:r>
        <w:rPr>
          <w:noProof/>
        </w:rPr>
        <w:t xml:space="preserve">Като се има предвид непромененото правно и фактическо положение, се предлага удължаване на срока на мярката за дерогация за последен път, вследствие на което Латвия ще може да прилага тази мярка за дерогация до 31 декември 2021 г. До изтичането на срока на дерогацията Латвия следва да въведе други конвенционални мерки за борба и предотвратяване на измамите с ДДС в търговията с дървен материал. Вследствие на въвеждането на тези мерки би трябвало да отпадне нуждата от продължаване на дерогацията от член 193 от Директива 2006/112/ЕО по отношение на тези доставки.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Подобни дерогации във връзка с член 193 от Директивата за ДДС са предоставени на други държави членки.</w:t>
      </w:r>
    </w:p>
    <w:p>
      <w:pPr>
        <w:pBdr>
          <w:top w:val="nil"/>
          <w:left w:val="nil"/>
          <w:bottom w:val="nil"/>
          <w:right w:val="nil"/>
          <w:between w:val="nil"/>
          <w:bar w:val="nil"/>
        </w:pBdr>
        <w:spacing w:before="0" w:after="240"/>
        <w:rPr>
          <w:rFonts w:eastAsia="Arial Unicode MS"/>
          <w:noProof/>
        </w:rPr>
      </w:pPr>
      <w:r>
        <w:rPr>
          <w:noProof/>
        </w:rPr>
        <w:t xml:space="preserve">Следователно предложената мярка е съобразена с действащите разпоредби на Директивата за ДДС. </w:t>
      </w:r>
    </w:p>
    <w:p>
      <w:pPr>
        <w:pStyle w:val="ManualHeading1"/>
        <w:rPr>
          <w:noProof/>
        </w:rPr>
      </w:pPr>
      <w:r>
        <w:rPr>
          <w:noProof/>
        </w:rPr>
        <w:t>2.</w:t>
      </w:r>
      <w:r>
        <w:rPr>
          <w:noProof/>
        </w:rPr>
        <w:tab/>
        <w:t>ПРАВНО ОСНОВАНИЕ, СУБСИДИАРНОСТ И ПРОПРОЦИОНАЛНОСТ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Член 395 от Директивата за ДДС.</w:t>
      </w:r>
    </w:p>
    <w:p>
      <w:pPr>
        <w:pStyle w:val="ManualHeading2"/>
        <w:rPr>
          <w:rFonts w:eastAsia="Arial Unicode MS"/>
          <w:noProof/>
          <w:u w:color="000000"/>
          <w:bdr w:val="nil"/>
        </w:rPr>
      </w:pPr>
      <w:r>
        <w:rPr>
          <w:noProof/>
        </w:rPr>
        <w:t>•</w:t>
      </w:r>
      <w:r>
        <w:rPr>
          <w:noProof/>
        </w:rPr>
        <w:tab/>
        <w:t xml:space="preserve">Субсидиарност (извън областите на 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Като се има предвид разпоредбата от Директивата за ДДС, на основание на която е съставено предложението, принципът на субсидиарността не се прилага.</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 xml:space="preserve">Решението се отнася до предоставяне на разрешение на държава членка по нейно искане и не представлява задължение. </w:t>
      </w:r>
    </w:p>
    <w:p>
      <w:pPr>
        <w:rPr>
          <w:rFonts w:eastAsia="Arial Unicode MS"/>
          <w:noProof/>
        </w:rPr>
      </w:pPr>
      <w:r>
        <w:rPr>
          <w:noProof/>
        </w:rPr>
        <w:lastRenderedPageBreak/>
        <w:t>Предвид ограничения обхват на дерогацията специалната мярка е пропорционална на преследваната цел.</w:t>
      </w:r>
    </w:p>
    <w:p>
      <w:pPr>
        <w:pStyle w:val="ManualHeading2"/>
        <w:rPr>
          <w:rFonts w:eastAsia="Arial Unicode MS"/>
          <w:noProof/>
          <w:u w:color="000000"/>
          <w:bdr w:val="nil"/>
        </w:rPr>
      </w:pPr>
      <w:r>
        <w:rPr>
          <w:noProof/>
        </w:rPr>
        <w:t>•</w:t>
      </w:r>
      <w:r>
        <w:rPr>
          <w:noProof/>
        </w:rPr>
        <w:tab/>
        <w:t>Избор на нормативен акт</w:t>
      </w:r>
    </w:p>
    <w:p>
      <w:pPr>
        <w:spacing w:before="0" w:after="240"/>
        <w:rPr>
          <w:rFonts w:eastAsia="Arial Unicode MS"/>
          <w:noProof/>
        </w:rPr>
      </w:pPr>
      <w:r>
        <w:rPr>
          <w:noProof/>
        </w:rPr>
        <w:t>Предлаган нормативен акт: решение за изпълнение на Съвета.</w:t>
      </w:r>
    </w:p>
    <w:p>
      <w:pPr>
        <w:spacing w:before="0" w:after="240"/>
        <w:rPr>
          <w:rFonts w:eastAsia="Arial Unicode MS"/>
          <w:noProof/>
        </w:rPr>
      </w:pPr>
      <w:r>
        <w:rPr>
          <w:noProof/>
        </w:rPr>
        <w:t>По силата на член 395 от Директива 2006/112/EО на Съвета дерогация от общите разпоредби за ДДС е възможна единствено след разрешение от Съвета, действащ с единодушие по предложение на Комисията. Решение за изпълнение на Съвета е най-подходящият нормативен акт, тъй като негов адресат може да бъде отделна държава членка.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Настоящото предложение се основава на искане, отправено от Латвия, и засяга само тази държава членка.</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бяха необходими външни експертни становища.</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 xml:space="preserve">С предложеното Решение за изпълнение на Съвета на Латвия се предоставя разрешение да продължи да прилага механизма за обратно начисляване за сделките с дървен материал. Положението, заради което е предоставено първоначалното разрешение, продължава да съществува. Латвия твърди, че въпреки намалението на броя на измамите и отклонението от облагане с ДДС на пазара на дървен материал след въвеждането на обратното начисляване, рискът не е премахнат. </w:t>
      </w:r>
    </w:p>
    <w:p>
      <w:pPr>
        <w:pBdr>
          <w:top w:val="nil"/>
          <w:left w:val="nil"/>
          <w:bottom w:val="nil"/>
          <w:right w:val="nil"/>
          <w:between w:val="nil"/>
          <w:bar w:val="nil"/>
        </w:pBdr>
        <w:spacing w:before="0" w:after="240"/>
        <w:rPr>
          <w:noProof/>
        </w:rPr>
      </w:pPr>
      <w:r>
        <w:rPr>
          <w:noProof/>
        </w:rPr>
        <w:t>Според Латвия удължаването на срока на тази мярка няма да се отрази отрицателно върху общия размер на приходите от ДДС, събирани на етапа на крайното потребление, и съответно няма да окаже неблагоприятно въздействие върху собствените ресурси на Съюза от ДДС.</w:t>
      </w:r>
    </w:p>
    <w:p>
      <w:pPr>
        <w:pStyle w:val="ManualHeading1"/>
        <w:rPr>
          <w:noProof/>
        </w:rPr>
      </w:pPr>
      <w:r>
        <w:rPr>
          <w:noProof/>
        </w:rPr>
        <w:t>4.</w:t>
      </w:r>
      <w:r>
        <w:rPr>
          <w:noProof/>
        </w:rPr>
        <w:tab/>
        <w:t>ОТРАЖЕНИЕ ВЪРХУ БЮДЖЕТА</w:t>
      </w:r>
    </w:p>
    <w:p>
      <w:pPr>
        <w:rPr>
          <w:noProof/>
        </w:rPr>
      </w:pPr>
      <w:r>
        <w:rPr>
          <w:noProof/>
        </w:rPr>
        <w:t xml:space="preserve">Предложението няма отражение върху бюджета на ЕС. </w:t>
      </w:r>
    </w:p>
    <w:p>
      <w:pPr>
        <w:pStyle w:val="ManualHeading1"/>
        <w:rPr>
          <w:noProof/>
        </w:rPr>
      </w:pPr>
      <w:r>
        <w:rPr>
          <w:noProof/>
        </w:rPr>
        <w:t>5.</w:t>
      </w:r>
      <w:r>
        <w:rPr>
          <w:noProof/>
        </w:rPr>
        <w:tab/>
        <w:t>ДРУГИ ЕЛЕМЕНТИ</w:t>
      </w:r>
    </w:p>
    <w:p>
      <w:pPr>
        <w:rPr>
          <w:b/>
          <w:noProof/>
        </w:rPr>
      </w:pPr>
      <w:r>
        <w:rPr>
          <w:noProof/>
        </w:rPr>
        <w:t>Предложението е ограничено във времето.</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2018/0381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изменение на Решение за изпълнение 2009/1008/ЕС за предоставяне на разрешение на Република Латвия да удължи срока на прилагането на мярка за дерогация от член 193 от Директива 2006/112/ЕО относно общата система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
          <w:noProof/>
        </w:rPr>
        <w:footnoteReference w:id="8"/>
      </w:r>
      <w:r>
        <w:rPr>
          <w:noProof/>
        </w:rPr>
        <w:t>, и по-специално член 395, параграф 1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Решение 2006/42/ЕО на Съвета</w:t>
      </w:r>
      <w:r>
        <w:rPr>
          <w:rStyle w:val="FootnoteReference"/>
          <w:noProof/>
        </w:rPr>
        <w:footnoteReference w:id="9"/>
      </w:r>
      <w:r>
        <w:rPr>
          <w:noProof/>
        </w:rPr>
        <w:t xml:space="preserve"> на Латвия бе разрешено да въведе мярка за дерогация от член 21, параграф 1, буква а) от Директива 77/388/ЕИО</w:t>
      </w:r>
      <w:r>
        <w:rPr>
          <w:rStyle w:val="FootnoteReference"/>
          <w:noProof/>
        </w:rPr>
        <w:footnoteReference w:id="10"/>
      </w:r>
      <w:r>
        <w:rPr>
          <w:noProof/>
        </w:rPr>
        <w:t>, чрез която да определи, че до 31 декември 2009 г. при сделките с дървен материал платец на данъка върху добавената стойност (ДДС) е получателят на стоките.  По силата на Решение за изпълнение 2009/1008/ЕС на Съвета</w:t>
      </w:r>
      <w:r>
        <w:rPr>
          <w:rStyle w:val="FootnoteReference"/>
          <w:noProof/>
        </w:rPr>
        <w:footnoteReference w:id="11"/>
      </w:r>
      <w:r>
        <w:rPr>
          <w:noProof/>
        </w:rPr>
        <w:t xml:space="preserve"> чрез дерогация от член 193 от Директива 2006/112/ЕО на Латвия бе разрешено да продължи да определя получателя за платец на ДДС при сделките с дървен материал до 31 декември 2012 г. Впоследствие срокът на разрешението за прилагане на мярката за дерогация бе удължен по силата на Решение за изпълнение 2013/55/EС на Съвета</w:t>
      </w:r>
      <w:r>
        <w:rPr>
          <w:rStyle w:val="FootnoteReference"/>
          <w:noProof/>
        </w:rPr>
        <w:footnoteReference w:id="12"/>
      </w:r>
      <w:r>
        <w:rPr>
          <w:noProof/>
        </w:rPr>
        <w:t xml:space="preserve"> до 31 декември 2015 г. и по силата на Решение за изпълнение (ЕС) 2015/2396 на Съвета</w:t>
      </w:r>
      <w:r>
        <w:rPr>
          <w:rStyle w:val="FootnoteReference"/>
          <w:noProof/>
        </w:rPr>
        <w:footnoteReference w:id="13"/>
      </w:r>
      <w:r>
        <w:rPr>
          <w:noProof/>
        </w:rPr>
        <w:t xml:space="preserve"> – до 31 декември 2018 г. </w:t>
      </w:r>
    </w:p>
    <w:p>
      <w:pPr>
        <w:pStyle w:val="ManualConsidrant"/>
        <w:rPr>
          <w:noProof/>
        </w:rPr>
      </w:pPr>
      <w:r>
        <w:t>(2)</w:t>
      </w:r>
      <w:r>
        <w:tab/>
      </w:r>
      <w:r>
        <w:rPr>
          <w:noProof/>
        </w:rPr>
        <w:t xml:space="preserve">С писмо, заведено в Комисията на 20 юни 2018 г., Латвия поиска разрешение да продължи да прилага мярка за дерогация от член 193 от Директива 2006/112/ЕО </w:t>
      </w:r>
      <w:r>
        <w:rPr>
          <w:noProof/>
        </w:rPr>
        <w:lastRenderedPageBreak/>
        <w:t>за доставките на дървен материал. С писмо, заведено в Комисията на 17 август 2018 г., Латвия предаде на Комисията доклад за прилагането на мярката, както се изисква по силата на член 2, втория параграф от Решение за изпълнение 2009/1008/ЕС на Съвета.</w:t>
      </w:r>
    </w:p>
    <w:p>
      <w:pPr>
        <w:pStyle w:val="ManualConsidrant"/>
        <w:rPr>
          <w:noProof/>
        </w:rPr>
      </w:pPr>
      <w:r>
        <w:t>(3)</w:t>
      </w:r>
      <w:r>
        <w:tab/>
      </w:r>
      <w:r>
        <w:rPr>
          <w:noProof/>
        </w:rPr>
        <w:t>В съответствие с член 395, параграф 2, втората алинея от Директива 2006/112/ЕО с писма от 7 септември 2018 г. Комисията осведоми останалите държави членки за отправеното от Латвия искане. С писмо от 10 септември 2018 г. Комисията уведоми Латвия, че разполага с цялата информация, необходима за разглеждане на искането.</w:t>
      </w:r>
    </w:p>
    <w:p>
      <w:pPr>
        <w:pStyle w:val="ManualConsidrant"/>
        <w:rPr>
          <w:noProof/>
        </w:rPr>
      </w:pPr>
      <w:r>
        <w:t>(4)</w:t>
      </w:r>
      <w:r>
        <w:tab/>
      </w:r>
      <w:r>
        <w:rPr>
          <w:noProof/>
        </w:rPr>
        <w:t xml:space="preserve">Според Латвия търговията с дървен материал, която е един от най-важните отрасли на стопанството ѝ, е особено чувствителна към измамите с ДДС, защото на пазара господстват голям брой малки местни предприятия и индивидуални доставчици. Естеството на пазара и действащите на него предприятия е довело до измами с ДДС, контролът върху които е труден за данъчните власти на Латвия. За да противодействат на тези измами, те са въвели механизма за обратно начисляване за сделките с дървен материал, който се е оказал много ефективен и е довел до значителен спад на измамите в този отрасъл. </w:t>
      </w:r>
    </w:p>
    <w:p>
      <w:pPr>
        <w:pStyle w:val="ManualConsidrant"/>
        <w:rPr>
          <w:noProof/>
        </w:rPr>
      </w:pPr>
      <w:r>
        <w:t>(5)</w:t>
      </w:r>
      <w:r>
        <w:tab/>
      </w:r>
      <w:r>
        <w:rPr>
          <w:noProof/>
        </w:rPr>
        <w:t xml:space="preserve">Поради това на Латвия следва да се разреши да прилага мярката за дерогация за допълнителен ограничен срок – до 31 декември 2021 г. </w:t>
      </w:r>
    </w:p>
    <w:p>
      <w:pPr>
        <w:pStyle w:val="ManualConsidrant"/>
        <w:rPr>
          <w:noProof/>
        </w:rPr>
      </w:pPr>
      <w:r>
        <w:t>(6)</w:t>
      </w:r>
      <w:r>
        <w:tab/>
      </w:r>
      <w:r>
        <w:rPr>
          <w:noProof/>
        </w:rPr>
        <w:t>По начало дерогациите се разрешават за ограничен срок, за да може да се прецени дали мярката за дерогация е подходяща и ефективна. При разрешаването на дерогации на държавите членки се осигурява достатъчно време за въвеждане на други конвенционални мерки по съответния проблем до изтичането на срока на мярката за дерогация, което би направило удължаването на срока излишно. Дерогация за използване на механизма за обратно начисляване се разрешава само по изключение за определени области с повече измами и се употребява в краен случай. Поради това Латвия следва да въведе други конвенционални мерки за борба и предотвратяване на измамите с ДДС в търговията с дървен материал до изтичането на срока на тази дерогация и съответно би трябвало да отпадне нуждата от дерогация от член 193 от Директива 2006/112/ЕО по отношение на тези доставки.</w:t>
      </w:r>
    </w:p>
    <w:p>
      <w:pPr>
        <w:pStyle w:val="ManualConsidrant"/>
        <w:rPr>
          <w:noProof/>
        </w:rPr>
      </w:pPr>
      <w:r>
        <w:t>(7)</w:t>
      </w:r>
      <w:r>
        <w:tab/>
      </w:r>
      <w:r>
        <w:rPr>
          <w:noProof/>
        </w:rPr>
        <w:t>Мярката за дерогация няма да има отрицателно въздействие върху собствените ресурси на Съюза от ДДС.</w:t>
      </w:r>
    </w:p>
    <w:p>
      <w:pPr>
        <w:pStyle w:val="ManualConsidrant"/>
        <w:rPr>
          <w:noProof/>
        </w:rPr>
      </w:pPr>
      <w:r>
        <w:t>(8)</w:t>
      </w:r>
      <w:r>
        <w:tab/>
      </w:r>
      <w:r>
        <w:rPr>
          <w:noProof/>
        </w:rPr>
        <w:t>Поради това Решение за изпълнение 2009/1008/ЕС следва да бъде съответно изменено,</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Член 2 от Решение за изпълнение 2009/1008/ЕС се заменя със следното:</w:t>
      </w:r>
    </w:p>
    <w:p>
      <w:pPr>
        <w:jc w:val="center"/>
        <w:rPr>
          <w:noProof/>
        </w:rPr>
      </w:pPr>
      <w:r>
        <w:rPr>
          <w:noProof/>
        </w:rPr>
        <w:t>„</w:t>
      </w:r>
      <w:r>
        <w:rPr>
          <w:i/>
          <w:noProof/>
        </w:rPr>
        <w:t>Член 2</w:t>
      </w:r>
    </w:p>
    <w:p>
      <w:pPr>
        <w:rPr>
          <w:noProof/>
        </w:rPr>
      </w:pPr>
      <w:r>
        <w:rPr>
          <w:noProof/>
        </w:rPr>
        <w:t>Настоящото решение се прилага до 31 декември 2021 г.“</w:t>
      </w:r>
    </w:p>
    <w:p>
      <w:pPr>
        <w:pStyle w:val="Titrearticle"/>
        <w:rPr>
          <w:noProof/>
        </w:rPr>
      </w:pPr>
      <w:r>
        <w:rPr>
          <w:noProof/>
        </w:rPr>
        <w:t>Член 2</w:t>
      </w:r>
    </w:p>
    <w:p>
      <w:pPr>
        <w:rPr>
          <w:noProof/>
        </w:rPr>
      </w:pPr>
      <w:r>
        <w:rPr>
          <w:noProof/>
        </w:rPr>
        <w:t>Настоящото решение се прилага от 1 януари 2019 г.</w:t>
      </w:r>
    </w:p>
    <w:p>
      <w:pPr>
        <w:pStyle w:val="Titrearticle"/>
        <w:rPr>
          <w:noProof/>
        </w:rPr>
      </w:pPr>
      <w:r>
        <w:rPr>
          <w:noProof/>
        </w:rPr>
        <w:lastRenderedPageBreak/>
        <w:t>Член 3</w:t>
      </w:r>
    </w:p>
    <w:p>
      <w:pPr>
        <w:keepNext/>
        <w:keepLines/>
        <w:rPr>
          <w:noProof/>
        </w:rPr>
      </w:pPr>
      <w:r>
        <w:rPr>
          <w:noProof/>
        </w:rPr>
        <w:t>Адресат на настоящото решение е Република Латвия.</w:t>
      </w:r>
    </w:p>
    <w:p>
      <w:pPr>
        <w:keepNext/>
        <w:keepLines/>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rPr>
          <w:lang w:val="ru-RU"/>
        </w:rPr>
        <w:tab/>
        <w:t xml:space="preserve">ОВ </w:t>
      </w:r>
      <w:r>
        <w:t>L</w:t>
      </w:r>
      <w:r>
        <w:rPr>
          <w:lang w:val="ru-RU"/>
        </w:rPr>
        <w:t xml:space="preserve"> 347, 11.12.2006 г., стр. 1.</w:t>
      </w:r>
    </w:p>
  </w:footnote>
  <w:footnote w:id="2">
    <w:p>
      <w:pPr>
        <w:pStyle w:val="FootnoteText"/>
        <w:rPr>
          <w:lang w:val="ru-RU"/>
        </w:rPr>
      </w:pPr>
      <w:r>
        <w:rPr>
          <w:rStyle w:val="FootnoteReference"/>
        </w:rPr>
        <w:footnoteRef/>
      </w:r>
      <w:r>
        <w:rPr>
          <w:lang w:val="ru-RU"/>
        </w:rPr>
        <w:tab/>
      </w:r>
      <w:r>
        <w:t>O</w:t>
      </w:r>
      <w:r>
        <w:rPr>
          <w:lang w:val="ru-RU"/>
        </w:rPr>
        <w:t xml:space="preserve">В </w:t>
      </w:r>
      <w:r>
        <w:t>L </w:t>
      </w:r>
      <w:r>
        <w:rPr>
          <w:lang w:val="ru-RU"/>
        </w:rPr>
        <w:t>347, 24.12.2009</w:t>
      </w:r>
      <w:r>
        <w:t> </w:t>
      </w:r>
      <w:r>
        <w:rPr>
          <w:lang w:val="ru-RU"/>
        </w:rPr>
        <w:t>г., стр.</w:t>
      </w:r>
      <w:r>
        <w:t> </w:t>
      </w:r>
      <w:r>
        <w:rPr>
          <w:lang w:val="ru-RU"/>
        </w:rPr>
        <w:t>30.</w:t>
      </w:r>
    </w:p>
  </w:footnote>
  <w:footnote w:id="3">
    <w:p>
      <w:pPr>
        <w:pStyle w:val="FootnoteText"/>
        <w:rPr>
          <w:lang w:val="ru-RU"/>
        </w:rPr>
      </w:pPr>
      <w:r>
        <w:rPr>
          <w:rStyle w:val="FootnoteReference"/>
        </w:rPr>
        <w:footnoteRef/>
      </w:r>
      <w:r>
        <w:rPr>
          <w:lang w:val="ru-RU"/>
        </w:rPr>
        <w:tab/>
        <w:t xml:space="preserve">ОВ </w:t>
      </w:r>
      <w:r>
        <w:t>L</w:t>
      </w:r>
      <w:r>
        <w:rPr>
          <w:lang w:val="ru-RU"/>
        </w:rPr>
        <w:t xml:space="preserve"> 332, 18.12.2015 г., стр. 142.</w:t>
      </w:r>
    </w:p>
  </w:footnote>
  <w:footnote w:id="4">
    <w:p>
      <w:pPr>
        <w:pStyle w:val="FootnoteText"/>
        <w:rPr>
          <w:lang w:val="ru-RU"/>
        </w:rPr>
      </w:pPr>
      <w:r>
        <w:rPr>
          <w:rStyle w:val="FootnoteReference"/>
        </w:rPr>
        <w:footnoteRef/>
      </w:r>
      <w:r>
        <w:rPr>
          <w:lang w:val="ru-RU"/>
        </w:rPr>
        <w:tab/>
        <w:t xml:space="preserve">ОВ </w:t>
      </w:r>
      <w:r>
        <w:t>L</w:t>
      </w:r>
      <w:r>
        <w:rPr>
          <w:lang w:val="ru-RU"/>
        </w:rPr>
        <w:t xml:space="preserve"> 25, 28.1.2006 г., стр. 31.</w:t>
      </w:r>
    </w:p>
  </w:footnote>
  <w:footnote w:id="5">
    <w:p>
      <w:pPr>
        <w:pStyle w:val="FootnoteText"/>
        <w:rPr>
          <w:lang w:val="ru-RU"/>
        </w:rPr>
      </w:pPr>
      <w:r>
        <w:rPr>
          <w:rStyle w:val="FootnoteReference"/>
        </w:rPr>
        <w:footnoteRef/>
      </w:r>
      <w:r>
        <w:rPr>
          <w:lang w:val="ru-RU"/>
        </w:rPr>
        <w:tab/>
      </w:r>
      <w:r>
        <w:t>O</w:t>
      </w:r>
      <w:r>
        <w:rPr>
          <w:lang w:val="ru-RU"/>
        </w:rPr>
        <w:t xml:space="preserve">В </w:t>
      </w:r>
      <w:r>
        <w:t>L </w:t>
      </w:r>
      <w:r>
        <w:rPr>
          <w:lang w:val="ru-RU"/>
        </w:rPr>
        <w:t>347, 24.12.2009</w:t>
      </w:r>
      <w:r>
        <w:t> </w:t>
      </w:r>
      <w:r>
        <w:rPr>
          <w:lang w:val="ru-RU"/>
        </w:rPr>
        <w:t>г., стр.</w:t>
      </w:r>
      <w:r>
        <w:t> </w:t>
      </w:r>
      <w:r>
        <w:rPr>
          <w:lang w:val="ru-RU"/>
        </w:rPr>
        <w:t>30.</w:t>
      </w:r>
    </w:p>
  </w:footnote>
  <w:footnote w:id="6">
    <w:p>
      <w:pPr>
        <w:pStyle w:val="FootnoteText"/>
        <w:rPr>
          <w:lang w:val="ru-RU"/>
        </w:rPr>
      </w:pPr>
      <w:r>
        <w:rPr>
          <w:rStyle w:val="FootnoteReference"/>
        </w:rPr>
        <w:footnoteRef/>
      </w:r>
      <w:r>
        <w:rPr>
          <w:lang w:val="ru-RU"/>
        </w:rPr>
        <w:tab/>
      </w:r>
      <w:r>
        <w:t>O</w:t>
      </w:r>
      <w:r>
        <w:rPr>
          <w:lang w:val="ru-RU"/>
        </w:rPr>
        <w:t xml:space="preserve">В </w:t>
      </w:r>
      <w:r>
        <w:t>L </w:t>
      </w:r>
      <w:r>
        <w:rPr>
          <w:lang w:val="ru-RU"/>
        </w:rPr>
        <w:t>22, 25.1.2013</w:t>
      </w:r>
      <w:r>
        <w:t> </w:t>
      </w:r>
      <w:r>
        <w:rPr>
          <w:lang w:val="ru-RU"/>
        </w:rPr>
        <w:t>г., стр.</w:t>
      </w:r>
      <w:r>
        <w:t> </w:t>
      </w:r>
      <w:r>
        <w:rPr>
          <w:lang w:val="ru-RU"/>
        </w:rPr>
        <w:t>16.</w:t>
      </w:r>
    </w:p>
  </w:footnote>
  <w:footnote w:id="7">
    <w:p>
      <w:pPr>
        <w:pStyle w:val="FootnoteText"/>
        <w:rPr>
          <w:lang w:val="ru-RU"/>
        </w:rPr>
      </w:pPr>
      <w:r>
        <w:rPr>
          <w:rStyle w:val="FootnoteReference"/>
        </w:rPr>
        <w:footnoteRef/>
      </w:r>
      <w:r>
        <w:rPr>
          <w:lang w:val="ru-RU"/>
        </w:rPr>
        <w:tab/>
      </w:r>
      <w:r>
        <w:t>O</w:t>
      </w:r>
      <w:r>
        <w:rPr>
          <w:lang w:val="ru-RU"/>
        </w:rPr>
        <w:t xml:space="preserve">В </w:t>
      </w:r>
      <w:r>
        <w:t>L </w:t>
      </w:r>
      <w:r>
        <w:rPr>
          <w:lang w:val="ru-RU"/>
        </w:rPr>
        <w:t>332, 18.12.2015</w:t>
      </w:r>
      <w:r>
        <w:t> </w:t>
      </w:r>
      <w:r>
        <w:rPr>
          <w:lang w:val="ru-RU"/>
        </w:rPr>
        <w:t>г., стр.</w:t>
      </w:r>
      <w:r>
        <w:t> </w:t>
      </w:r>
      <w:r>
        <w:rPr>
          <w:lang w:val="ru-RU"/>
        </w:rPr>
        <w:t>142.</w:t>
      </w:r>
    </w:p>
  </w:footnote>
  <w:footnote w:id="8">
    <w:p>
      <w:pPr>
        <w:pStyle w:val="FootnoteText"/>
        <w:rPr>
          <w:lang w:val="ru-RU"/>
        </w:rPr>
      </w:pPr>
      <w:r>
        <w:rPr>
          <w:rStyle w:val="FootnoteReference"/>
        </w:rPr>
        <w:footnoteRef/>
      </w:r>
      <w:r>
        <w:rPr>
          <w:lang w:val="ru-RU"/>
        </w:rPr>
        <w:tab/>
      </w:r>
      <w:r>
        <w:t>O</w:t>
      </w:r>
      <w:r>
        <w:rPr>
          <w:lang w:val="ru-RU"/>
        </w:rPr>
        <w:t xml:space="preserve">В </w:t>
      </w:r>
      <w:r>
        <w:t>L </w:t>
      </w:r>
      <w:r>
        <w:rPr>
          <w:lang w:val="ru-RU"/>
        </w:rPr>
        <w:t>347, 11.12.2006</w:t>
      </w:r>
      <w:r>
        <w:t> </w:t>
      </w:r>
      <w:r>
        <w:rPr>
          <w:lang w:val="ru-RU"/>
        </w:rPr>
        <w:t>г., стр.</w:t>
      </w:r>
      <w:r>
        <w:t> </w:t>
      </w:r>
      <w:r>
        <w:rPr>
          <w:lang w:val="ru-RU"/>
        </w:rPr>
        <w:t>1.</w:t>
      </w:r>
    </w:p>
  </w:footnote>
  <w:footnote w:id="9">
    <w:p>
      <w:pPr>
        <w:pStyle w:val="FootnoteText"/>
        <w:rPr>
          <w:lang w:val="ru-RU"/>
        </w:rPr>
      </w:pPr>
      <w:r>
        <w:rPr>
          <w:rStyle w:val="FootnoteReference"/>
        </w:rPr>
        <w:footnoteRef/>
      </w:r>
      <w:r>
        <w:rPr>
          <w:lang w:val="ru-RU"/>
        </w:rPr>
        <w:tab/>
        <w:t xml:space="preserve">ОВ </w:t>
      </w:r>
      <w:r>
        <w:t>L</w:t>
      </w:r>
      <w:r>
        <w:rPr>
          <w:lang w:val="ru-RU"/>
        </w:rPr>
        <w:t xml:space="preserve"> 25, 28.1.2006 г., стр. 31.</w:t>
      </w:r>
    </w:p>
  </w:footnote>
  <w:footnote w:id="10">
    <w:p>
      <w:pPr>
        <w:pStyle w:val="FootnoteText"/>
        <w:rPr>
          <w:lang w:val="ru-RU"/>
        </w:rPr>
      </w:pPr>
      <w:r>
        <w:rPr>
          <w:rStyle w:val="FootnoteReference"/>
        </w:rPr>
        <w:footnoteRef/>
      </w:r>
      <w:r>
        <w:rPr>
          <w:lang w:val="ru-RU"/>
        </w:rPr>
        <w:tab/>
        <w:t xml:space="preserve">Шеста директива 77/388/ЕИО на Съвета от 17 май 1977 г. за хармонизирането на законодателствата на държавите членки, свързани с данъците върху оборота – Обща система на данъка върху добавената стойност: единна данъчна основа (ОВ </w:t>
      </w:r>
      <w:r>
        <w:t>L</w:t>
      </w:r>
      <w:r>
        <w:rPr>
          <w:lang w:val="ru-RU"/>
        </w:rPr>
        <w:t xml:space="preserve"> 145, 13.6.1977 г., стр. 1).</w:t>
      </w:r>
    </w:p>
  </w:footnote>
  <w:footnote w:id="11">
    <w:p>
      <w:pPr>
        <w:pStyle w:val="FootnoteText"/>
        <w:rPr>
          <w:lang w:val="ru-RU"/>
        </w:rPr>
      </w:pPr>
      <w:r>
        <w:rPr>
          <w:rStyle w:val="FootnoteReference"/>
        </w:rPr>
        <w:footnoteRef/>
      </w:r>
      <w:r>
        <w:rPr>
          <w:lang w:val="ru-RU"/>
        </w:rPr>
        <w:tab/>
        <w:t>Решение за изпълнение на Съвета от 7 декември 2009</w:t>
      </w:r>
      <w:r>
        <w:t> </w:t>
      </w:r>
      <w:r>
        <w:rPr>
          <w:lang w:val="ru-RU"/>
        </w:rPr>
        <w:t xml:space="preserve">г. за предоставяне на разрешение на Република Латвия да удължи срока на прилагането на мярка за дерогация от член 193 от Директива 2006/112/ЕО относно общата система на данъка върху добавената стойност (ОВ </w:t>
      </w:r>
      <w:r>
        <w:t>L </w:t>
      </w:r>
      <w:r>
        <w:rPr>
          <w:lang w:val="ru-RU"/>
        </w:rPr>
        <w:t>347, 24.12.2009</w:t>
      </w:r>
      <w:r>
        <w:t> </w:t>
      </w:r>
      <w:r>
        <w:rPr>
          <w:lang w:val="ru-RU"/>
        </w:rPr>
        <w:t>г., стр.</w:t>
      </w:r>
      <w:r>
        <w:t> </w:t>
      </w:r>
      <w:r>
        <w:rPr>
          <w:lang w:val="ru-RU"/>
        </w:rPr>
        <w:t>30).</w:t>
      </w:r>
    </w:p>
  </w:footnote>
  <w:footnote w:id="12">
    <w:p>
      <w:pPr>
        <w:pStyle w:val="FootnoteText"/>
        <w:rPr>
          <w:lang w:val="ru-RU"/>
        </w:rPr>
      </w:pPr>
      <w:r>
        <w:rPr>
          <w:rStyle w:val="FootnoteReference"/>
        </w:rPr>
        <w:footnoteRef/>
      </w:r>
      <w:r>
        <w:rPr>
          <w:lang w:val="ru-RU"/>
        </w:rPr>
        <w:tab/>
        <w:t>Решение за изпълнение на Съвета от 22 януари 2013</w:t>
      </w:r>
      <w:r>
        <w:t> </w:t>
      </w:r>
      <w:r>
        <w:rPr>
          <w:lang w:val="ru-RU"/>
        </w:rPr>
        <w:t xml:space="preserve">г. за изменение на Решение за изпълнение 2009/1008/ЕС, с което се разрешава на Република Латвия да удължи срока на прилагане на мярка за дерогация от член 193 от Директива 2006/112/ЕО относно общата система на данъка върху добавената стойност (ОВ </w:t>
      </w:r>
      <w:r>
        <w:t>L </w:t>
      </w:r>
      <w:r>
        <w:rPr>
          <w:lang w:val="ru-RU"/>
        </w:rPr>
        <w:t>22, 25.1.2013</w:t>
      </w:r>
      <w:r>
        <w:t> </w:t>
      </w:r>
      <w:r>
        <w:rPr>
          <w:lang w:val="ru-RU"/>
        </w:rPr>
        <w:t>г., стр.</w:t>
      </w:r>
      <w:r>
        <w:t> </w:t>
      </w:r>
      <w:r>
        <w:rPr>
          <w:lang w:val="ru-RU"/>
        </w:rPr>
        <w:t>16).</w:t>
      </w:r>
    </w:p>
  </w:footnote>
  <w:footnote w:id="13">
    <w:p>
      <w:pPr>
        <w:pStyle w:val="FootnoteText"/>
        <w:rPr>
          <w:lang w:val="ru-RU"/>
        </w:rPr>
      </w:pPr>
      <w:r>
        <w:rPr>
          <w:rStyle w:val="FootnoteReference"/>
        </w:rPr>
        <w:footnoteRef/>
      </w:r>
      <w:r>
        <w:rPr>
          <w:lang w:val="ru-RU"/>
        </w:rPr>
        <w:tab/>
        <w:t xml:space="preserve">Решение за изпълнение (ЕС) 2015/2396 на Съвета от 10 декември 2015 г. за изменение на Решение за изпълнение 2009/1008/ЕС за разрешаване на Република Латвия да удължи срока на прилагане на мярка за дерогация от член 193 от Директива 2006/112/ЕО относно общата система на данъка върху добавената стойност (ОВ </w:t>
      </w:r>
      <w:r>
        <w:t>L</w:t>
      </w:r>
      <w:r>
        <w:rPr>
          <w:lang w:val="ru-RU"/>
        </w:rPr>
        <w:t xml:space="preserve"> 332, 18.12.2015</w:t>
      </w:r>
      <w:r>
        <w:t> </w:t>
      </w:r>
      <w:r>
        <w:rPr>
          <w:lang w:val="ru-RU"/>
        </w:rPr>
        <w:t>г., стр.</w:t>
      </w:r>
      <w:r>
        <w:t> </w:t>
      </w:r>
      <w:r>
        <w:rPr>
          <w:lang w:val="ru-RU"/>
        </w:rPr>
        <w:t>142).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1F411F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3C221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E90F7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31ACA0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6503F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DE46B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AEC50F8"/>
    <w:lvl w:ilvl="0">
      <w:start w:val="1"/>
      <w:numFmt w:val="decimal"/>
      <w:pStyle w:val="ListNumber"/>
      <w:lvlText w:val="%1."/>
      <w:lvlJc w:val="left"/>
      <w:pPr>
        <w:tabs>
          <w:tab w:val="num" w:pos="360"/>
        </w:tabs>
        <w:ind w:left="360" w:hanging="360"/>
      </w:pPr>
    </w:lvl>
  </w:abstractNum>
  <w:abstractNum w:abstractNumId="7">
    <w:nsid w:val="FFFFFF89"/>
    <w:multiLevelType w:val="singleLevel"/>
    <w:tmpl w:val="638C54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05 13:56:5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3E5DF5E-B801-4725-A4BE-315493544C5D"/>
    <w:docVar w:name="LW_COVERPAGE_TYPE" w:val="1"/>
    <w:docVar w:name="LW_CROSSREFERENCE" w:val="&lt;UNUSED&gt;"/>
    <w:docVar w:name="LW_DocType" w:val="COM"/>
    <w:docVar w:name="LW_EMISSION" w:val="6.11.2018"/>
    <w:docVar w:name="LW_EMISSION_ISODATE" w:val="2018-11-06"/>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81"/>
    <w:docVar w:name="LW_REF.II.NEW.CP_YEAR" w:val="2018"/>
    <w:docVar w:name="LW_REF.INST.NEW" w:val="COM"/>
    <w:docVar w:name="LW_REF.INST.NEW_ADOPTED" w:val="final"/>
    <w:docVar w:name="LW_REF.INST.NEW_TEXT" w:val="(2018) 7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96?\u1077?\u1085?\u1080?\u1077? \u1079?\u1072? \u1080?\u1079?\u1087?\u1098?\u1083?\u1085?\u1077?\u1085?\u1080?\u1077? 2009/1008/\u1045?\u1057? \u1079?\u1072? \u1087?\u1088?\u1077?\u1076?\u1086?\u1089?\u1090?\u1072?\u1074?\u1103?\u1085?\u1077? \u1085?\u1072? \u1088?\u1072?\u1079?\u1088?\u1077?\u1096?\u1077?\u1085?\u1080?\u1077? \u1085?\u1072? \u1056?\u1077?\u1087?\u1091?\u1073?\u1083?\u1080?\u1082?\u1072? \u1051?\u1072?\u1090?\u1074?\u1080?\u1103? \u1076?\u1072? \u1091?\u1076?\u1098?\u1083?\u1078?\u1080? \u1089?\u1088?\u1086?\u1082?\u1072? \u1085?\u1072? \u1087?\u1088?\u1080?\u1083?\u1072?\u1075?\u1072?\u1085?\u1077?\u1090?\u1086? \u1085?\u1072? \u1084?\u1103?\u1088?\u1082?\u1072? \u1079?\u1072? \u1076?\u1077?\u1088?\u1086?\u1075?\u1072?\u1094?\u1080?\u1103? \u1086?\u1090? \u1095?\u1083?\u1077?\u1085? 193 \u1086?\u1090?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AC0E33A-CA41-46D5-8E96-A88045BA9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1757</Words>
  <Characters>9457</Characters>
  <Application>Microsoft Office Word</Application>
  <DocSecurity>0</DocSecurity>
  <Lines>189</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dcterms:created xsi:type="dcterms:W3CDTF">2018-10-26T12:31:00Z</dcterms:created>
  <dcterms:modified xsi:type="dcterms:W3CDTF">2018-11-05T12:56:00Z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