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BD51B60-DC2A-41D0-9228-3E0A08B9A539" style="width:450.75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szCs w:val="24"/>
          <w:lang w:val="fr-FR"/>
        </w:rPr>
      </w:pPr>
      <w:bookmarkStart w:id="1" w:name="_GoBack"/>
      <w:bookmarkEnd w:id="1"/>
      <w:r>
        <w:rPr>
          <w:b/>
          <w:noProof/>
          <w:szCs w:val="24"/>
          <w:lang w:val="fr-FR"/>
        </w:rPr>
        <w:lastRenderedPageBreak/>
        <w:t>TRADUCTION OFFICIELLE</w:t>
      </w:r>
    </w:p>
    <w:p>
      <w:pPr>
        <w:jc w:val="center"/>
        <w:rPr>
          <w:b/>
          <w:noProof/>
          <w:szCs w:val="24"/>
          <w:lang w:val="fr-FR"/>
        </w:rPr>
      </w:pPr>
    </w:p>
    <w:p>
      <w:pPr>
        <w:jc w:val="center"/>
        <w:rPr>
          <w:b/>
          <w:noProof/>
          <w:szCs w:val="24"/>
          <w:lang w:val="fr-FR"/>
        </w:rPr>
      </w:pPr>
      <w:r>
        <w:rPr>
          <w:b/>
          <w:noProof/>
          <w:szCs w:val="24"/>
          <w:lang w:val="fr-FR"/>
        </w:rPr>
        <w:t xml:space="preserve">Lettre commune des Communautés européennes et de leurs États membres, d’une part, et de la Colombie, d’autre part, présentée conformément au paragraphe 5 des </w:t>
      </w:r>
      <w:r>
        <w:rPr>
          <w:b/>
          <w:i/>
          <w:noProof/>
          <w:szCs w:val="24"/>
          <w:lang w:val="fr-FR"/>
        </w:rPr>
        <w:t>Procédures pour la mise en œuvre de l’article XXI de l’Accord général sur le commerce des services (AGCS)</w:t>
      </w:r>
      <w:r>
        <w:rPr>
          <w:b/>
          <w:noProof/>
          <w:szCs w:val="24"/>
          <w:lang w:val="fr-FR"/>
        </w:rPr>
        <w:t xml:space="preserve"> (document S/L/80 du 29 octobre 1999)</w:t>
      </w:r>
    </w:p>
    <w:p>
      <w:pPr>
        <w:jc w:val="center"/>
        <w:rPr>
          <w:b/>
          <w:noProof/>
          <w:szCs w:val="24"/>
          <w:lang w:val="fr-FR"/>
        </w:rPr>
      </w:pPr>
    </w:p>
    <w:p>
      <w:pPr>
        <w:jc w:val="center"/>
        <w:rPr>
          <w:b/>
          <w:noProof/>
          <w:szCs w:val="24"/>
          <w:lang w:val="fr-FR"/>
        </w:rPr>
      </w:pPr>
      <w:r>
        <w:rPr>
          <w:b/>
          <w:noProof/>
          <w:szCs w:val="24"/>
          <w:lang w:val="fr-FR"/>
        </w:rPr>
        <w:t>concernant</w:t>
      </w:r>
    </w:p>
    <w:p>
      <w:pPr>
        <w:jc w:val="center"/>
        <w:rPr>
          <w:b/>
          <w:noProof/>
          <w:szCs w:val="24"/>
          <w:lang w:val="fr-FR"/>
        </w:rPr>
      </w:pPr>
    </w:p>
    <w:p>
      <w:pPr>
        <w:jc w:val="center"/>
        <w:rPr>
          <w:b/>
          <w:noProof/>
          <w:szCs w:val="24"/>
          <w:lang w:val="fr-FR"/>
        </w:rPr>
      </w:pPr>
      <w:r>
        <w:rPr>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b/>
          <w:noProof/>
          <w:szCs w:val="24"/>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À la suite de la soumission de chacune de ces communications, la Colombie a présenté une déclaration d’intérêt conformément à l’article XXI, paragraphe 2, point a), de l’AGCS (référencées respectivement sous le n° S/L/176 pour ce qui est du document S/SECRET/8 et sous le n° S/L/223 pour ce qui est du document S/SECRET/9). Les CE et la Colombie ont entamé des négociations conformément à l’article XXI, paragraphe 2, point a), de l’AGCS en ce qui concerne les documents S/SECRET/8 et S/SECRET/9.</w:t>
      </w:r>
    </w:p>
    <w:p>
      <w:pPr>
        <w:pStyle w:val="BodyText"/>
        <w:numPr>
          <w:ilvl w:val="0"/>
          <w:numId w:val="0"/>
        </w:numPr>
        <w:rPr>
          <w:noProof/>
          <w:szCs w:val="24"/>
          <w:lang w:val="fr-FR"/>
        </w:rPr>
      </w:pPr>
      <w:r>
        <w:rPr>
          <w:noProof/>
          <w:szCs w:val="24"/>
          <w:lang w:val="fr-FR"/>
        </w:rPr>
        <w:t>En ce qui concerne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la Colombie se sont accordées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S/SECRET/9, les CE et la Colombie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la Colombie. </w:t>
      </w:r>
    </w:p>
    <w:p>
      <w:pPr>
        <w:pStyle w:val="BodyText"/>
        <w:numPr>
          <w:ilvl w:val="0"/>
          <w:numId w:val="0"/>
        </w:numPr>
        <w:rPr>
          <w:noProof/>
          <w:szCs w:val="24"/>
          <w:lang w:val="fr-FR"/>
        </w:rPr>
      </w:pPr>
      <w:r>
        <w:rPr>
          <w:noProof/>
          <w:szCs w:val="24"/>
          <w:lang w:val="fr-FR"/>
        </w:rPr>
        <w:lastRenderedPageBreak/>
        <w:t>La présente lettre et les annexes I et II du rapport ci-joint constituent l’Accord entre les CE et la Colombie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Les modifications et les retraits proposés dans les documents S/SECRET/8 et S/SECRET/9 n’entreront pas en vigueur avant l’ensemble des compensations mentionnées à l’annexe II.</w:t>
      </w:r>
      <w:r>
        <w:rPr>
          <w:b/>
          <w:i/>
          <w:noProof/>
          <w:szCs w:val="24"/>
          <w:lang w:val="fr-FR"/>
        </w:rPr>
        <w:t xml:space="preserve"> </w:t>
      </w:r>
    </w:p>
    <w:p>
      <w:pPr>
        <w:jc w:val="center"/>
        <w:rPr>
          <w:b/>
          <w:noProof/>
          <w:szCs w:val="24"/>
          <w:lang w:val="fr-FR"/>
        </w:rPr>
      </w:pPr>
      <w:r>
        <w:rPr>
          <w:b/>
          <w:noProof/>
          <w:szCs w:val="24"/>
          <w:lang w:val="fr-FR"/>
        </w:rPr>
        <w:br w:type="page"/>
        <w:t>Rapport sur les résultats des négociations conduites conformément à l’article XXI, paragraphe 2, point a), de l’Accord général sur le commerce des services (AGCS)</w:t>
      </w:r>
    </w:p>
    <w:p>
      <w:pPr>
        <w:jc w:val="center"/>
        <w:rPr>
          <w:b/>
          <w:noProof/>
          <w:szCs w:val="24"/>
          <w:lang w:val="fr-FR"/>
        </w:rPr>
      </w:pPr>
    </w:p>
    <w:p>
      <w:pPr>
        <w:jc w:val="center"/>
        <w:rPr>
          <w:b/>
          <w:noProof/>
          <w:szCs w:val="24"/>
          <w:lang w:val="fr-FR"/>
        </w:rPr>
      </w:pPr>
      <w:r>
        <w:rPr>
          <w:b/>
          <w:noProof/>
          <w:szCs w:val="24"/>
          <w:lang w:val="fr-FR"/>
        </w:rPr>
        <w:t>concernant</w:t>
      </w:r>
    </w:p>
    <w:p>
      <w:pPr>
        <w:jc w:val="center"/>
        <w:rPr>
          <w:b/>
          <w:noProof/>
          <w:szCs w:val="24"/>
          <w:lang w:val="fr-FR"/>
        </w:rPr>
      </w:pPr>
    </w:p>
    <w:p>
      <w:pPr>
        <w:jc w:val="center"/>
        <w:rPr>
          <w:noProof/>
          <w:szCs w:val="24"/>
          <w:lang w:val="fr-FR"/>
        </w:rPr>
      </w:pPr>
      <w:r>
        <w:rPr>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jc w:val="center"/>
        <w:rPr>
          <w:b/>
          <w:noProof/>
          <w:szCs w:val="24"/>
          <w:lang w:val="fr-FR"/>
        </w:rPr>
      </w:pPr>
    </w:p>
    <w:p>
      <w:pPr>
        <w:pStyle w:val="BodyText"/>
        <w:numPr>
          <w:ilvl w:val="0"/>
          <w:numId w:val="0"/>
        </w:numPr>
        <w:rPr>
          <w:noProof/>
          <w:szCs w:val="24"/>
          <w:lang w:val="fr-FR"/>
        </w:rPr>
      </w:pPr>
      <w:r>
        <w:rPr>
          <w:noProof/>
          <w:szCs w:val="24"/>
          <w:lang w:val="fr-FR"/>
        </w:rPr>
        <w:t xml:space="preserve">Conformément au paragraphe 5 des </w:t>
      </w:r>
      <w:r>
        <w:rPr>
          <w:i/>
          <w:noProof/>
          <w:szCs w:val="24"/>
          <w:lang w:val="fr-FR"/>
        </w:rPr>
        <w:t>Procédures pour la mise en œuvre de l</w:t>
      </w:r>
      <w:r>
        <w:rPr>
          <w:noProof/>
          <w:szCs w:val="24"/>
          <w:lang w:val="fr-FR"/>
        </w:rPr>
        <w:t>’</w:t>
      </w:r>
      <w:r>
        <w:rPr>
          <w:i/>
          <w:noProof/>
          <w:szCs w:val="24"/>
          <w:lang w:val="fr-FR"/>
        </w:rPr>
        <w:t>article</w:t>
      </w:r>
      <w:r>
        <w:rPr>
          <w:noProof/>
          <w:szCs w:val="24"/>
          <w:lang w:val="fr-FR"/>
        </w:rPr>
        <w:t> </w:t>
      </w:r>
      <w:r>
        <w:rPr>
          <w:i/>
          <w:noProof/>
          <w:szCs w:val="24"/>
          <w:lang w:val="fr-FR"/>
        </w:rPr>
        <w:t>XXI de l</w:t>
      </w:r>
      <w:r>
        <w:rPr>
          <w:noProof/>
          <w:szCs w:val="24"/>
          <w:lang w:val="fr-FR"/>
        </w:rPr>
        <w:t>’</w:t>
      </w:r>
      <w:r>
        <w:rPr>
          <w:i/>
          <w:noProof/>
          <w:szCs w:val="24"/>
          <w:lang w:val="fr-FR"/>
        </w:rPr>
        <w:t>Accord général sur le commerce des services (AGCS)</w:t>
      </w:r>
      <w:r>
        <w:rPr>
          <w:noProof/>
          <w:szCs w:val="24"/>
          <w:lang w:val="fr-FR"/>
        </w:rPr>
        <w:t xml:space="preserve"> (document S/L/80 du 29 octobre 1999), les Communautés européennes présentent le rapport ci-après.</w:t>
      </w:r>
    </w:p>
    <w:p>
      <w:pPr>
        <w:pStyle w:val="BodyText"/>
        <w:rPr>
          <w:noProof/>
          <w:szCs w:val="24"/>
        </w:rPr>
      </w:pPr>
      <w:r>
        <w:rPr>
          <w:noProof/>
          <w:szCs w:val="24"/>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rPr>
          <w:noProof/>
          <w:szCs w:val="24"/>
          <w:lang w:val="fr-FR"/>
        </w:rPr>
      </w:pPr>
      <w:r>
        <w:rPr>
          <w:noProof/>
          <w:szCs w:val="24"/>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rPr>
          <w:noProof/>
          <w:szCs w:val="24"/>
          <w:lang w:val="fr-FR"/>
        </w:rPr>
      </w:pPr>
      <w:r>
        <w:rPr>
          <w:noProof/>
          <w:szCs w:val="24"/>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rPr>
          <w:noProof/>
          <w:szCs w:val="24"/>
          <w:lang w:val="fr-FR"/>
        </w:rPr>
      </w:pPr>
      <w:r>
        <w:rPr>
          <w:noProof/>
          <w:szCs w:val="24"/>
          <w:lang w:val="fr-FR"/>
        </w:rPr>
        <w:t>La Colombie a présenté deux déclarations d’intérêt conformément à l’article XXI, paragraphe 2, point a), de l’AGCS (référencées respectivement sous le n° S/L/176 pour ce qui est du document S/SECRET/8 et sous le n° S/L/223 pour ce qui est du document S/SECRET/9). Les CE et la Colombie ont entamé des négociations conformément à l’article XXI, paragraphe 2, point a), de l’AGCS en ce qui concerne les documents S/SECRET/8 et S/SECRET/9.</w:t>
      </w:r>
    </w:p>
    <w:p>
      <w:pPr>
        <w:pStyle w:val="BodyText"/>
        <w:rPr>
          <w:noProof/>
          <w:szCs w:val="24"/>
          <w:lang w:val="fr-FR"/>
        </w:rPr>
      </w:pPr>
      <w:r>
        <w:rPr>
          <w:noProof/>
          <w:szCs w:val="24"/>
          <w:lang w:val="fr-FR"/>
        </w:rPr>
        <w:t>En ce qui concerne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w:t>
      </w:r>
    </w:p>
    <w:p>
      <w:pPr>
        <w:pStyle w:val="BodyText"/>
        <w:rPr>
          <w:noProof/>
          <w:szCs w:val="24"/>
          <w:lang w:val="fr-FR"/>
        </w:rPr>
      </w:pPr>
      <w:r>
        <w:rPr>
          <w:noProof/>
          <w:szCs w:val="24"/>
          <w:lang w:val="fr-FR"/>
        </w:rPr>
        <w:t>Au cours de ces négociations, les CE et la Colombie se sont accordées sur des compensations relatives aux modifications et retraits d’engagements contenus dans le document S/SECRET/8. Les annexes I et II du présent rapport, ainsi que la lettre commune à laquelle il est annexé, constituent l’Accord entre les CE et la Colombie concernant le document S/SECRET/8 aux fins de l’article XXI, paragraphe 2, point a), de l’AGCS.</w:t>
      </w:r>
      <w:r>
        <w:rPr>
          <w:rStyle w:val="FootnoteReference"/>
          <w:noProof/>
          <w:szCs w:val="24"/>
          <w:lang w:val="fr-FR"/>
        </w:rPr>
        <w:footnoteReference w:id="2"/>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rPr>
          <w:noProof/>
          <w:szCs w:val="24"/>
          <w:lang w:val="fr-FR"/>
        </w:rPr>
      </w:pPr>
      <w:r>
        <w:rPr>
          <w:noProof/>
          <w:szCs w:val="24"/>
          <w:lang w:val="fr-FR"/>
        </w:rPr>
        <w:t>S’agissant de la procédure engagée au moyen de la notification contenue dans le document S/SECRET/9, les CE et la Colombie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rPr>
          <w:noProof/>
          <w:szCs w:val="24"/>
          <w:lang w:val="fr-FR"/>
        </w:rPr>
      </w:pPr>
      <w:r>
        <w:rPr>
          <w:noProof/>
          <w:szCs w:val="24"/>
          <w:lang w:val="fr-FR"/>
        </w:rPr>
        <w:t xml:space="preserve">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la Colombie. </w:t>
      </w:r>
    </w:p>
    <w:p>
      <w:pPr>
        <w:pStyle w:val="BodyText"/>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p>
    <w:p>
      <w:pPr>
        <w:jc w:val="center"/>
        <w:rPr>
          <w:b/>
          <w:i/>
          <w:noProof/>
          <w:szCs w:val="24"/>
          <w:lang w:val="fr-FR"/>
        </w:rPr>
      </w:pPr>
    </w:p>
    <w:p>
      <w:pPr>
        <w:jc w:val="center"/>
        <w:rPr>
          <w:i/>
          <w:noProof/>
          <w:szCs w:val="24"/>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i/>
          <w:noProof/>
          <w:szCs w:val="24"/>
          <w:lang w:val="fr-BE"/>
        </w:rPr>
        <w:t>_______________</w:t>
      </w:r>
    </w:p>
    <w:p>
      <w:pPr>
        <w:jc w:val="center"/>
        <w:rPr>
          <w:b/>
          <w:noProof/>
          <w:lang w:val="fr-FR"/>
        </w:rPr>
      </w:pPr>
      <w:r>
        <w:rPr>
          <w:b/>
          <w:noProof/>
          <w:lang w:val="fr-FR"/>
        </w:rPr>
        <w:t>ANNEXE I</w:t>
      </w:r>
    </w:p>
    <w:p>
      <w:pPr>
        <w:jc w:val="center"/>
        <w:rPr>
          <w:noProof/>
          <w:lang w:val="fr-FR"/>
        </w:rPr>
      </w:pPr>
    </w:p>
    <w:p>
      <w:pPr>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clear" w:pos="720"/>
          <w:tab w:val="left" w:pos="709"/>
        </w:tabs>
        <w:autoSpaceDE w:val="0"/>
        <w:autoSpaceDN w:val="0"/>
        <w:adjustRightInd w:val="0"/>
        <w:ind w:left="709" w:hanging="709"/>
        <w:rPr>
          <w:noProof/>
        </w:rPr>
      </w:pPr>
      <w:r>
        <w:rPr>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Chypre concernant l’accès au marché dans le cadre du mode 4. Ces engagements sont retirés.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noProof/>
        </w:rPr>
        <w:t xml:space="preserve"> </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rPr>
      </w:pPr>
      <w:r>
        <w:rPr>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noProof/>
        </w:rPr>
        <w:t xml:space="preserve"> </w:t>
      </w:r>
    </w:p>
    <w:p>
      <w:pPr>
        <w:tabs>
          <w:tab w:val="left" w:pos="567"/>
        </w:tabs>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autoSpaceDE w:val="0"/>
        <w:autoSpaceDN w:val="0"/>
        <w:adjustRightInd w:val="0"/>
        <w:ind w:left="709" w:hanging="709"/>
        <w:rPr>
          <w:noProof/>
          <w:lang w:val="fr-FR"/>
        </w:rPr>
      </w:pPr>
      <w:r>
        <w:rPr>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noProof/>
          <w:lang w:val="fr-FR"/>
        </w:rPr>
      </w:pPr>
    </w:p>
    <w:p>
      <w:pPr>
        <w:numPr>
          <w:ilvl w:val="0"/>
          <w:numId w:val="10"/>
        </w:numPr>
        <w:autoSpaceDE w:val="0"/>
        <w:autoSpaceDN w:val="0"/>
        <w:adjustRightInd w:val="0"/>
        <w:ind w:left="709" w:hanging="709"/>
        <w:rPr>
          <w:noProof/>
          <w:lang w:val="fr-FR"/>
        </w:rPr>
      </w:pPr>
      <w:r>
        <w:rPr>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noProof/>
          <w:spacing w:val="-2"/>
          <w:lang w:val="fr-FR"/>
        </w:rPr>
        <w:t xml:space="preserv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rPr>
      </w:pPr>
      <w:r>
        <w:rPr>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noProof/>
          <w:spacing w:val="-2"/>
          <w:lang w:val="fr-FR"/>
        </w:rPr>
        <w:t xml:space="preserve"> </w:t>
      </w:r>
      <w:r>
        <w:rPr>
          <w:noProof/>
          <w:lang w:val="fr-FR"/>
        </w:rPr>
        <w:t>Ces limitations sont désormais étendues à ces États membres.</w:t>
      </w:r>
    </w:p>
    <w:p>
      <w:pPr>
        <w:numPr>
          <w:ilvl w:val="12"/>
          <w:numId w:val="0"/>
        </w:numPr>
        <w:autoSpaceDE w:val="0"/>
        <w:autoSpaceDN w:val="0"/>
        <w:adjustRightInd w:val="0"/>
        <w:rPr>
          <w:noProof/>
        </w:rPr>
      </w:pPr>
    </w:p>
    <w:p>
      <w:pPr>
        <w:numPr>
          <w:ilvl w:val="0"/>
          <w:numId w:val="10"/>
        </w:numPr>
        <w:autoSpaceDE w:val="0"/>
        <w:autoSpaceDN w:val="0"/>
        <w:adjustRightInd w:val="0"/>
        <w:ind w:left="709" w:hanging="709"/>
        <w:rPr>
          <w:noProof/>
          <w:lang w:val="fr-FR"/>
        </w:rPr>
      </w:pPr>
      <w:r>
        <w:rPr>
          <w:noProof/>
          <w:lang w:val="fr-FR"/>
        </w:rPr>
        <w:t>Transports spatiaux. L’engagement figurant dans la liste de l’Autriche est retiré.</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rPr>
      </w:pPr>
      <w:r>
        <w:rPr>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autoSpaceDE w:val="0"/>
        <w:autoSpaceDN w:val="0"/>
        <w:adjustRightInd w:val="0"/>
        <w:ind w:left="709" w:hanging="709"/>
        <w:rPr>
          <w:noProof/>
          <w:lang w:val="fr-FR"/>
        </w:rPr>
      </w:pPr>
      <w:r>
        <w:rPr>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noProof/>
          <w:lang w:val="fr-FR"/>
        </w:rPr>
      </w:pPr>
    </w:p>
    <w:p>
      <w:pPr>
        <w:numPr>
          <w:ilvl w:val="0"/>
          <w:numId w:val="10"/>
        </w:numPr>
        <w:autoSpaceDE w:val="0"/>
        <w:autoSpaceDN w:val="0"/>
        <w:adjustRightInd w:val="0"/>
        <w:ind w:left="709" w:hanging="709"/>
        <w:rPr>
          <w:noProof/>
          <w:lang w:val="fr-FR"/>
        </w:rPr>
      </w:pPr>
      <w:r>
        <w:rPr>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noProof/>
          <w:lang w:val="fr-FR"/>
        </w:rPr>
      </w:pPr>
    </w:p>
    <w:p>
      <w:pPr>
        <w:jc w:val="center"/>
        <w:rPr>
          <w:noProof/>
          <w:lang w:val="fr-FR"/>
        </w:rPr>
      </w:pPr>
      <w:r>
        <w:rPr>
          <w:noProof/>
          <w:lang w:val="fr-FR"/>
        </w:rPr>
        <w:br w:type="page"/>
      </w:r>
    </w:p>
    <w:p>
      <w:pPr>
        <w:jc w:val="center"/>
        <w:rPr>
          <w:b/>
          <w:noProof/>
          <w:lang w:val="fr-FR"/>
        </w:rPr>
      </w:pPr>
      <w:r>
        <w:rPr>
          <w:b/>
          <w:noProof/>
          <w:lang w:val="fr-FR"/>
        </w:rPr>
        <w:t>ANNEXE II</w:t>
      </w:r>
    </w:p>
    <w:p>
      <w:pPr>
        <w:jc w:val="center"/>
        <w:rPr>
          <w:b/>
          <w:noProof/>
          <w:lang w:val="fr-FR"/>
        </w:rPr>
      </w:pPr>
    </w:p>
    <w:p>
      <w:pPr>
        <w:jc w:val="center"/>
        <w:outlineLvl w:val="0"/>
        <w:rPr>
          <w:b/>
          <w:noProof/>
          <w:lang w:val="fr-FR"/>
        </w:rPr>
      </w:pPr>
      <w:r>
        <w:rPr>
          <w:b/>
          <w:noProof/>
          <w:lang w:val="fr-FR"/>
        </w:rPr>
        <w:t xml:space="preserve">COMPENSATIONS ACCORDÉES PAR LES CE </w:t>
      </w:r>
    </w:p>
    <w:p>
      <w:pPr>
        <w:jc w:val="center"/>
        <w:outlineLvl w:val="0"/>
        <w:rPr>
          <w:noProof/>
          <w:lang w:val="fr-FR"/>
        </w:rPr>
      </w:pPr>
    </w:p>
    <w:p>
      <w:pPr>
        <w:numPr>
          <w:ilvl w:val="0"/>
          <w:numId w:val="9"/>
        </w:numPr>
        <w:tabs>
          <w:tab w:val="left" w:pos="-142"/>
        </w:tabs>
        <w:ind w:left="714" w:hanging="357"/>
        <w:rPr>
          <w:b/>
          <w:noProof/>
          <w:lang w:val="fr-FR"/>
        </w:rPr>
      </w:pPr>
      <w:r>
        <w:rPr>
          <w:b/>
          <w:noProof/>
          <w:lang w:val="fr-FR"/>
        </w:rPr>
        <w:t xml:space="preserve">Limitation horizontale concernant les entités publiques dans le cadre du mode 3 </w:t>
      </w:r>
    </w:p>
    <w:p>
      <w:pPr>
        <w:tabs>
          <w:tab w:val="left" w:pos="-142"/>
        </w:tabs>
        <w:ind w:left="1435" w:hanging="301"/>
        <w:rPr>
          <w:noProof/>
          <w:lang w:val="fr-FR"/>
        </w:rPr>
      </w:pPr>
      <w:r>
        <w:rPr>
          <w:noProof/>
          <w:lang w:val="fr-FR"/>
        </w:rPr>
        <w:t>–</w:t>
      </w:r>
      <w:r>
        <w:rPr>
          <w:noProof/>
          <w:lang w:val="fr-FR"/>
        </w:rPr>
        <w:tab/>
        <w:t>Note de bas de page indiquant que cette limitation ne s’applique pas aux services de télécommunication et aux services informatiques et services connexes.</w:t>
      </w:r>
    </w:p>
    <w:p>
      <w:pPr>
        <w:tabs>
          <w:tab w:val="left" w:pos="-142"/>
        </w:tabs>
        <w:ind w:left="1435" w:hanging="301"/>
        <w:rPr>
          <w:noProof/>
          <w:lang w:val="fr-FR"/>
        </w:rPr>
      </w:pPr>
    </w:p>
    <w:p>
      <w:pPr>
        <w:numPr>
          <w:ilvl w:val="0"/>
          <w:numId w:val="9"/>
        </w:numPr>
        <w:rPr>
          <w:noProof/>
          <w:lang w:val="fr-FR"/>
        </w:rPr>
      </w:pPr>
      <w:r>
        <w:rPr>
          <w:b/>
          <w:noProof/>
          <w:lang w:val="fr-FR"/>
        </w:rPr>
        <w:t>Limitations horizontales concernant les investissements dans le cadre du mode 3</w:t>
      </w:r>
    </w:p>
    <w:p>
      <w:pPr>
        <w:ind w:left="1440" w:hanging="340"/>
        <w:rPr>
          <w:noProof/>
          <w:lang w:val="fr-FR"/>
        </w:rPr>
      </w:pPr>
      <w:r>
        <w:rPr>
          <w:noProof/>
          <w:lang w:val="fr-FR"/>
        </w:rPr>
        <w:t>–</w:t>
      </w:r>
      <w:r>
        <w:rPr>
          <w:noProof/>
          <w:lang w:val="fr-FR"/>
        </w:rPr>
        <w:tab/>
        <w:t>Suppression de la limitation concernant le traitement national dans le cadre du mode 3 pour AT en ce qui concerne les succursales de société par actions (</w:t>
      </w:r>
      <w:r>
        <w:rPr>
          <w:i/>
          <w:noProof/>
          <w:lang w:val="fr-FR"/>
        </w:rPr>
        <w:t>Aktiengesellschaften</w:t>
      </w:r>
      <w:r>
        <w:rPr>
          <w:noProof/>
          <w:lang w:val="fr-FR"/>
        </w:rPr>
        <w:t>) étrangères et les sociétés à responsabilité limitée (</w:t>
      </w:r>
      <w:r>
        <w:rPr>
          <w:i/>
          <w:noProof/>
          <w:lang w:val="fr-FR"/>
        </w:rPr>
        <w:t>Gesellschaften mit beschränkter Haftung</w:t>
      </w:r>
      <w:r>
        <w:rPr>
          <w:noProof/>
          <w:lang w:val="fr-FR"/>
        </w:rPr>
        <w:t>).</w:t>
      </w:r>
    </w:p>
    <w:p>
      <w:pPr>
        <w:ind w:left="720" w:firstLine="380"/>
        <w:rPr>
          <w:noProof/>
          <w:lang w:val="fr-FR"/>
        </w:rPr>
      </w:pPr>
    </w:p>
    <w:p>
      <w:pPr>
        <w:numPr>
          <w:ilvl w:val="0"/>
          <w:numId w:val="9"/>
        </w:numPr>
        <w:rPr>
          <w:noProof/>
          <w:lang w:val="fr-FR"/>
        </w:rPr>
      </w:pPr>
      <w:r>
        <w:rPr>
          <w:b/>
          <w:noProof/>
          <w:lang w:val="fr-FR"/>
        </w:rPr>
        <w:t>Mode 4</w:t>
      </w:r>
      <w:r>
        <w:rPr>
          <w:noProof/>
          <w:lang w:val="fr-FR"/>
        </w:rPr>
        <w:t xml:space="preserve"> pour les personnes transférées temporairement par leur société et les visiteurs en déplacement d’affaires </w:t>
      </w:r>
    </w:p>
    <w:p>
      <w:pPr>
        <w:ind w:left="1440" w:hanging="340"/>
        <w:rPr>
          <w:noProof/>
          <w:lang w:val="fr-FR"/>
        </w:rPr>
      </w:pPr>
      <w:r>
        <w:rPr>
          <w:noProof/>
          <w:lang w:val="fr-FR"/>
        </w:rPr>
        <w:t>–</w:t>
      </w:r>
      <w:r>
        <w:rPr>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9"/>
        </w:numPr>
        <w:ind w:left="714" w:hanging="357"/>
        <w:rPr>
          <w:noProof/>
          <w:lang w:val="fr-FR"/>
        </w:rPr>
      </w:pPr>
      <w:r>
        <w:rPr>
          <w:noProof/>
          <w:lang w:val="fr-FR"/>
        </w:rPr>
        <w:t xml:space="preserve">Services professionnels – </w:t>
      </w:r>
      <w:r>
        <w:rPr>
          <w:b/>
          <w:noProof/>
          <w:lang w:val="fr-FR"/>
        </w:rPr>
        <w:t>Services d’ingénierie</w:t>
      </w:r>
      <w:r>
        <w:rPr>
          <w:noProof/>
          <w:lang w:val="fr-FR"/>
        </w:rPr>
        <w:t xml:space="preserve"> (CPC 8672)</w:t>
      </w:r>
    </w:p>
    <w:p>
      <w:pPr>
        <w:ind w:left="1440" w:hanging="357"/>
        <w:rPr>
          <w:noProof/>
          <w:lang w:val="fr-FR"/>
        </w:rPr>
      </w:pPr>
      <w:r>
        <w:rPr>
          <w:noProof/>
          <w:lang w:val="fr-FR"/>
        </w:rPr>
        <w:t>–</w:t>
      </w:r>
      <w:r>
        <w:rPr>
          <w:noProof/>
          <w:lang w:val="fr-FR"/>
        </w:rPr>
        <w:tab/>
        <w:t>Engagements de CY et MT concernant l’accès au marché et le traitement national dans le cadre du mode 2</w:t>
      </w:r>
    </w:p>
    <w:p>
      <w:pPr>
        <w:ind w:left="1440" w:hanging="363"/>
        <w:rPr>
          <w:noProof/>
          <w:lang w:val="fr-FR"/>
        </w:rPr>
      </w:pPr>
      <w:r>
        <w:rPr>
          <w:noProof/>
          <w:lang w:val="fr-FR"/>
        </w:rPr>
        <w:t>–</w:t>
      </w:r>
      <w:r>
        <w:rPr>
          <w:noProof/>
          <w:lang w:val="fr-FR"/>
        </w:rPr>
        <w:tab/>
        <w:t>Engagements de CY, CZ, MT et SK concernant l’accès au marché dans le cadre du mode 3</w:t>
      </w:r>
    </w:p>
    <w:p>
      <w:pPr>
        <w:ind w:left="357" w:firstLine="720"/>
        <w:rPr>
          <w:noProof/>
          <w:lang w:val="fr-FR"/>
        </w:rPr>
      </w:pPr>
      <w:r>
        <w:rPr>
          <w:noProof/>
          <w:lang w:val="fr-FR"/>
        </w:rPr>
        <w:t>–</w:t>
      </w:r>
      <w:r>
        <w:rPr>
          <w:noProof/>
          <w:lang w:val="fr-FR"/>
        </w:rPr>
        <w:tab/>
        <w:t>Engagements de CY et MT concernant le traitement national dans le cadre du mode 3</w:t>
      </w:r>
    </w:p>
    <w:p>
      <w:pPr>
        <w:ind w:left="1440" w:hanging="363"/>
        <w:rPr>
          <w:noProof/>
          <w:lang w:val="fr-FR"/>
        </w:rPr>
      </w:pPr>
      <w:r>
        <w:rPr>
          <w:noProof/>
          <w:lang w:val="fr-FR"/>
        </w:rPr>
        <w:t>–</w:t>
      </w:r>
      <w:r>
        <w:rPr>
          <w:noProof/>
          <w:lang w:val="fr-FR"/>
        </w:rPr>
        <w:tab/>
        <w:t xml:space="preserve">Suppression de la limitation concernant l’accès au marché pour PT dans le cadre du mode 3. </w:t>
      </w:r>
    </w:p>
    <w:p>
      <w:pPr>
        <w:ind w:left="357" w:firstLine="720"/>
        <w:rPr>
          <w:noProof/>
          <w:lang w:val="fr-FR"/>
        </w:rPr>
      </w:pPr>
    </w:p>
    <w:p>
      <w:pPr>
        <w:numPr>
          <w:ilvl w:val="0"/>
          <w:numId w:val="9"/>
        </w:numPr>
        <w:rPr>
          <w:noProof/>
          <w:lang w:val="fr-FR"/>
        </w:rPr>
      </w:pPr>
      <w:r>
        <w:rPr>
          <w:noProof/>
          <w:lang w:val="fr-FR"/>
        </w:rPr>
        <w:t xml:space="preserve">Services professionnels – </w:t>
      </w:r>
      <w:r>
        <w:rPr>
          <w:b/>
          <w:noProof/>
          <w:lang w:val="fr-FR"/>
        </w:rPr>
        <w:t>Services intégrés d’ingénierie</w:t>
      </w:r>
      <w:r>
        <w:rPr>
          <w:noProof/>
          <w:lang w:val="fr-FR"/>
        </w:rPr>
        <w:t xml:space="preserve"> (CPC 8673):</w:t>
      </w:r>
    </w:p>
    <w:p>
      <w:pPr>
        <w:ind w:left="1440" w:hanging="363"/>
        <w:rPr>
          <w:noProof/>
          <w:lang w:val="fr-FR"/>
        </w:rPr>
      </w:pPr>
      <w:r>
        <w:rPr>
          <w:noProof/>
          <w:lang w:val="fr-FR"/>
        </w:rPr>
        <w:t>–</w:t>
      </w:r>
      <w:r>
        <w:rPr>
          <w:noProof/>
          <w:lang w:val="fr-FR"/>
        </w:rPr>
        <w:tab/>
        <w:t>Suppression par UK de l’examen des besoins économiques pour les fournisseurs de services contractuels dans le cadre du mode 4</w:t>
      </w:r>
    </w:p>
    <w:p>
      <w:pPr>
        <w:ind w:left="1440" w:hanging="360"/>
        <w:rPr>
          <w:noProof/>
          <w:lang w:val="fr-FR"/>
        </w:rPr>
      </w:pPr>
      <w:r>
        <w:rPr>
          <w:noProof/>
          <w:lang w:val="fr-FR"/>
        </w:rPr>
        <w:t>–</w:t>
      </w:r>
      <w:r>
        <w:rPr>
          <w:noProof/>
          <w:lang w:val="fr-FR"/>
        </w:rPr>
        <w:tab/>
        <w:t xml:space="preserve">Engagements de SK concernant l’accès au marché et le traitement national dans le cadre du mode 3. </w:t>
      </w:r>
    </w:p>
    <w:p>
      <w:pPr>
        <w:numPr>
          <w:ilvl w:val="0"/>
          <w:numId w:val="9"/>
        </w:numPr>
        <w:rPr>
          <w:noProof/>
          <w:lang w:val="fr-FR"/>
        </w:rPr>
      </w:pPr>
      <w:r>
        <w:rPr>
          <w:noProof/>
          <w:lang w:val="fr-FR"/>
        </w:rPr>
        <w:t xml:space="preserve">Services professionnels – </w:t>
      </w:r>
      <w:r>
        <w:rPr>
          <w:b/>
          <w:noProof/>
          <w:lang w:val="fr-FR"/>
        </w:rPr>
        <w:t>Services d’aménagement urbain et d’architecture paysagère</w:t>
      </w:r>
      <w:r>
        <w:rPr>
          <w:noProof/>
          <w:lang w:val="fr-FR"/>
        </w:rPr>
        <w:t xml:space="preserve"> (CPC 8674):</w:t>
      </w:r>
    </w:p>
    <w:p>
      <w:pPr>
        <w:ind w:left="1435" w:hanging="301"/>
        <w:rPr>
          <w:noProof/>
          <w:lang w:val="fr-FR"/>
        </w:rPr>
      </w:pPr>
      <w:r>
        <w:rPr>
          <w:noProof/>
          <w:lang w:val="fr-FR"/>
        </w:rPr>
        <w:t>–</w:t>
      </w:r>
      <w:r>
        <w:rPr>
          <w:noProof/>
          <w:lang w:val="fr-FR"/>
        </w:rPr>
        <w:tab/>
        <w:t xml:space="preserve">Engagements de CY, CZ, MT, PL, SI et SK concernant l’accès au marché et le traitement national dans le cadre du mode 3. </w:t>
      </w:r>
    </w:p>
    <w:p>
      <w:pPr>
        <w:ind w:left="1435" w:hanging="301"/>
        <w:rPr>
          <w:noProof/>
          <w:lang w:val="fr-FR"/>
        </w:rPr>
      </w:pPr>
      <w:r>
        <w:rPr>
          <w:noProof/>
          <w:lang w:val="fr-FR"/>
        </w:rPr>
        <w:t>–</w:t>
      </w:r>
      <w:r>
        <w:rPr>
          <w:noProof/>
          <w:lang w:val="fr-FR"/>
        </w:rPr>
        <w:tab/>
        <w:t xml:space="preserve">Engagements de HU concernant l’accès au marché et le traitement national pour les services d’architecture paysagère dans le cadre du mode 2. </w:t>
      </w:r>
    </w:p>
    <w:p>
      <w:pPr>
        <w:ind w:left="1435" w:hanging="301"/>
        <w:rPr>
          <w:noProof/>
          <w:lang w:val="fr-FR"/>
        </w:rPr>
      </w:pPr>
    </w:p>
    <w:p>
      <w:pPr>
        <w:numPr>
          <w:ilvl w:val="0"/>
          <w:numId w:val="8"/>
        </w:numPr>
        <w:rPr>
          <w:noProof/>
        </w:rPr>
      </w:pPr>
      <w:r>
        <w:rPr>
          <w:b/>
          <w:noProof/>
          <w:lang w:val="fr-FR"/>
        </w:rPr>
        <w:t>Services informatiques et services connexes</w:t>
      </w:r>
      <w:r>
        <w:rPr>
          <w:noProof/>
        </w:rPr>
        <w:t xml:space="preserve"> </w:t>
      </w:r>
    </w:p>
    <w:p>
      <w:pPr>
        <w:ind w:left="720" w:firstLine="357"/>
        <w:rPr>
          <w:noProof/>
          <w:lang w:val="fr-FR"/>
        </w:rPr>
      </w:pPr>
      <w:r>
        <w:rPr>
          <w:noProof/>
          <w:lang w:val="fr-FR"/>
        </w:rPr>
        <w:t>–</w:t>
      </w:r>
      <w:r>
        <w:rPr>
          <w:noProof/>
          <w:lang w:val="fr-FR"/>
        </w:rPr>
        <w:tab/>
        <w:t>Ajout d’une note de clarification en bas de page.</w:t>
      </w:r>
    </w:p>
    <w:p>
      <w:pPr>
        <w:ind w:left="1440" w:hanging="363"/>
        <w:rPr>
          <w:noProof/>
          <w:lang w:val="fr-FR"/>
        </w:rPr>
      </w:pPr>
      <w:r>
        <w:rPr>
          <w:noProof/>
          <w:lang w:val="fr-FR"/>
        </w:rPr>
        <w:t>–</w:t>
      </w:r>
      <w:r>
        <w:rPr>
          <w:noProof/>
          <w:lang w:val="fr-FR"/>
        </w:rPr>
        <w:tab/>
        <w:t>Engagements de HU concernant l’accès au marché et le traitement national dans le cadre des modes 1, 2 et 3 pour CPC 845 et 849</w:t>
      </w:r>
    </w:p>
    <w:p>
      <w:pPr>
        <w:ind w:left="1440" w:hanging="363"/>
        <w:rPr>
          <w:noProof/>
          <w:lang w:val="fr-FR"/>
        </w:rPr>
      </w:pPr>
      <w:r>
        <w:rPr>
          <w:noProof/>
          <w:lang w:val="fr-FR"/>
        </w:rPr>
        <w:t>–</w:t>
      </w:r>
      <w:r>
        <w:rPr>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noProof/>
          <w:lang w:val="fr-FR"/>
        </w:rPr>
      </w:pPr>
    </w:p>
    <w:p>
      <w:pPr>
        <w:numPr>
          <w:ilvl w:val="0"/>
          <w:numId w:val="9"/>
        </w:numPr>
        <w:ind w:left="714" w:hanging="357"/>
        <w:rPr>
          <w:noProof/>
        </w:rPr>
      </w:pPr>
      <w:r>
        <w:rPr>
          <w:b/>
          <w:noProof/>
          <w:lang w:val="fr-FR"/>
        </w:rPr>
        <w:t>Services de publicité</w:t>
      </w:r>
      <w:r>
        <w:rPr>
          <w:noProof/>
          <w:lang w:val="fr-FR"/>
        </w:rPr>
        <w:t xml:space="preserve"> (CPC 871):</w:t>
      </w:r>
    </w:p>
    <w:p>
      <w:pPr>
        <w:ind w:left="1440" w:hanging="360"/>
        <w:rPr>
          <w:noProof/>
          <w:lang w:val="fr-FR"/>
        </w:rPr>
      </w:pPr>
      <w:r>
        <w:rPr>
          <w:noProof/>
          <w:lang w:val="fr-FR"/>
        </w:rPr>
        <w:t>–</w:t>
      </w:r>
      <w:r>
        <w:rPr>
          <w:noProof/>
          <w:lang w:val="fr-FR"/>
        </w:rPr>
        <w:tab/>
        <w:t>Engagements de CY, MT et PL concernant l’accès au marché et le traitement national dans le cadre du mode 1.</w:t>
      </w:r>
    </w:p>
    <w:p>
      <w:pPr>
        <w:numPr>
          <w:ilvl w:val="0"/>
          <w:numId w:val="9"/>
        </w:numPr>
        <w:ind w:left="714" w:hanging="357"/>
        <w:rPr>
          <w:b/>
          <w:noProof/>
        </w:rPr>
      </w:pPr>
      <w:r>
        <w:rPr>
          <w:b/>
          <w:noProof/>
          <w:lang w:val="fr-FR"/>
        </w:rPr>
        <w:t>Services de télécommunication</w:t>
      </w:r>
    </w:p>
    <w:p>
      <w:pPr>
        <w:ind w:left="1434" w:hanging="357"/>
        <w:rPr>
          <w:noProof/>
          <w:lang w:val="fr-FR"/>
        </w:rPr>
      </w:pPr>
      <w:r>
        <w:rPr>
          <w:noProof/>
          <w:lang w:val="fr-FR"/>
        </w:rPr>
        <w:t>–</w:t>
      </w:r>
      <w:r>
        <w:rPr>
          <w:noProof/>
          <w:lang w:val="fr-FR"/>
        </w:rPr>
        <w:tab/>
        <w:t>Engagements nouveaux et améliorés souscrits par les CE dans leur ensemble conformément à leur offre révisée présentée dans le cadre du Programme de Doha pour le développement.</w:t>
      </w:r>
    </w:p>
    <w:p>
      <w:pPr>
        <w:ind w:left="1434" w:hanging="357"/>
        <w:rPr>
          <w:noProof/>
          <w:lang w:val="fr-FR"/>
        </w:rPr>
      </w:pPr>
      <w:r>
        <w:rPr>
          <w:noProof/>
          <w:lang w:val="fr-FR"/>
        </w:rPr>
        <w:t>–</w:t>
      </w:r>
      <w:r>
        <w:rPr>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ind w:left="1434" w:hanging="357"/>
        <w:rPr>
          <w:noProof/>
          <w:lang w:val="fr-FR"/>
        </w:rPr>
      </w:pPr>
      <w:r>
        <w:rPr>
          <w:noProof/>
          <w:lang w:val="fr-FR"/>
        </w:rPr>
        <w:t>–</w:t>
      </w:r>
      <w:r>
        <w:rPr>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ind w:left="1434" w:hanging="357"/>
        <w:rPr>
          <w:noProof/>
          <w:lang w:val="fr-FR"/>
        </w:rPr>
      </w:pPr>
    </w:p>
    <w:p>
      <w:pPr>
        <w:numPr>
          <w:ilvl w:val="0"/>
          <w:numId w:val="9"/>
        </w:numPr>
        <w:ind w:left="714" w:hanging="357"/>
        <w:rPr>
          <w:b/>
          <w:noProof/>
        </w:rPr>
      </w:pPr>
      <w:r>
        <w:rPr>
          <w:b/>
          <w:noProof/>
          <w:lang w:val="fr-FR"/>
        </w:rPr>
        <w:t>Services financiers (services d’assurances):</w:t>
      </w:r>
    </w:p>
    <w:p>
      <w:pPr>
        <w:ind w:left="1440" w:hanging="363"/>
        <w:rPr>
          <w:b/>
          <w:noProof/>
          <w:lang w:val="fr-FR"/>
        </w:rPr>
      </w:pPr>
      <w:r>
        <w:rPr>
          <w:noProof/>
          <w:lang w:val="fr-FR"/>
        </w:rPr>
        <w:t>–</w:t>
      </w:r>
      <w:r>
        <w:rPr>
          <w:b/>
          <w:noProof/>
          <w:lang w:val="fr-FR"/>
        </w:rPr>
        <w:tab/>
      </w:r>
      <w:r>
        <w:rPr>
          <w:noProof/>
          <w:lang w:val="fr-FR"/>
        </w:rPr>
        <w:t xml:space="preserve">Suppression d’une partie des limitations concernant l’accès au marché pour SK dans le cadre du mode 3. </w:t>
      </w:r>
    </w:p>
    <w:p>
      <w:pPr>
        <w:numPr>
          <w:ilvl w:val="0"/>
          <w:numId w:val="9"/>
        </w:numPr>
        <w:tabs>
          <w:tab w:val="left" w:pos="-142"/>
        </w:tabs>
        <w:ind w:left="714" w:hanging="357"/>
        <w:rPr>
          <w:b/>
          <w:noProof/>
        </w:rPr>
      </w:pPr>
      <w:r>
        <w:rPr>
          <w:b/>
          <w:noProof/>
          <w:lang w:val="fr-FR"/>
        </w:rPr>
        <w:t>Services financiers (banques)</w:t>
      </w:r>
    </w:p>
    <w:p>
      <w:pPr>
        <w:tabs>
          <w:tab w:val="left" w:pos="-142"/>
        </w:tabs>
        <w:ind w:left="1440" w:hanging="363"/>
        <w:rPr>
          <w:noProof/>
          <w:lang w:val="fr-FR"/>
        </w:rPr>
      </w:pPr>
      <w:r>
        <w:rPr>
          <w:noProof/>
          <w:lang w:val="fr-FR"/>
        </w:rPr>
        <w:t>–</w:t>
      </w:r>
      <w:r>
        <w:rPr>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ind w:left="1077"/>
        <w:rPr>
          <w:noProof/>
          <w:lang w:val="fr-FR"/>
        </w:rPr>
      </w:pPr>
    </w:p>
    <w:p>
      <w:pPr>
        <w:numPr>
          <w:ilvl w:val="0"/>
          <w:numId w:val="9"/>
        </w:numPr>
        <w:tabs>
          <w:tab w:val="left" w:pos="-142"/>
        </w:tabs>
        <w:ind w:left="714" w:hanging="357"/>
        <w:rPr>
          <w:b/>
          <w:noProof/>
          <w:lang w:val="fr-FR"/>
        </w:rPr>
      </w:pPr>
      <w:r>
        <w:rPr>
          <w:b/>
          <w:noProof/>
          <w:lang w:val="fr-FR"/>
        </w:rPr>
        <w:t>Hôtellerie, restauration et services de traiteurs</w:t>
      </w:r>
    </w:p>
    <w:p>
      <w:pPr>
        <w:ind w:left="1440" w:hanging="363"/>
        <w:rPr>
          <w:noProof/>
          <w:lang w:val="fr-FR"/>
        </w:rPr>
      </w:pPr>
      <w:r>
        <w:rPr>
          <w:noProof/>
          <w:lang w:val="fr-FR"/>
        </w:rPr>
        <w:t>–</w:t>
      </w:r>
      <w:r>
        <w:rPr>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ind w:left="1077"/>
        <w:rPr>
          <w:noProof/>
          <w:lang w:val="fr-FR"/>
        </w:rPr>
      </w:pPr>
    </w:p>
    <w:p>
      <w:pPr>
        <w:numPr>
          <w:ilvl w:val="0"/>
          <w:numId w:val="9"/>
        </w:numPr>
        <w:tabs>
          <w:tab w:val="left" w:pos="-142"/>
        </w:tabs>
        <w:ind w:left="714" w:hanging="357"/>
        <w:rPr>
          <w:b/>
          <w:noProof/>
          <w:lang w:val="fr-FR"/>
        </w:rPr>
      </w:pPr>
      <w:r>
        <w:rPr>
          <w:b/>
          <w:noProof/>
          <w:lang w:val="fr-FR"/>
        </w:rPr>
        <w:t>Services d’agences de voyages et d’organisateurs touristiques</w:t>
      </w:r>
    </w:p>
    <w:p>
      <w:pPr>
        <w:tabs>
          <w:tab w:val="left" w:pos="-142"/>
        </w:tabs>
        <w:ind w:left="1077"/>
        <w:rPr>
          <w:noProof/>
          <w:lang w:val="fr-FR"/>
        </w:rPr>
      </w:pPr>
      <w:r>
        <w:rPr>
          <w:noProof/>
          <w:lang w:val="fr-FR"/>
        </w:rPr>
        <w:t xml:space="preserve">– </w:t>
      </w:r>
      <w:r>
        <w:rPr>
          <w:noProof/>
          <w:lang w:val="fr-FR"/>
        </w:rPr>
        <w:tab/>
        <w:t>Suppression de l’examen des besoins économiques appliqué par CZ pour le mode 3.</w:t>
      </w:r>
    </w:p>
    <w:p>
      <w:pPr>
        <w:numPr>
          <w:ilvl w:val="0"/>
          <w:numId w:val="9"/>
        </w:numPr>
        <w:rPr>
          <w:b/>
          <w:noProof/>
        </w:rPr>
      </w:pPr>
      <w:r>
        <w:rPr>
          <w:b/>
          <w:noProof/>
          <w:lang w:val="fr-FR"/>
        </w:rPr>
        <w:t>Services de coiffure</w:t>
      </w:r>
    </w:p>
    <w:p>
      <w:pPr>
        <w:ind w:left="1440" w:hanging="363"/>
        <w:rPr>
          <w:noProof/>
          <w:lang w:val="fr-FR"/>
        </w:rPr>
      </w:pPr>
      <w:r>
        <w:rPr>
          <w:noProof/>
          <w:lang w:val="fr-FR"/>
        </w:rPr>
        <w:t>–</w:t>
      </w:r>
      <w:r>
        <w:rPr>
          <w:noProof/>
          <w:lang w:val="fr-FR"/>
        </w:rPr>
        <w:tab/>
        <w:t>Engagements de CZ, FI, HU et SK concernant l’accès au marché et le traitement national dans le cadre des modes 2 et 3.</w:t>
      </w:r>
    </w:p>
    <w:p>
      <w:pPr>
        <w:ind w:left="1440" w:hanging="360"/>
        <w:rPr>
          <w:noProof/>
          <w:lang w:val="fr-FR"/>
        </w:rPr>
      </w:pPr>
    </w:p>
    <w:p>
      <w:pPr>
        <w:ind w:left="1440" w:hanging="360"/>
        <w:rPr>
          <w:noProof/>
          <w:lang w:val="fr-FR"/>
        </w:rPr>
      </w:pPr>
    </w:p>
    <w:p>
      <w:pPr>
        <w:tabs>
          <w:tab w:val="left" w:pos="-720"/>
          <w:tab w:val="left" w:pos="567"/>
        </w:tabs>
        <w:suppressAutoHyphens/>
        <w:rPr>
          <w:noProof/>
          <w:spacing w:val="-2"/>
          <w:lang w:val="fr-FR"/>
        </w:rPr>
      </w:pPr>
      <w:r>
        <w:rPr>
          <w:noProof/>
          <w:spacing w:val="-2"/>
          <w:lang w:val="fr-FR"/>
        </w:rPr>
        <w:t>Les États membres sont désignés par les abréviations suivantes:</w:t>
      </w:r>
    </w:p>
    <w:p>
      <w:pPr>
        <w:tabs>
          <w:tab w:val="left" w:pos="-720"/>
          <w:tab w:val="left" w:pos="567"/>
        </w:tabs>
        <w:suppressAutoHyphens/>
        <w:rPr>
          <w:noProof/>
          <w:spacing w:val="-2"/>
          <w:lang w:val="fr-FR"/>
        </w:rPr>
      </w:pPr>
    </w:p>
    <w:p>
      <w:pPr>
        <w:tabs>
          <w:tab w:val="left" w:pos="-720"/>
          <w:tab w:val="left" w:pos="567"/>
        </w:tabs>
        <w:suppressAutoHyphens/>
        <w:rPr>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lang w:val="fr-FR"/>
        </w:rPr>
      </w:pPr>
      <w:r>
        <w:rPr>
          <w:noProof/>
          <w:spacing w:val="-2"/>
          <w:lang w:val="fr-FR"/>
        </w:rPr>
        <w:tab/>
        <w:t>AT</w:t>
      </w:r>
      <w:r>
        <w:rPr>
          <w:noProof/>
          <w:spacing w:val="-2"/>
          <w:lang w:val="fr-FR"/>
        </w:rPr>
        <w:tab/>
        <w:t xml:space="preserve">Autriche </w:t>
      </w:r>
    </w:p>
    <w:p>
      <w:pPr>
        <w:tabs>
          <w:tab w:val="left" w:pos="-720"/>
          <w:tab w:val="left" w:pos="567"/>
        </w:tabs>
        <w:suppressAutoHyphens/>
        <w:rPr>
          <w:noProof/>
          <w:spacing w:val="-2"/>
          <w:lang w:val="fr-FR"/>
        </w:rPr>
      </w:pPr>
      <w:r>
        <w:rPr>
          <w:noProof/>
          <w:spacing w:val="-2"/>
          <w:lang w:val="fr-FR"/>
        </w:rPr>
        <w:tab/>
        <w:t>BE</w:t>
      </w:r>
      <w:r>
        <w:rPr>
          <w:noProof/>
          <w:spacing w:val="-2"/>
          <w:lang w:val="fr-FR"/>
        </w:rPr>
        <w:tab/>
        <w:t>Belgique</w:t>
      </w:r>
    </w:p>
    <w:p>
      <w:pPr>
        <w:tabs>
          <w:tab w:val="left" w:pos="-720"/>
          <w:tab w:val="left" w:pos="567"/>
        </w:tabs>
        <w:suppressAutoHyphens/>
        <w:rPr>
          <w:noProof/>
          <w:spacing w:val="-2"/>
          <w:lang w:val="fr-FR"/>
        </w:rPr>
      </w:pPr>
      <w:r>
        <w:rPr>
          <w:noProof/>
          <w:spacing w:val="-2"/>
          <w:lang w:val="fr-FR"/>
        </w:rPr>
        <w:tab/>
        <w:t>CY</w:t>
      </w:r>
      <w:r>
        <w:rPr>
          <w:noProof/>
          <w:spacing w:val="-2"/>
          <w:lang w:val="fr-FR"/>
        </w:rPr>
        <w:tab/>
        <w:t>Chypre</w:t>
      </w:r>
    </w:p>
    <w:p>
      <w:pPr>
        <w:tabs>
          <w:tab w:val="left" w:pos="-720"/>
          <w:tab w:val="left" w:pos="567"/>
        </w:tabs>
        <w:suppressAutoHyphens/>
        <w:rPr>
          <w:noProof/>
          <w:lang w:val="fr-FR"/>
        </w:rPr>
      </w:pPr>
      <w:r>
        <w:rPr>
          <w:noProof/>
          <w:spacing w:val="-2"/>
          <w:lang w:val="fr-FR"/>
        </w:rPr>
        <w:tab/>
        <w:t>CZ</w:t>
      </w:r>
      <w:r>
        <w:rPr>
          <w:noProof/>
          <w:spacing w:val="-2"/>
          <w:lang w:val="fr-FR"/>
        </w:rPr>
        <w:tab/>
        <w:t>République tchèque</w:t>
      </w:r>
      <w:r>
        <w:rPr>
          <w:noProof/>
          <w:spacing w:val="-2"/>
          <w:lang w:val="fr-FR"/>
        </w:rPr>
        <w:tab/>
      </w:r>
    </w:p>
    <w:p>
      <w:pPr>
        <w:tabs>
          <w:tab w:val="left" w:pos="-720"/>
          <w:tab w:val="left" w:pos="567"/>
        </w:tabs>
        <w:suppressAutoHyphens/>
        <w:rPr>
          <w:noProof/>
          <w:spacing w:val="-2"/>
          <w:lang w:val="fr-FR"/>
        </w:rPr>
      </w:pPr>
      <w:r>
        <w:rPr>
          <w:noProof/>
          <w:spacing w:val="-2"/>
          <w:lang w:val="fr-FR"/>
        </w:rPr>
        <w:tab/>
        <w:t>DE</w:t>
      </w:r>
      <w:r>
        <w:rPr>
          <w:noProof/>
          <w:spacing w:val="-2"/>
          <w:lang w:val="fr-FR"/>
        </w:rPr>
        <w:tab/>
        <w:t>Allemagne</w:t>
      </w:r>
    </w:p>
    <w:p>
      <w:pPr>
        <w:tabs>
          <w:tab w:val="left" w:pos="-720"/>
          <w:tab w:val="left" w:pos="567"/>
        </w:tabs>
        <w:suppressAutoHyphens/>
        <w:rPr>
          <w:noProof/>
          <w:spacing w:val="-2"/>
          <w:lang w:val="fr-FR"/>
        </w:rPr>
      </w:pPr>
      <w:r>
        <w:rPr>
          <w:noProof/>
          <w:spacing w:val="-2"/>
          <w:lang w:val="fr-FR"/>
        </w:rPr>
        <w:tab/>
        <w:t>DK</w:t>
      </w:r>
      <w:r>
        <w:rPr>
          <w:noProof/>
          <w:spacing w:val="-2"/>
          <w:lang w:val="fr-FR"/>
        </w:rPr>
        <w:tab/>
        <w:t>Danemark</w:t>
      </w:r>
    </w:p>
    <w:p>
      <w:pPr>
        <w:tabs>
          <w:tab w:val="left" w:pos="-720"/>
          <w:tab w:val="left" w:pos="567"/>
        </w:tabs>
        <w:suppressAutoHyphens/>
        <w:rPr>
          <w:noProof/>
          <w:lang w:val="fr-FR"/>
        </w:rPr>
      </w:pPr>
      <w:r>
        <w:rPr>
          <w:noProof/>
          <w:spacing w:val="-2"/>
          <w:lang w:val="fr-FR"/>
        </w:rPr>
        <w:tab/>
        <w:t>EE</w:t>
      </w:r>
      <w:r>
        <w:rPr>
          <w:noProof/>
          <w:spacing w:val="-2"/>
          <w:lang w:val="fr-FR"/>
        </w:rPr>
        <w:tab/>
        <w:t xml:space="preserve">Estonie </w:t>
      </w:r>
    </w:p>
    <w:p>
      <w:pPr>
        <w:tabs>
          <w:tab w:val="left" w:pos="-720"/>
          <w:tab w:val="left" w:pos="567"/>
        </w:tabs>
        <w:suppressAutoHyphens/>
        <w:rPr>
          <w:noProof/>
          <w:lang w:val="fr-FR"/>
        </w:rPr>
      </w:pPr>
      <w:r>
        <w:rPr>
          <w:noProof/>
          <w:spacing w:val="-2"/>
          <w:lang w:val="fr-FR"/>
        </w:rPr>
        <w:tab/>
        <w:t>EL</w:t>
      </w:r>
      <w:r>
        <w:rPr>
          <w:noProof/>
          <w:spacing w:val="-2"/>
          <w:lang w:val="fr-FR"/>
        </w:rPr>
        <w:tab/>
        <w:t xml:space="preserve">Grèce </w:t>
      </w:r>
    </w:p>
    <w:p>
      <w:pPr>
        <w:tabs>
          <w:tab w:val="left" w:pos="-720"/>
          <w:tab w:val="left" w:pos="567"/>
        </w:tabs>
        <w:suppressAutoHyphens/>
        <w:rPr>
          <w:noProof/>
          <w:spacing w:val="-2"/>
          <w:lang w:val="fr-FR"/>
        </w:rPr>
      </w:pPr>
      <w:r>
        <w:rPr>
          <w:noProof/>
          <w:spacing w:val="-2"/>
          <w:lang w:val="fr-FR"/>
        </w:rPr>
        <w:tab/>
        <w:t>ES</w:t>
      </w:r>
      <w:r>
        <w:rPr>
          <w:noProof/>
          <w:spacing w:val="-2"/>
          <w:lang w:val="fr-FR"/>
        </w:rPr>
        <w:tab/>
        <w:t>Espagne</w:t>
      </w:r>
    </w:p>
    <w:p>
      <w:pPr>
        <w:tabs>
          <w:tab w:val="left" w:pos="-720"/>
          <w:tab w:val="left" w:pos="567"/>
        </w:tabs>
        <w:suppressAutoHyphens/>
        <w:rPr>
          <w:noProof/>
          <w:lang w:val="fr-FR"/>
        </w:rPr>
      </w:pPr>
      <w:r>
        <w:rPr>
          <w:noProof/>
          <w:spacing w:val="-2"/>
          <w:lang w:val="fr-FR"/>
        </w:rPr>
        <w:tab/>
        <w:t>FI</w:t>
      </w:r>
      <w:r>
        <w:rPr>
          <w:noProof/>
          <w:spacing w:val="-2"/>
          <w:lang w:val="fr-FR"/>
        </w:rPr>
        <w:tab/>
        <w:t xml:space="preserve">Finlande </w:t>
      </w:r>
    </w:p>
    <w:p>
      <w:pPr>
        <w:tabs>
          <w:tab w:val="left" w:pos="-720"/>
          <w:tab w:val="left" w:pos="567"/>
        </w:tabs>
        <w:suppressAutoHyphens/>
        <w:rPr>
          <w:noProof/>
          <w:spacing w:val="-2"/>
          <w:lang w:val="fr-FR"/>
        </w:rPr>
      </w:pPr>
      <w:r>
        <w:rPr>
          <w:noProof/>
          <w:spacing w:val="-2"/>
          <w:lang w:val="fr-FR"/>
        </w:rPr>
        <w:tab/>
        <w:t>FR</w:t>
      </w:r>
      <w:r>
        <w:rPr>
          <w:noProof/>
          <w:spacing w:val="-2"/>
          <w:lang w:val="fr-FR"/>
        </w:rPr>
        <w:tab/>
        <w:t>France</w:t>
      </w:r>
    </w:p>
    <w:p>
      <w:pPr>
        <w:tabs>
          <w:tab w:val="left" w:pos="-720"/>
          <w:tab w:val="left" w:pos="567"/>
        </w:tabs>
        <w:suppressAutoHyphens/>
        <w:rPr>
          <w:noProof/>
          <w:lang w:val="fr-FR"/>
        </w:rPr>
      </w:pPr>
      <w:r>
        <w:rPr>
          <w:noProof/>
          <w:spacing w:val="-2"/>
          <w:lang w:val="fr-FR"/>
        </w:rPr>
        <w:tab/>
        <w:t>HU</w:t>
      </w:r>
      <w:r>
        <w:rPr>
          <w:noProof/>
          <w:spacing w:val="-2"/>
          <w:lang w:val="fr-FR"/>
        </w:rPr>
        <w:tab/>
        <w:t xml:space="preserve">Hongrie </w:t>
      </w:r>
    </w:p>
    <w:p>
      <w:pPr>
        <w:tabs>
          <w:tab w:val="left" w:pos="-720"/>
          <w:tab w:val="left" w:pos="567"/>
        </w:tabs>
        <w:suppressAutoHyphens/>
        <w:rPr>
          <w:noProof/>
          <w:spacing w:val="-2"/>
          <w:lang w:val="fr-FR"/>
        </w:rPr>
      </w:pPr>
      <w:r>
        <w:rPr>
          <w:noProof/>
          <w:spacing w:val="-2"/>
          <w:lang w:val="fr-FR"/>
        </w:rPr>
        <w:tab/>
        <w:t>IE</w:t>
      </w:r>
      <w:r>
        <w:rPr>
          <w:noProof/>
          <w:spacing w:val="-2"/>
          <w:lang w:val="fr-FR"/>
        </w:rPr>
        <w:tab/>
        <w:t>Irlande</w:t>
      </w:r>
    </w:p>
    <w:p>
      <w:pPr>
        <w:tabs>
          <w:tab w:val="left" w:pos="-720"/>
          <w:tab w:val="left" w:pos="567"/>
        </w:tabs>
        <w:suppressAutoHyphens/>
        <w:rPr>
          <w:noProof/>
          <w:spacing w:val="-2"/>
          <w:lang w:val="fr-FR"/>
        </w:rPr>
      </w:pPr>
      <w:r>
        <w:rPr>
          <w:noProof/>
          <w:spacing w:val="-2"/>
          <w:lang w:val="fr-FR"/>
        </w:rPr>
        <w:tab/>
        <w:t>IT</w:t>
      </w:r>
      <w:r>
        <w:rPr>
          <w:noProof/>
          <w:spacing w:val="-2"/>
          <w:lang w:val="fr-FR"/>
        </w:rPr>
        <w:tab/>
        <w:t>Italie</w:t>
      </w:r>
    </w:p>
    <w:p>
      <w:pPr>
        <w:tabs>
          <w:tab w:val="left" w:pos="-720"/>
          <w:tab w:val="left" w:pos="567"/>
        </w:tabs>
        <w:suppressAutoHyphens/>
        <w:rPr>
          <w:noProof/>
          <w:lang w:val="fr-FR"/>
        </w:rPr>
      </w:pPr>
      <w:r>
        <w:rPr>
          <w:noProof/>
          <w:spacing w:val="-2"/>
          <w:lang w:val="fr-FR"/>
        </w:rPr>
        <w:tab/>
        <w:t>LT</w:t>
      </w:r>
      <w:r>
        <w:rPr>
          <w:noProof/>
          <w:spacing w:val="-2"/>
          <w:lang w:val="fr-FR"/>
        </w:rPr>
        <w:tab/>
        <w:t xml:space="preserve">Lituanie </w:t>
      </w:r>
    </w:p>
    <w:p>
      <w:pPr>
        <w:tabs>
          <w:tab w:val="left" w:pos="-720"/>
          <w:tab w:val="left" w:pos="567"/>
        </w:tabs>
        <w:suppressAutoHyphens/>
        <w:rPr>
          <w:noProof/>
          <w:spacing w:val="-2"/>
          <w:lang w:val="de-DE"/>
        </w:rPr>
      </w:pPr>
      <w:r>
        <w:rPr>
          <w:noProof/>
          <w:spacing w:val="-2"/>
          <w:lang w:val="fr-FR"/>
        </w:rPr>
        <w:tab/>
      </w:r>
      <w:r>
        <w:rPr>
          <w:noProof/>
          <w:spacing w:val="-2"/>
          <w:lang w:val="de-DE"/>
        </w:rPr>
        <w:t xml:space="preserve">LU </w:t>
      </w:r>
      <w:r>
        <w:rPr>
          <w:noProof/>
          <w:spacing w:val="-2"/>
          <w:lang w:val="de-DE"/>
        </w:rPr>
        <w:tab/>
        <w:t>Luxembourg</w:t>
      </w:r>
    </w:p>
    <w:p>
      <w:pPr>
        <w:tabs>
          <w:tab w:val="left" w:pos="-720"/>
          <w:tab w:val="left" w:pos="567"/>
        </w:tabs>
        <w:suppressAutoHyphens/>
        <w:rPr>
          <w:noProof/>
          <w:spacing w:val="-2"/>
          <w:lang w:val="de-DE"/>
        </w:rPr>
      </w:pPr>
      <w:r>
        <w:rPr>
          <w:noProof/>
          <w:spacing w:val="-2"/>
          <w:lang w:val="de-DE"/>
        </w:rPr>
        <w:tab/>
        <w:t>LV</w:t>
      </w:r>
      <w:r>
        <w:rPr>
          <w:noProof/>
          <w:spacing w:val="-2"/>
          <w:lang w:val="de-DE"/>
        </w:rPr>
        <w:tab/>
        <w:t>Lettonie</w:t>
      </w:r>
    </w:p>
    <w:p>
      <w:pPr>
        <w:tabs>
          <w:tab w:val="left" w:pos="-720"/>
          <w:tab w:val="left" w:pos="567"/>
        </w:tabs>
        <w:suppressAutoHyphens/>
        <w:rPr>
          <w:noProof/>
          <w:spacing w:val="-2"/>
          <w:lang w:val="de-DE"/>
        </w:rPr>
      </w:pPr>
      <w:r>
        <w:rPr>
          <w:noProof/>
          <w:spacing w:val="-2"/>
          <w:lang w:val="de-DE"/>
        </w:rPr>
        <w:tab/>
        <w:t>MT</w:t>
      </w:r>
      <w:r>
        <w:rPr>
          <w:noProof/>
          <w:spacing w:val="-2"/>
          <w:lang w:val="de-DE"/>
        </w:rPr>
        <w:tab/>
        <w:t>Malte</w:t>
      </w:r>
    </w:p>
    <w:p>
      <w:pPr>
        <w:tabs>
          <w:tab w:val="left" w:pos="-720"/>
          <w:tab w:val="left" w:pos="567"/>
        </w:tabs>
        <w:suppressAutoHyphens/>
        <w:rPr>
          <w:noProof/>
          <w:lang w:val="fr-FR"/>
        </w:rPr>
      </w:pPr>
      <w:r>
        <w:rPr>
          <w:noProof/>
          <w:spacing w:val="-2"/>
          <w:lang w:val="de-DE"/>
        </w:rPr>
        <w:tab/>
      </w:r>
      <w:r>
        <w:rPr>
          <w:noProof/>
          <w:spacing w:val="-2"/>
          <w:lang w:val="fr-FR"/>
        </w:rPr>
        <w:t>NL</w:t>
      </w:r>
      <w:r>
        <w:rPr>
          <w:noProof/>
          <w:spacing w:val="-2"/>
          <w:lang w:val="fr-FR"/>
        </w:rPr>
        <w:tab/>
        <w:t>Pays-Bas</w:t>
      </w:r>
      <w:r>
        <w:rPr>
          <w:noProof/>
          <w:spacing w:val="-2"/>
          <w:lang w:val="fr-FR"/>
        </w:rPr>
        <w:tab/>
      </w:r>
    </w:p>
    <w:p>
      <w:pPr>
        <w:tabs>
          <w:tab w:val="left" w:pos="-720"/>
          <w:tab w:val="left" w:pos="567"/>
        </w:tabs>
        <w:suppressAutoHyphens/>
        <w:rPr>
          <w:noProof/>
          <w:lang w:val="fr-FR"/>
        </w:rPr>
      </w:pPr>
      <w:r>
        <w:rPr>
          <w:noProof/>
          <w:spacing w:val="-2"/>
          <w:lang w:val="fr-FR"/>
        </w:rPr>
        <w:tab/>
        <w:t>PL</w:t>
      </w:r>
      <w:r>
        <w:rPr>
          <w:noProof/>
          <w:spacing w:val="-2"/>
          <w:lang w:val="fr-FR"/>
        </w:rPr>
        <w:tab/>
        <w:t xml:space="preserve">Pologne </w:t>
      </w:r>
    </w:p>
    <w:p>
      <w:pPr>
        <w:tabs>
          <w:tab w:val="left" w:pos="-720"/>
          <w:tab w:val="left" w:pos="567"/>
        </w:tabs>
        <w:suppressAutoHyphens/>
        <w:rPr>
          <w:noProof/>
          <w:spacing w:val="-2"/>
          <w:lang w:val="fr-FR"/>
        </w:rPr>
      </w:pPr>
      <w:r>
        <w:rPr>
          <w:noProof/>
          <w:spacing w:val="-2"/>
          <w:lang w:val="fr-FR"/>
        </w:rPr>
        <w:tab/>
        <w:t>PT</w:t>
      </w:r>
      <w:r>
        <w:rPr>
          <w:noProof/>
          <w:spacing w:val="-2"/>
          <w:lang w:val="fr-FR"/>
        </w:rPr>
        <w:tab/>
        <w:t>Portugal</w:t>
      </w:r>
    </w:p>
    <w:p>
      <w:pPr>
        <w:tabs>
          <w:tab w:val="left" w:pos="-720"/>
          <w:tab w:val="left" w:pos="567"/>
        </w:tabs>
        <w:suppressAutoHyphens/>
        <w:rPr>
          <w:noProof/>
          <w:spacing w:val="-2"/>
          <w:lang w:val="fr-FR"/>
        </w:rPr>
      </w:pPr>
      <w:r>
        <w:rPr>
          <w:noProof/>
          <w:spacing w:val="-2"/>
          <w:lang w:val="fr-FR"/>
        </w:rPr>
        <w:tab/>
        <w:t>SE</w:t>
      </w:r>
      <w:r>
        <w:rPr>
          <w:noProof/>
          <w:spacing w:val="-2"/>
          <w:lang w:val="fr-FR"/>
        </w:rPr>
        <w:tab/>
        <w:t>Suède</w:t>
      </w:r>
    </w:p>
    <w:p>
      <w:pPr>
        <w:tabs>
          <w:tab w:val="left" w:pos="-720"/>
          <w:tab w:val="left" w:pos="567"/>
        </w:tabs>
        <w:suppressAutoHyphens/>
        <w:rPr>
          <w:noProof/>
          <w:spacing w:val="-2"/>
          <w:lang w:val="fr-FR"/>
        </w:rPr>
      </w:pPr>
      <w:r>
        <w:rPr>
          <w:noProof/>
          <w:spacing w:val="-2"/>
          <w:lang w:val="fr-FR"/>
        </w:rPr>
        <w:tab/>
        <w:t>SI</w:t>
      </w:r>
      <w:r>
        <w:rPr>
          <w:noProof/>
          <w:spacing w:val="-2"/>
          <w:lang w:val="fr-FR"/>
        </w:rPr>
        <w:tab/>
        <w:t>Slovénie</w:t>
      </w:r>
    </w:p>
    <w:p>
      <w:pPr>
        <w:tabs>
          <w:tab w:val="left" w:pos="-720"/>
          <w:tab w:val="left" w:pos="567"/>
        </w:tabs>
        <w:suppressAutoHyphens/>
        <w:rPr>
          <w:noProof/>
          <w:spacing w:val="-2"/>
          <w:lang w:val="fr-FR"/>
        </w:rPr>
      </w:pPr>
      <w:r>
        <w:rPr>
          <w:noProof/>
          <w:spacing w:val="-2"/>
          <w:lang w:val="fr-FR"/>
        </w:rPr>
        <w:tab/>
        <w:t>SK</w:t>
      </w:r>
      <w:r>
        <w:rPr>
          <w:noProof/>
          <w:spacing w:val="-2"/>
          <w:lang w:val="fr-FR"/>
        </w:rPr>
        <w:tab/>
        <w:t>République slovaque</w:t>
      </w:r>
    </w:p>
    <w:p>
      <w:pPr>
        <w:tabs>
          <w:tab w:val="left" w:pos="-720"/>
          <w:tab w:val="left" w:pos="567"/>
        </w:tabs>
        <w:suppressAutoHyphens/>
        <w:rPr>
          <w:noProof/>
          <w:spacing w:val="-2"/>
        </w:rPr>
      </w:pPr>
      <w:r>
        <w:rPr>
          <w:noProof/>
          <w:spacing w:val="-2"/>
          <w:lang w:val="fr-FR"/>
        </w:rPr>
        <w:tab/>
        <w:t>UK</w:t>
      </w:r>
      <w:r>
        <w:rPr>
          <w:noProof/>
          <w:spacing w:val="-2"/>
        </w:rPr>
        <w:tab/>
      </w:r>
      <w:r>
        <w:rPr>
          <w:noProof/>
          <w:spacing w:val="-2"/>
          <w:lang w:val="fr-FR"/>
        </w:rPr>
        <w:t>Royaume-Uni</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jc w:val="center"/>
        <w:rPr>
          <w:b/>
          <w:noProof/>
        </w:rPr>
      </w:pPr>
      <w:r>
        <w:rPr>
          <w:b/>
          <w:noProof/>
        </w:rPr>
        <w:t>__________</w:t>
      </w:r>
    </w:p>
    <w:p>
      <w:pPr>
        <w:rPr>
          <w:noProof/>
        </w:rPr>
      </w:pPr>
    </w:p>
    <w:p>
      <w:pPr>
        <w:rPr>
          <w:noProof/>
        </w:rPr>
      </w:pPr>
    </w:p>
    <w:p>
      <w:pPr>
        <w:rPr>
          <w:noProof/>
        </w:rPr>
      </w:pPr>
    </w:p>
    <w:p>
      <w:pPr>
        <w:rPr>
          <w:noProof/>
        </w:rPr>
      </w:pPr>
    </w:p>
    <w:p>
      <w:pPr>
        <w:jc w:val="center"/>
        <w:rPr>
          <w:i/>
          <w:noProof/>
          <w:szCs w:val="24"/>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577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rPr>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977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2020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9103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3412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rPr>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92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rPr>
          <w:lang w:val="fr-BE"/>
        </w:rPr>
      </w:pPr>
      <w:r>
        <w:rPr>
          <w:rStyle w:val="FootnoteReference"/>
        </w:rPr>
        <w:footnoteRef/>
      </w:r>
      <w:r>
        <w:rPr>
          <w:lang w:val="fr-BE"/>
        </w:rPr>
        <w:t xml:space="preserve"> </w:t>
      </w:r>
      <w:r>
        <w:rPr>
          <w:szCs w:val="24"/>
          <w:lang w:val="fr-FR"/>
        </w:rPr>
        <w:t>Le présent accord ne sera pas interprété comme préjugeant de l’issue des discussions séparées menées au sein de l’OMC en ce qui concerne la classification des services de télécommunication (télécommunications de base et services à valeur ajoutée).</w:t>
      </w:r>
    </w:p>
  </w:footnote>
  <w:footnote w:id="2">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rPr>
        <w:szCs w:val="24"/>
      </w:rPr>
    </w:pPr>
  </w:p>
  <w:p>
    <w:pPr>
      <w:pStyle w:val="Header"/>
      <w:tabs>
        <w:tab w:val="clear" w:pos="720"/>
        <w:tab w:val="clear" w:pos="4513"/>
        <w:tab w:val="clear" w:pos="9027"/>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rPr>
        <w:szCs w:val="24"/>
      </w:rPr>
    </w:pPr>
    <w:r>
      <w:rPr>
        <w:szCs w:val="24"/>
      </w:rPr>
      <w:t xml:space="preserve"> </w:t>
    </w:r>
  </w:p>
  <w:p>
    <w:pPr>
      <w:pStyle w:val="Header"/>
      <w:tabs>
        <w:tab w:val="clear" w:pos="720"/>
        <w:tab w:val="clear" w:pos="4513"/>
        <w:tab w:val="clear" w:pos="9027"/>
        <w:tab w:val="right" w:pos="9026"/>
      </w:tabs>
      <w:rPr>
        <w:szCs w:val="24"/>
      </w:rPr>
    </w:pPr>
  </w:p>
  <w:p>
    <w:pPr>
      <w:pStyle w:val="Header"/>
      <w:tabs>
        <w:tab w:val="clear" w:pos="720"/>
        <w:tab w:val="clear" w:pos="4513"/>
        <w:tab w:val="clear" w:pos="9027"/>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lvlOverride w:ilvl="0">
      <w:lvl w:ilvl="0">
        <w:numFmt w:val="bullet"/>
        <w:lvlText w:val=""/>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6"/>
    <w:docVar w:name="LW_ANNEX_NBR_LAST" w:val="6"/>
    <w:docVar w:name="LW_ANNEX_UNIQUE" w:val="0"/>
    <w:docVar w:name="LW_CORRIGENDUM" w:val="&lt;UNUSED&gt;"/>
    <w:docVar w:name="LW_COVERPAGE_EXISTS" w:val="True"/>
    <w:docVar w:name="LW_COVERPAGE_GUID" w:val="9BD51B60-DC2A-41D0-9228-3E0A08B9A539"/>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tw4winMark">
    <w:name w:val="tw4winMark"/>
    <w:rPr>
      <w:vanish/>
      <w:color w:val="800080"/>
      <w:vertAlign w:val="subscript"/>
    </w:rPr>
  </w:style>
  <w:style w:type="character" w:customStyle="1" w:styleId="FooterChar">
    <w:name w:val="Footer Char"/>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DDDF4-4645-47D5-B01B-8E3C7B3E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4208</Words>
  <Characters>22813</Characters>
  <Application>Microsoft Office Word</Application>
  <DocSecurity>0</DocSecurity>
  <Lines>447</Lines>
  <Paragraphs>149</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26872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12</cp:revision>
  <cp:lastPrinted>2006-09-01T06:29:00Z</cp:lastPrinted>
  <dcterms:created xsi:type="dcterms:W3CDTF">2018-08-07T08:01:00Z</dcterms:created>
  <dcterms:modified xsi:type="dcterms:W3CDTF">2018-10-30T14:34:00Z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S/SECRET/8/Add.12</vt:lpwstr>
  </property>
  <property fmtid="{D5CDD505-2E9C-101B-9397-08002B2CF9AE}" pid="3" name="Level of sensitivity">
    <vt:lpwstr>Standard treatment</vt:lpwstr>
  </property>
  <property fmtid="{D5CDD505-2E9C-101B-9397-08002B2CF9AE}" pid="4" name="First annex">
    <vt:lpwstr>6</vt:lpwstr>
  </property>
  <property fmtid="{D5CDD505-2E9C-101B-9397-08002B2CF9AE}" pid="5" name="Last annex">
    <vt:lpwstr>6</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