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9AFD658-4AAB-4CCC-9566-DE9921819873" style="width:450.75pt;height:489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134" w:right="1417" w:bottom="1134" w:left="1417" w:header="709" w:footer="709" w:gutter="0"/>
          <w:pgNumType w:start="0"/>
          <w:cols w:space="720"/>
          <w:docGrid w:linePitch="360"/>
        </w:sectPr>
      </w:pPr>
    </w:p>
    <w:p>
      <w:pPr>
        <w:spacing w:after="0" w:line="240" w:lineRule="auto"/>
        <w:ind w:firstLine="720"/>
        <w:jc w:val="center"/>
        <w:rPr>
          <w:rFonts w:ascii="Times New Roman" w:hAnsi="Times New Roman"/>
          <w:b/>
          <w:noProof/>
          <w:lang w:val="bg-BG"/>
        </w:rPr>
      </w:pPr>
      <w:bookmarkStart w:id="1" w:name="_GoBack"/>
      <w:bookmarkEnd w:id="1"/>
      <w:r>
        <w:rPr>
          <w:rFonts w:ascii="Times New Roman" w:hAnsi="Times New Roman"/>
          <w:b/>
          <w:noProof/>
          <w:lang w:val="bg-BG"/>
        </w:rPr>
        <w:lastRenderedPageBreak/>
        <w:t>ОФИЦИАЛЕН ПРЕВОД</w:t>
      </w:r>
    </w:p>
    <w:p>
      <w:pPr>
        <w:spacing w:after="0" w:line="240" w:lineRule="auto"/>
        <w:jc w:val="center"/>
        <w:rPr>
          <w:rFonts w:ascii="Times New Roman" w:hAnsi="Times New Roman"/>
          <w:b/>
          <w:noProof/>
          <w:lang w:val="bg-BG"/>
        </w:rPr>
      </w:pPr>
    </w:p>
    <w:p>
      <w:pPr>
        <w:spacing w:after="0" w:line="240" w:lineRule="auto"/>
        <w:jc w:val="center"/>
        <w:rPr>
          <w:rFonts w:ascii="Times New Roman" w:hAnsi="Times New Roman"/>
          <w:b/>
          <w:noProof/>
          <w:lang w:val="ru-RU"/>
        </w:rPr>
      </w:pPr>
      <w:r>
        <w:rPr>
          <w:rFonts w:ascii="Times New Roman" w:hAnsi="Times New Roman"/>
          <w:b/>
          <w:noProof/>
          <w:lang w:val="bg-BG"/>
        </w:rPr>
        <w:t>Съвместно писмо от Европейските общности и техните държави членки, от една страна, и Япония, от друга страна, съгласно параграф 5 от Процедурите за прилагане на член XXI от Общото споразумение по търговията с услуги (ГАТС) (S/L/80 от 29 октомври 1999 г.)</w:t>
      </w:r>
    </w:p>
    <w:p>
      <w:pPr>
        <w:spacing w:after="0" w:line="240" w:lineRule="auto"/>
        <w:jc w:val="center"/>
        <w:rPr>
          <w:rFonts w:ascii="Times New Roman" w:hAnsi="Times New Roman"/>
          <w:b/>
          <w:noProof/>
          <w:lang w:val="ru-RU"/>
        </w:rPr>
      </w:pPr>
    </w:p>
    <w:p>
      <w:pPr>
        <w:spacing w:after="0" w:line="240" w:lineRule="auto"/>
        <w:jc w:val="center"/>
        <w:rPr>
          <w:rFonts w:ascii="Times New Roman" w:hAnsi="Times New Roman"/>
          <w:b/>
          <w:noProof/>
          <w:lang w:val="ru-RU"/>
        </w:rPr>
      </w:pPr>
      <w:r>
        <w:rPr>
          <w:rFonts w:ascii="Times New Roman" w:hAnsi="Times New Roman"/>
          <w:b/>
          <w:noProof/>
          <w:lang w:val="bg-BG"/>
        </w:rPr>
        <w:t>относно</w:t>
      </w:r>
    </w:p>
    <w:p>
      <w:pPr>
        <w:spacing w:after="0" w:line="240" w:lineRule="auto"/>
        <w:jc w:val="center"/>
        <w:rPr>
          <w:rFonts w:ascii="Times New Roman" w:hAnsi="Times New Roman"/>
          <w:b/>
          <w:noProof/>
          <w:lang w:val="ru-RU"/>
        </w:rPr>
      </w:pPr>
    </w:p>
    <w:p>
      <w:pPr>
        <w:spacing w:after="0" w:line="240" w:lineRule="auto"/>
        <w:jc w:val="center"/>
        <w:rPr>
          <w:rFonts w:ascii="Times New Roman" w:hAnsi="Times New Roman"/>
          <w:b/>
          <w:noProof/>
          <w:lang w:val="ru-RU"/>
        </w:rPr>
      </w:pPr>
      <w:r>
        <w:rPr>
          <w:rFonts w:ascii="Times New Roman" w:hAnsi="Times New Roman"/>
          <w:b/>
          <w:noProof/>
          <w:lang w:val="bg-BG"/>
        </w:rPr>
        <w:t>предложените изменения в списъците на поетите по ГАТС задължения от Европейските общности и от техните държави членки (наричани по-долу „ЕО“), за да се вземе предвид присъединяването на Чешката република, Република Естония, Република Кипър, Република Латвия, Република Литва, Република Унгария, Република Малта, Република Австрия, Република Полша, Република Словения, Словашката република, Република Финландия и Кралство Швеция към Европейските общности</w:t>
      </w:r>
    </w:p>
    <w:p>
      <w:pPr>
        <w:spacing w:after="0" w:line="240" w:lineRule="auto"/>
        <w:rPr>
          <w:rFonts w:ascii="Times New Roman" w:hAnsi="Times New Roman"/>
          <w:b/>
          <w:noProof/>
          <w:lang w:val="ru-RU"/>
        </w:rPr>
      </w:pPr>
    </w:p>
    <w:p>
      <w:pPr>
        <w:pStyle w:val="BodyText"/>
        <w:numPr>
          <w:ilvl w:val="0"/>
          <w:numId w:val="0"/>
        </w:numPr>
        <w:rPr>
          <w:noProof/>
          <w:szCs w:val="24"/>
          <w:lang w:val="ru-RU"/>
        </w:rPr>
      </w:pPr>
      <w:r>
        <w:rPr>
          <w:noProof/>
          <w:szCs w:val="24"/>
          <w:lang w:val="bg-BG"/>
        </w:rPr>
        <w:t>На 28 май 2004 г. и на 4 април 2005 г. ЕО подадоха две съобщения в съответствие с член V от ГАТС (разпространени като документ S/SECRET/8 от 11 юни 2004 г. и документ S/SECRET/9 от 12 април 2005 г.), с които нотифицираха своето намерение да изменят или оттеглят конкретните си задължения, включени в списъка, приложен към съобщенията, съгласно член V, алинея 5 от ГАТС и в съответствие с условията на член XXI, алинея 1, буква б) от ГАТС.</w:t>
      </w:r>
      <w:r>
        <w:rPr>
          <w:noProof/>
          <w:szCs w:val="24"/>
          <w:lang w:val="ru-RU"/>
        </w:rPr>
        <w:t xml:space="preserve"> </w:t>
      </w:r>
    </w:p>
    <w:p>
      <w:pPr>
        <w:pStyle w:val="BodyText"/>
        <w:numPr>
          <w:ilvl w:val="0"/>
          <w:numId w:val="0"/>
        </w:numPr>
        <w:rPr>
          <w:noProof/>
          <w:szCs w:val="24"/>
          <w:lang w:val="ru-RU"/>
        </w:rPr>
      </w:pPr>
      <w:r>
        <w:rPr>
          <w:noProof/>
          <w:szCs w:val="24"/>
          <w:lang w:val="bg-BG"/>
        </w:rPr>
        <w:t>След подаването на всяко от съобщенията Япония представи съответно две заявления за изразяване на интерес в съответствие с член XXI, алинея 2, буква а) от ГАТС (S/L/168 относно S/SECRET/8 и S/L/218 относно S/SECRET/9).</w:t>
      </w:r>
      <w:r>
        <w:rPr>
          <w:noProof/>
          <w:szCs w:val="24"/>
          <w:lang w:val="ru-RU"/>
        </w:rPr>
        <w:t xml:space="preserve"> </w:t>
      </w:r>
      <w:r>
        <w:rPr>
          <w:noProof/>
          <w:szCs w:val="24"/>
          <w:lang w:val="bg-BG"/>
        </w:rPr>
        <w:t>ЕО и Япония започнаха преговори в съответствие с член XXI, алинея 2, буква а) от ГАТС относно S/SECRET/8 и S/SECRET/9.</w:t>
      </w:r>
    </w:p>
    <w:p>
      <w:pPr>
        <w:pStyle w:val="BodyText"/>
        <w:numPr>
          <w:ilvl w:val="0"/>
          <w:numId w:val="0"/>
        </w:numPr>
        <w:rPr>
          <w:noProof/>
          <w:szCs w:val="24"/>
          <w:lang w:val="ru-RU"/>
        </w:rPr>
      </w:pPr>
      <w:r>
        <w:rPr>
          <w:noProof/>
          <w:szCs w:val="24"/>
          <w:lang w:val="bg-BG"/>
        </w:rPr>
        <w:t>По отношение на процедурата, открита с нотификацията, съдържаща се в документ S/SECRET/8, първоначалният период на преговорите, изтекъл на 26 октомври 2004 г., бе удължаван (по взаимно съгласие) пет пъти (до 26 април 2005 г., до 27 февруари 2006 г., до 1 юни 2006 г., до 1 юли и до 17 юли 2006 г.).</w:t>
      </w:r>
      <w:r>
        <w:rPr>
          <w:noProof/>
          <w:szCs w:val="24"/>
          <w:lang w:val="ru-RU"/>
        </w:rPr>
        <w:t xml:space="preserve"> </w:t>
      </w:r>
      <w:r>
        <w:rPr>
          <w:noProof/>
          <w:szCs w:val="24"/>
          <w:lang w:val="bg-BG"/>
        </w:rPr>
        <w:t>По време на тези преговори ЕО и Япония се споразумяха относно компенсаторните поправки, свързани с измененията и оттеглянията, съдържащи се в документ S/SECRET/8.</w:t>
      </w:r>
      <w:r>
        <w:rPr>
          <w:noProof/>
          <w:szCs w:val="24"/>
          <w:lang w:val="ru-RU"/>
        </w:rPr>
        <w:t xml:space="preserve"> </w:t>
      </w:r>
    </w:p>
    <w:p>
      <w:pPr>
        <w:pStyle w:val="BodyText"/>
        <w:numPr>
          <w:ilvl w:val="0"/>
          <w:numId w:val="0"/>
        </w:numPr>
        <w:rPr>
          <w:noProof/>
          <w:szCs w:val="24"/>
          <w:lang w:val="ru-RU"/>
        </w:rPr>
      </w:pPr>
      <w:r>
        <w:rPr>
          <w:noProof/>
          <w:szCs w:val="24"/>
          <w:lang w:val="bg-BG"/>
        </w:rPr>
        <w:t>По отношение на процедурата, открита с нотификацията, съдържаща се в документ S/SECRET/9, до края на периода, предвиден за преговори, не бе постигнато споразумение между ЕО и Япония и нито една от засегнатите страни членки не отнесе въпроса до арбитраж в рамките на предвидения срок в съответствие с параграф 7 от S/L/80.</w:t>
      </w:r>
      <w:r>
        <w:rPr>
          <w:noProof/>
          <w:szCs w:val="24"/>
          <w:lang w:val="ru-RU"/>
        </w:rPr>
        <w:t xml:space="preserve"> </w:t>
      </w:r>
      <w:r>
        <w:rPr>
          <w:noProof/>
          <w:szCs w:val="24"/>
          <w:lang w:val="bg-BG"/>
        </w:rPr>
        <w:t>Съгласно член XXI, алинея 3, буква б) от ГАТС и под условие да бъдат завършени процедурите, посочени в параграфи 20—22 от S/L/80, ЕО ще бъдат свободни да прилагат измененията и оттеглянията, предложени в документ S/SECRET/9.</w:t>
      </w:r>
    </w:p>
    <w:p>
      <w:pPr>
        <w:pStyle w:val="BodyText"/>
        <w:numPr>
          <w:ilvl w:val="0"/>
          <w:numId w:val="0"/>
        </w:numPr>
        <w:rPr>
          <w:noProof/>
          <w:szCs w:val="24"/>
          <w:lang w:val="ru-RU"/>
        </w:rPr>
      </w:pPr>
      <w:r>
        <w:rPr>
          <w:noProof/>
          <w:szCs w:val="24"/>
          <w:lang w:val="bg-BG"/>
        </w:rPr>
        <w:t>Докладът за резултатите от тези преговори е приложен към настоящото писмо и включва: 1) предложените изменения в нотификациите, посочени по-горе, 2) договорените компенсаторни поправки, свързани с измененията и оттеглянията, нотифицирани в S/SECRET/8, и 3) проекта на консолидирания списък на конкретните задължения, който е резултат от сливането на съществуващите списъци на задълженията на ЕО и на техните държави членки, както и от включването в него на измененията или оттеглянията на задължения, нотифицирани от ЕО с документи S/SECRET/8 и S/SECRET/9, и компенсаторните поправки, договорени между ЕО и Япония.</w:t>
      </w:r>
    </w:p>
    <w:p>
      <w:pPr>
        <w:pStyle w:val="BodyText"/>
        <w:numPr>
          <w:ilvl w:val="0"/>
          <w:numId w:val="0"/>
        </w:numPr>
        <w:rPr>
          <w:noProof/>
          <w:szCs w:val="24"/>
          <w:lang w:val="ru-RU"/>
        </w:rPr>
      </w:pPr>
      <w:r>
        <w:rPr>
          <w:noProof/>
          <w:szCs w:val="24"/>
          <w:lang w:val="bg-BG"/>
        </w:rPr>
        <w:t>Настоящото писмо и приложения І и ІІ към прикрепения към него доклад представляват споразумението между ЕО и Япония по отношение на S/SECRET/8 за целите на член XXI, алинея 2, буква а) от ГАТС</w:t>
      </w:r>
      <w:r>
        <w:rPr>
          <w:rStyle w:val="FootnoteReference"/>
          <w:noProof/>
          <w:szCs w:val="24"/>
          <w:lang w:val="bg-BG"/>
        </w:rPr>
        <w:footnoteReference w:id="1"/>
      </w:r>
      <w:r>
        <w:rPr>
          <w:noProof/>
          <w:szCs w:val="24"/>
          <w:lang w:val="bg-BG"/>
        </w:rPr>
        <w:t>.</w:t>
      </w:r>
      <w:r>
        <w:rPr>
          <w:noProof/>
          <w:szCs w:val="24"/>
          <w:lang w:val="ru-RU"/>
        </w:rPr>
        <w:t xml:space="preserve"> </w:t>
      </w:r>
      <w:r>
        <w:rPr>
          <w:noProof/>
          <w:szCs w:val="24"/>
          <w:lang w:val="bg-BG"/>
        </w:rPr>
        <w:t>Споразумението не следва да се тълкува по начин, който би довел до промяната на списъците на изключенията от член II за ЕО и техните държави членки.</w:t>
      </w:r>
      <w:r>
        <w:rPr>
          <w:noProof/>
          <w:szCs w:val="24"/>
          <w:lang w:val="ru-RU"/>
        </w:rPr>
        <w:t xml:space="preserve"> </w:t>
      </w:r>
      <w:r>
        <w:rPr>
          <w:noProof/>
          <w:szCs w:val="24"/>
          <w:lang w:val="bg-BG"/>
        </w:rPr>
        <w:t>Споразумението не следва да се тълкува по начин, който би засегнал правата и задълженията на страните съгласно член VIII от ГАТС.</w:t>
      </w:r>
      <w:r>
        <w:rPr>
          <w:noProof/>
          <w:szCs w:val="24"/>
          <w:lang w:val="ru-RU"/>
        </w:rPr>
        <w:t xml:space="preserve"> </w:t>
      </w:r>
    </w:p>
    <w:p>
      <w:pPr>
        <w:pStyle w:val="BodyText"/>
        <w:numPr>
          <w:ilvl w:val="0"/>
          <w:numId w:val="0"/>
        </w:numPr>
        <w:rPr>
          <w:noProof/>
          <w:szCs w:val="24"/>
          <w:lang w:val="bg-BG"/>
        </w:rPr>
      </w:pPr>
      <w:r>
        <w:rPr>
          <w:noProof/>
          <w:szCs w:val="24"/>
          <w:lang w:val="bg-BG"/>
        </w:rPr>
        <w:t>Съгласно процедурите, посочени в параграфи 20—22 от S/L/80, до 14 септември 2006 г. ЕО ще изпратят на секретариата за разпространение проекта на консолидирания списък за сертифициране, при условие че всички засегнати страни членки са подписали споразумение или предвиденият в параграф 7 от S/L/80 период е изтекъл без да е бил поискан арбитраж.</w:t>
      </w:r>
      <w:r>
        <w:rPr>
          <w:noProof/>
          <w:szCs w:val="24"/>
          <w:lang w:val="ru-RU"/>
        </w:rPr>
        <w:t xml:space="preserve"> </w:t>
      </w:r>
      <w:r>
        <w:rPr>
          <w:noProof/>
          <w:szCs w:val="24"/>
          <w:lang w:val="bg-BG"/>
        </w:rPr>
        <w:t>Резултатите от преговорите следва да влязат в сила след приключване на процедурите по сертифициране, на дата, посочена от ЕО, след приключване на вътрешните процедури на ЕО за одобрение, които ЕО се стремят да ускорят възможно най-много.</w:t>
      </w:r>
      <w:r>
        <w:rPr>
          <w:caps/>
          <w:noProof/>
          <w:szCs w:val="24"/>
          <w:lang w:val="ru-RU"/>
        </w:rPr>
        <w:t xml:space="preserve"> </w:t>
      </w:r>
      <w:r>
        <w:rPr>
          <w:noProof/>
          <w:szCs w:val="24"/>
          <w:lang w:val="bg-BG"/>
        </w:rPr>
        <w:t>Измененията и оттеглянията, предложени в документите S/SECRET/8 и S/SECRET/9, не влизат в сила преди влизането в сила на всички компенсаторни поправки, посочени в приложение II.</w:t>
      </w:r>
    </w:p>
    <w:p>
      <w:pPr>
        <w:pStyle w:val="BodyText"/>
        <w:numPr>
          <w:ilvl w:val="0"/>
          <w:numId w:val="0"/>
        </w:numPr>
        <w:jc w:val="center"/>
        <w:rPr>
          <w:b/>
          <w:noProof/>
          <w:lang w:val="ru-RU"/>
        </w:rPr>
      </w:pPr>
      <w:r>
        <w:rPr>
          <w:noProof/>
          <w:szCs w:val="24"/>
          <w:lang w:val="bg-BG"/>
        </w:rPr>
        <w:br w:type="page"/>
      </w:r>
      <w:r>
        <w:rPr>
          <w:b/>
          <w:noProof/>
          <w:lang w:val="bg-BG"/>
        </w:rPr>
        <w:t>Доклад за резултатите от преговорите, проведени в съответствие с член ХХІ, алинея 2, буква а) от Общото споразумение по търговията с услуги (ГАТС)</w:t>
      </w:r>
    </w:p>
    <w:p>
      <w:pPr>
        <w:pStyle w:val="BodyText"/>
        <w:numPr>
          <w:ilvl w:val="0"/>
          <w:numId w:val="0"/>
        </w:numPr>
        <w:jc w:val="center"/>
        <w:rPr>
          <w:b/>
          <w:noProof/>
          <w:lang w:val="ru-RU"/>
        </w:rPr>
      </w:pPr>
      <w:r>
        <w:rPr>
          <w:b/>
          <w:noProof/>
          <w:lang w:val="bg-BG"/>
        </w:rPr>
        <w:t>относно</w:t>
      </w:r>
    </w:p>
    <w:p>
      <w:pPr>
        <w:pStyle w:val="BodyText"/>
        <w:numPr>
          <w:ilvl w:val="0"/>
          <w:numId w:val="0"/>
        </w:numPr>
        <w:jc w:val="center"/>
        <w:rPr>
          <w:b/>
          <w:noProof/>
          <w:lang w:val="ru-RU"/>
        </w:rPr>
      </w:pPr>
      <w:r>
        <w:rPr>
          <w:b/>
          <w:noProof/>
          <w:lang w:val="bg-BG"/>
        </w:rPr>
        <w:t>предложените изменения в списъците на поетите по ГАТС задължения от Европейските общности и от техните държави членки (наричани по-долу „ЕО“), за да се вземе предвид присъединяването на Чешката република, Република Естония, Република Кипър, Република Латвия, Република Литва, Република Унгария, Република Малта, Република Австрия, Република Полша, Република Словения, Словашката република, Република Финландия и Кралство Швеция към Европейските общности</w:t>
      </w:r>
    </w:p>
    <w:p>
      <w:pPr>
        <w:spacing w:after="0" w:line="240" w:lineRule="auto"/>
        <w:rPr>
          <w:noProof/>
          <w:lang w:val="ru-RU"/>
        </w:rPr>
      </w:pPr>
    </w:p>
    <w:p>
      <w:pPr>
        <w:pStyle w:val="BodyText"/>
        <w:numPr>
          <w:ilvl w:val="0"/>
          <w:numId w:val="0"/>
        </w:numPr>
        <w:rPr>
          <w:noProof/>
        </w:rPr>
      </w:pPr>
      <w:r>
        <w:rPr>
          <w:noProof/>
          <w:lang w:val="bg-BG"/>
        </w:rPr>
        <w:t>Съгласно параграф 5 от Процедурите за прилагане на член XXI от ГАТС (S/L/80 от 29 октомври 1999 г.) Европейската комисия представя следния доклад:</w:t>
      </w:r>
    </w:p>
    <w:p>
      <w:pPr>
        <w:pStyle w:val="BodyText"/>
        <w:rPr>
          <w:noProof/>
          <w:szCs w:val="24"/>
        </w:rPr>
      </w:pPr>
      <w:r>
        <w:rPr>
          <w:noProof/>
          <w:szCs w:val="24"/>
          <w:lang w:val="bg-BG"/>
        </w:rPr>
        <w:t>На 28 май 2004 г. и на 4 април 2005 г. ЕО подадоха две съобщения в съответствие с член V от ГАТС (разпространени като документ S/SECRET/8 от 11 юни 2004 г. и документ S/SECRET/9 от 12 април 2005 г.), с които нотифицираха своето намерение да изменят или оттеглят конкретните си задължения, включени в списъка, приложен към съобщенията (наричани по-долу „предложените изменения“), съгласно член V, алинея 5 от ГАТС и в съответствие с условията на член XXI, алинея 1, буква б) от ГАТС.</w:t>
      </w:r>
      <w:r>
        <w:rPr>
          <w:noProof/>
          <w:szCs w:val="24"/>
          <w:lang w:val="ru-RU"/>
        </w:rPr>
        <w:t xml:space="preserve"> </w:t>
      </w:r>
      <w:r>
        <w:rPr>
          <w:noProof/>
          <w:szCs w:val="24"/>
          <w:lang w:val="bg-BG"/>
        </w:rPr>
        <w:t>Предложените изменения се съдържат в приложение I.</w:t>
      </w:r>
    </w:p>
    <w:p>
      <w:pPr>
        <w:pStyle w:val="BodyText"/>
        <w:rPr>
          <w:noProof/>
          <w:szCs w:val="24"/>
          <w:lang w:val="ru-RU"/>
        </w:rPr>
      </w:pPr>
      <w:r>
        <w:rPr>
          <w:noProof/>
          <w:szCs w:val="24"/>
          <w:lang w:val="bg-BG"/>
        </w:rPr>
        <w:t>След представяне на нотификацията, съдържаща се в документ S/SECRET/8, и в съответствие с член ХХІ, алинея 2, буква а) от ГАТС осемнадесет държави —членки на СТО (Аржентина, Австралия, Бразилия, Канада, Китай, Китайско Тайпе, Колумбия, Куба, Еквадор, Хонг Конг, Китай, Индия, Япония, Корея, Нова Зеландия, Филипините, Швейцария, Уругвай и Съединените щати), подадоха съответни заявления за изразяване на интерес.</w:t>
      </w:r>
      <w:r>
        <w:rPr>
          <w:noProof/>
          <w:szCs w:val="24"/>
          <w:lang w:val="ru-RU"/>
        </w:rPr>
        <w:t xml:space="preserve"> </w:t>
      </w:r>
    </w:p>
    <w:p>
      <w:pPr>
        <w:pStyle w:val="BodyText"/>
        <w:rPr>
          <w:noProof/>
          <w:szCs w:val="24"/>
          <w:lang w:val="ru-RU"/>
        </w:rPr>
      </w:pPr>
      <w:r>
        <w:rPr>
          <w:noProof/>
          <w:szCs w:val="24"/>
          <w:lang w:val="bg-BG"/>
        </w:rPr>
        <w:t>След представяне на нотификацията, съдържаща се в документ S/SECRET/9, и в съответствие с член ХХІ, алинея 2, буква а) от ГАТС четиринадесет държави —членки на СТО (Аржентина, Австралия, Бразилия, Канада, Китай, Колумбия, Еквадор, Хонг Конг, Китай, Индия, Япония, Корея, Нова Зеландия, Уругвай и Съединените щати), подадоха съответни заявления за изразяване на интерес.</w:t>
      </w:r>
    </w:p>
    <w:p>
      <w:pPr>
        <w:pStyle w:val="BodyText"/>
        <w:rPr>
          <w:noProof/>
          <w:szCs w:val="24"/>
          <w:lang w:val="ru-RU"/>
        </w:rPr>
      </w:pPr>
      <w:r>
        <w:rPr>
          <w:noProof/>
          <w:szCs w:val="24"/>
          <w:lang w:val="bg-BG"/>
        </w:rPr>
        <w:t>Япония подаде съответно две заявления за изразяване на интерес съгласно член XXI, алинея 2, буква а) от ГАТС (S/L/168 относно S/SECRET/8 и S/L/218 относно S/SECRET/9).</w:t>
      </w:r>
      <w:r>
        <w:rPr>
          <w:noProof/>
          <w:szCs w:val="24"/>
          <w:lang w:val="ru-RU"/>
        </w:rPr>
        <w:t xml:space="preserve"> </w:t>
      </w:r>
      <w:r>
        <w:rPr>
          <w:noProof/>
          <w:szCs w:val="24"/>
          <w:lang w:val="bg-BG"/>
        </w:rPr>
        <w:t>ЕО и Япония започнаха преговори съгласно член XXI, алинея 2, буква а) от ГАТС относно S/SECRET/8 и S/SECRET/9.</w:t>
      </w:r>
    </w:p>
    <w:p>
      <w:pPr>
        <w:pStyle w:val="BodyText"/>
        <w:rPr>
          <w:noProof/>
          <w:szCs w:val="24"/>
          <w:lang w:val="ru-RU"/>
        </w:rPr>
      </w:pPr>
      <w:r>
        <w:rPr>
          <w:noProof/>
          <w:szCs w:val="24"/>
          <w:lang w:val="bg-BG"/>
        </w:rPr>
        <w:t>По отношение на процедурата, открита с нотификацията, съдържаща се в документ S/SECRET/8, първоначалният период на преговорите, изтекъл на 26 октомври 2004 г., бе удължаван (по взаимно съгласие) пет пъти (до 26 април 2005 г., до 27 февруари 2006 г., до 1 юни 2006 г., до 1 юли и до 17 юли 2006 г.).</w:t>
      </w:r>
      <w:r>
        <w:rPr>
          <w:noProof/>
          <w:szCs w:val="24"/>
          <w:lang w:val="ru-RU"/>
        </w:rPr>
        <w:t xml:space="preserve"> </w:t>
      </w:r>
    </w:p>
    <w:p>
      <w:pPr>
        <w:pStyle w:val="BodyText"/>
        <w:rPr>
          <w:noProof/>
          <w:szCs w:val="24"/>
          <w:lang w:val="ru-RU"/>
        </w:rPr>
      </w:pPr>
      <w:r>
        <w:rPr>
          <w:noProof/>
          <w:szCs w:val="24"/>
          <w:lang w:val="bg-BG"/>
        </w:rPr>
        <w:t>По време на тези преговори ЕО и Япония се споразумяха относно компенсаторните поправки, свързани с измененията и оттеглянията, съдържащи се в документ S/SECRET/8.</w:t>
      </w:r>
      <w:r>
        <w:rPr>
          <w:noProof/>
          <w:szCs w:val="24"/>
          <w:lang w:val="ru-RU"/>
        </w:rPr>
        <w:t xml:space="preserve"> </w:t>
      </w:r>
      <w:r>
        <w:rPr>
          <w:noProof/>
          <w:szCs w:val="24"/>
          <w:lang w:val="bg-BG"/>
        </w:rPr>
        <w:t>Приложения I и II към настоящия доклад, заедно със съвместното писмо, към което той е приложен, представляват споразумението между ЕО и Япония по отношение на S/SECRET/8 за целите на член XXI, алинея 2, буква а) от ГАТС</w:t>
      </w:r>
      <w:r>
        <w:rPr>
          <w:rStyle w:val="FootnoteReference"/>
          <w:noProof/>
          <w:szCs w:val="24"/>
          <w:lang w:val="bg-BG"/>
        </w:rPr>
        <w:footnoteReference w:id="2"/>
      </w:r>
      <w:r>
        <w:rPr>
          <w:noProof/>
          <w:szCs w:val="24"/>
          <w:lang w:val="bg-BG"/>
        </w:rPr>
        <w:t>.</w:t>
      </w:r>
      <w:r>
        <w:rPr>
          <w:noProof/>
          <w:szCs w:val="24"/>
          <w:lang w:val="ru-RU"/>
        </w:rPr>
        <w:t xml:space="preserve"> </w:t>
      </w:r>
      <w:r>
        <w:rPr>
          <w:noProof/>
          <w:szCs w:val="24"/>
          <w:lang w:val="bg-BG"/>
        </w:rPr>
        <w:t>Споразумението не следва да се тълкува по начин, който би довел до промяна на списъците на изключенията от член II за ЕО и техните държави членки.</w:t>
      </w:r>
      <w:r>
        <w:rPr>
          <w:noProof/>
          <w:szCs w:val="24"/>
          <w:lang w:val="ru-RU"/>
        </w:rPr>
        <w:t xml:space="preserve"> </w:t>
      </w:r>
      <w:r>
        <w:rPr>
          <w:noProof/>
          <w:szCs w:val="24"/>
          <w:lang w:val="bg-BG"/>
        </w:rPr>
        <w:t>Споразумението не следва да се тълкува по начин, който би засегнал правата и задълженията на страните съгласно член VIII от ГАТС.</w:t>
      </w:r>
    </w:p>
    <w:p>
      <w:pPr>
        <w:pStyle w:val="BodyText"/>
        <w:rPr>
          <w:noProof/>
          <w:szCs w:val="24"/>
          <w:lang w:val="ru-RU"/>
        </w:rPr>
      </w:pPr>
      <w:r>
        <w:rPr>
          <w:noProof/>
          <w:szCs w:val="24"/>
          <w:lang w:val="bg-BG"/>
        </w:rPr>
        <w:t>По отношение на процедурата, открита с нотификацията, съдържаща се в документ S/SECRET/9, до края на периода, предвиден за преговори, не бе постигнато споразумение между ЕО и Япония и нито една от засегнатите страни членки не отнесе въпроса до арбитраж в рамките на предвидения срок в съответствие с параграф 7 от S/L/80.</w:t>
      </w:r>
      <w:r>
        <w:rPr>
          <w:noProof/>
          <w:szCs w:val="24"/>
          <w:lang w:val="ru-RU"/>
        </w:rPr>
        <w:t xml:space="preserve"> </w:t>
      </w:r>
      <w:r>
        <w:rPr>
          <w:noProof/>
          <w:szCs w:val="24"/>
          <w:lang w:val="bg-BG"/>
        </w:rPr>
        <w:t>Съгласно член XXI, алинея 3, буква б) от ГАТС и под условие да бъдат завършени процедурите, посочени в параграфи 20—22 от S/L/80, ЕО ще бъдат свободни да прилагат измененията и оттеглянията, предложени в документ S/SECRET/9.</w:t>
      </w:r>
    </w:p>
    <w:p>
      <w:pPr>
        <w:pStyle w:val="BodyText"/>
        <w:rPr>
          <w:noProof/>
          <w:szCs w:val="24"/>
          <w:lang w:val="ru-RU"/>
        </w:rPr>
      </w:pPr>
      <w:r>
        <w:rPr>
          <w:noProof/>
          <w:szCs w:val="24"/>
          <w:lang w:val="bg-BG"/>
        </w:rPr>
        <w:t>С оглед на гореизложеното предложените изменения и договорените компенсаторни поправки са включени в проекта на консолидиран списък на задълженията на ЕО по ГАТС, който е резултат от сливането на съществуващите списъци на задълженията на ЕО и на техните държави членки, както и от включването в него на измененията или оттеглянията на задължения, нотифицирани от ЕО с документи S/SECRET/8 и S/SECRET/9, и компенсаторните поправки, договорени между ЕО и Япония.</w:t>
      </w:r>
      <w:r>
        <w:rPr>
          <w:noProof/>
          <w:szCs w:val="24"/>
          <w:lang w:val="ru-RU"/>
        </w:rPr>
        <w:t xml:space="preserve"> </w:t>
      </w:r>
    </w:p>
    <w:p>
      <w:pPr>
        <w:pStyle w:val="BodyText"/>
        <w:tabs>
          <w:tab w:val="left" w:pos="7740"/>
        </w:tabs>
        <w:rPr>
          <w:noProof/>
          <w:lang w:val="ru-RU"/>
        </w:rPr>
      </w:pPr>
      <w:r>
        <w:rPr>
          <w:noProof/>
          <w:szCs w:val="24"/>
          <w:lang w:val="bg-BG"/>
        </w:rPr>
        <w:t>Съгласно процедурите, посочени в параграфи 20—22 от S/L/80, до 14 септември 2006 г. ЕО ще изпратят на секретариата за разпространение проекта на консолидирания списък за сертифициране, при условие че всички засегнати страни членки са подписали споразумение или предвиденият в параграф 7 от S/L/80 период е изтекъл без да е бил поискан арбитраж.</w:t>
      </w:r>
      <w:r>
        <w:rPr>
          <w:noProof/>
          <w:szCs w:val="24"/>
          <w:lang w:val="ru-RU"/>
        </w:rPr>
        <w:t xml:space="preserve"> </w:t>
      </w:r>
      <w:r>
        <w:rPr>
          <w:noProof/>
          <w:szCs w:val="24"/>
          <w:lang w:val="bg-BG"/>
        </w:rPr>
        <w:t>Резултатите от преговорите следва да влязат в сила след приключване на процедурите по сертифициране, на дата, посочена от ЕО, след приключване на вътрешните процедури на ЕО за одобрение, които ЕО се стремят да ускорят възможно най-много</w:t>
      </w:r>
      <w:r>
        <w:rPr>
          <w:noProof/>
          <w:lang w:val="bg-BG"/>
        </w:rPr>
        <w:t>.</w:t>
      </w:r>
      <w:r>
        <w:rPr>
          <w:caps/>
          <w:noProof/>
          <w:lang w:val="ru-RU"/>
        </w:rPr>
        <w:t xml:space="preserve"> </w:t>
      </w:r>
      <w:r>
        <w:rPr>
          <w:noProof/>
          <w:lang w:val="bg-BG"/>
        </w:rPr>
        <w:t>Измененията и оттеглянията, предложени в документите S/SECRET/8 и S/SECRET/9, не влизат в сила преди влизането в сила на всички компенсаторни поправки, посочени в приложение II.</w:t>
      </w:r>
      <w:r>
        <w:rPr>
          <w:noProof/>
          <w:lang w:val="ru-RU"/>
        </w:rPr>
        <w:t xml:space="preserve"> </w:t>
      </w:r>
    </w:p>
    <w:p>
      <w:pPr>
        <w:pStyle w:val="BodyText"/>
        <w:numPr>
          <w:ilvl w:val="0"/>
          <w:numId w:val="0"/>
        </w:numPr>
        <w:tabs>
          <w:tab w:val="left" w:pos="7740"/>
        </w:tabs>
        <w:spacing w:after="0"/>
        <w:jc w:val="center"/>
        <w:rPr>
          <w:noProof/>
          <w:lang w:val="ru-RU"/>
        </w:rPr>
      </w:pPr>
    </w:p>
    <w:p>
      <w:pPr>
        <w:pStyle w:val="BodyText"/>
        <w:numPr>
          <w:ilvl w:val="0"/>
          <w:numId w:val="0"/>
        </w:numPr>
        <w:tabs>
          <w:tab w:val="left" w:pos="7740"/>
        </w:tabs>
        <w:spacing w:after="0"/>
        <w:jc w:val="center"/>
        <w:rPr>
          <w:noProof/>
          <w:lang w:val="ru-RU"/>
        </w:rPr>
      </w:pPr>
    </w:p>
    <w:p>
      <w:pPr>
        <w:spacing w:after="0" w:line="240" w:lineRule="auto"/>
        <w:jc w:val="center"/>
        <w:rPr>
          <w:rFonts w:ascii="Times New Roman" w:hAnsi="Times New Roman"/>
          <w:i/>
          <w:noProof/>
          <w:lang w:val="ru-RU"/>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pgMar w:top="1417" w:right="1417" w:bottom="1417" w:left="1417" w:header="708" w:footer="708" w:gutter="0"/>
          <w:cols w:space="720"/>
          <w:docGrid w:linePitch="360"/>
        </w:sectPr>
      </w:pPr>
      <w:r>
        <w:rPr>
          <w:rFonts w:ascii="Times New Roman" w:hAnsi="Times New Roman"/>
          <w:i/>
          <w:noProof/>
          <w:lang w:val="ru-RU"/>
        </w:rPr>
        <w:t>_______________</w:t>
      </w:r>
    </w:p>
    <w:p>
      <w:pPr>
        <w:jc w:val="center"/>
        <w:rPr>
          <w:rFonts w:ascii="Times New Roman" w:hAnsi="Times New Roman"/>
          <w:b/>
          <w:noProof/>
          <w:lang w:val="ru-RU"/>
        </w:rPr>
      </w:pPr>
      <w:r>
        <w:rPr>
          <w:rFonts w:ascii="Times New Roman" w:hAnsi="Times New Roman"/>
          <w:b/>
          <w:noProof/>
          <w:lang w:val="bg-BG"/>
        </w:rPr>
        <w:t>ПРИЛОЖЕНИЕ I</w:t>
      </w:r>
    </w:p>
    <w:p>
      <w:pPr>
        <w:jc w:val="both"/>
        <w:rPr>
          <w:rFonts w:ascii="Times New Roman" w:hAnsi="Times New Roman"/>
          <w:noProof/>
          <w:lang w:val="ru-RU"/>
        </w:rPr>
      </w:pPr>
    </w:p>
    <w:p>
      <w:pPr>
        <w:jc w:val="both"/>
        <w:rPr>
          <w:rFonts w:ascii="Times New Roman" w:hAnsi="Times New Roman"/>
          <w:noProof/>
          <w:lang w:val="ru-RU"/>
        </w:rPr>
      </w:pPr>
    </w:p>
    <w:p>
      <w:pPr>
        <w:pStyle w:val="Heading3"/>
        <w:numPr>
          <w:ilvl w:val="0"/>
          <w:numId w:val="0"/>
        </w:numPr>
        <w:rPr>
          <w:noProof/>
          <w:lang w:val="ru-RU"/>
        </w:rPr>
      </w:pPr>
      <w:r>
        <w:rPr>
          <w:noProof/>
        </w:rPr>
        <w:t>A</w:t>
      </w:r>
      <w:r>
        <w:rPr>
          <w:noProof/>
          <w:lang w:val="ru-RU"/>
        </w:rPr>
        <w:t xml:space="preserve">) </w:t>
      </w:r>
      <w:r>
        <w:rPr>
          <w:noProof/>
          <w:u w:val="single"/>
          <w:lang w:val="bg-BG"/>
        </w:rPr>
        <w:t>Изменения, нотифицирани с документ S/SECRET/8</w:t>
      </w:r>
    </w:p>
    <w:p>
      <w:pPr>
        <w:pStyle w:val="Heading3"/>
        <w:numPr>
          <w:ilvl w:val="0"/>
          <w:numId w:val="0"/>
        </w:numPr>
        <w:spacing w:after="0"/>
        <w:rPr>
          <w:noProof/>
          <w:szCs w:val="24"/>
          <w:lang w:val="ru-RU"/>
        </w:rPr>
      </w:pPr>
    </w:p>
    <w:p>
      <w:pPr>
        <w:pStyle w:val="Heading3"/>
        <w:numPr>
          <w:ilvl w:val="0"/>
          <w:numId w:val="0"/>
        </w:numPr>
        <w:spacing w:after="0"/>
        <w:rPr>
          <w:noProof/>
          <w:szCs w:val="24"/>
          <w:u w:val="single"/>
        </w:rPr>
      </w:pPr>
      <w:r>
        <w:rPr>
          <w:noProof/>
          <w:szCs w:val="24"/>
          <w:u w:val="single"/>
          <w:lang w:val="bg-BG"/>
        </w:rPr>
        <w:t>Хоризонтални задължения</w:t>
      </w:r>
    </w:p>
    <w:p>
      <w:pPr>
        <w:pStyle w:val="Heading4"/>
        <w:numPr>
          <w:ilvl w:val="0"/>
          <w:numId w:val="0"/>
        </w:numPr>
        <w:spacing w:after="0"/>
        <w:ind w:left="720" w:hanging="720"/>
        <w:rPr>
          <w:noProof/>
          <w:szCs w:val="24"/>
        </w:rPr>
      </w:pPr>
    </w:p>
    <w:p>
      <w:pPr>
        <w:numPr>
          <w:ilvl w:val="0"/>
          <w:numId w:val="10"/>
        </w:numPr>
        <w:tabs>
          <w:tab w:val="left" w:pos="709"/>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Текст относно достъпа до пазара (стр. 9):</w:t>
      </w:r>
      <w:r>
        <w:rPr>
          <w:rFonts w:ascii="Times New Roman" w:hAnsi="Times New Roman"/>
          <w:noProof/>
          <w:lang w:val="ru-RU"/>
        </w:rPr>
        <w:t xml:space="preserve"> </w:t>
      </w:r>
      <w:r>
        <w:rPr>
          <w:rFonts w:ascii="Times New Roman" w:hAnsi="Times New Roman"/>
          <w:noProof/>
          <w:lang w:val="bg-BG"/>
        </w:rPr>
        <w:t>„Във всички държави членки услугите, считани за обществени услуги на държавно или местно равнище, могат да подлежат на публичен монопол или на изключителни права, предоставени на частни оператори“.</w:t>
      </w:r>
      <w:r>
        <w:rPr>
          <w:rFonts w:ascii="Times New Roman" w:hAnsi="Times New Roman"/>
          <w:noProof/>
          <w:lang w:val="ru-RU"/>
        </w:rPr>
        <w:t xml:space="preserve"> </w:t>
      </w:r>
      <w:r>
        <w:rPr>
          <w:rFonts w:ascii="Times New Roman" w:hAnsi="Times New Roman"/>
          <w:noProof/>
          <w:lang w:val="bg-BG"/>
        </w:rPr>
        <w:t>Този текст не беше включен в списъка на конкретните задължения на Чешката република, Естония, Кипър, Латвия, Литва, Унгария, Малта, Австрия, Полша, Словения, Словакия, Финландия и Швеция.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Ограничения на националното третиране по отношение на клонове, агенции и представителства при начин на доставка 3 (стр. 9 и 10).</w:t>
      </w:r>
      <w:r>
        <w:rPr>
          <w:rFonts w:ascii="Times New Roman" w:hAnsi="Times New Roman"/>
          <w:noProof/>
          <w:lang w:val="ru-RU"/>
        </w:rPr>
        <w:t xml:space="preserve"> </w:t>
      </w:r>
      <w:r>
        <w:rPr>
          <w:rFonts w:ascii="Times New Roman" w:hAnsi="Times New Roman"/>
          <w:noProof/>
          <w:lang w:val="bg-BG"/>
        </w:rPr>
        <w:t>Този текст не беше включен в списъка на конкретните задължения на Чешката република, Естония, Кипър, Латвия, Литва, Малта, Словения и Словакия.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Ограничения на националното третиране по отношение на дъщерните дружества при начин на доставка 3 (стр. 10).</w:t>
      </w:r>
      <w:r>
        <w:rPr>
          <w:rFonts w:ascii="Times New Roman" w:hAnsi="Times New Roman"/>
          <w:noProof/>
          <w:lang w:val="ru-RU"/>
        </w:rPr>
        <w:t xml:space="preserve"> </w:t>
      </w:r>
      <w:r>
        <w:rPr>
          <w:rFonts w:ascii="Times New Roman" w:hAnsi="Times New Roman"/>
          <w:noProof/>
          <w:lang w:val="bg-BG"/>
        </w:rPr>
        <w:t>Този текст не беше включен в списъка с конкретните задължения на Чешката република, Естония, Кипър, Латвия, Литва, Унгария, Малта, Полша, Словения и Словакия.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Ограничения на националното третиране по отношение на субсидиите при начин на доставка 3 (стр. 13).</w:t>
      </w:r>
      <w:r>
        <w:rPr>
          <w:rFonts w:ascii="Times New Roman" w:hAnsi="Times New Roman"/>
          <w:noProof/>
          <w:lang w:val="ru-RU"/>
        </w:rPr>
        <w:t xml:space="preserve"> </w:t>
      </w:r>
      <w:r>
        <w:rPr>
          <w:rFonts w:ascii="Times New Roman" w:hAnsi="Times New Roman"/>
          <w:noProof/>
          <w:lang w:val="bg-BG"/>
        </w:rPr>
        <w:t>Списъкът с конкретните задължения на Чешката република, Естония, Кипър, Латвия, Литва, Малта, Австрия, Словения, Словакия, Финландия и Швеция включваше само част от ограниченията по отношение на субсидиите при начин на доставка 3, вписани в списъка на задълженията на ЕО и на техните държави членки.</w:t>
      </w:r>
      <w:r>
        <w:rPr>
          <w:rFonts w:ascii="Times New Roman" w:hAnsi="Times New Roman"/>
          <w:noProof/>
          <w:lang w:val="ru-RU"/>
        </w:rPr>
        <w:t xml:space="preserve"> </w:t>
      </w:r>
      <w:r>
        <w:rPr>
          <w:rFonts w:ascii="Times New Roman" w:hAnsi="Times New Roman"/>
          <w:noProof/>
          <w:lang w:val="bg-BG"/>
        </w:rPr>
        <w:t>Тези ограничения вече се прилагат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Ограничение на националното третиране по отношение на субсидиите при начин на доставка 4 (стр. 13).</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Чешката република, Естония, Кипър, Латвия, Унгария, Малта и Словакия не включваше ограничението на субсидиите при начин на доставка 4, вписано в списъка на задълженията на ЕО и на техните държави членки.</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поети от Кипър по отношение на достъпа до пазара при начин на доставка 4.</w:t>
      </w:r>
      <w:r>
        <w:rPr>
          <w:rFonts w:ascii="Times New Roman" w:hAnsi="Times New Roman"/>
          <w:noProof/>
          <w:lang w:val="ru-RU"/>
        </w:rPr>
        <w:t xml:space="preserve"> </w:t>
      </w:r>
      <w:r>
        <w:rPr>
          <w:rFonts w:ascii="Times New Roman" w:hAnsi="Times New Roman"/>
          <w:noProof/>
          <w:lang w:val="bg-BG"/>
        </w:rPr>
        <w:t>Тези задължения бяха оттеглени.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Вътрешнокорпоративни трансфери (ВКТ) (стр. 26).</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Чешката република, Латвия, Литва, Унгария, Полша и Словакия не включваше ограничението, съгласно което приемащият субект трябва действително да предоставя подобни услуги на територията на съответната държава — членка на Общността.</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Бизнес посетители (БП) — Търговци на услуги (стр. 30).</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Полша не включваше ограничението, съгласно което тези представители не са ангажирани с извършването на преки продажби за широката общественост.</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Бизнес посетители (БП) — Регистриране на търговско присъствие (стр. 30).</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Литва не включваше ограничението, съгласно което тези представители не са ангажирани с извършването на преки продажби за широката общественост или с предоставянето на услуги.</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r>
        <w:rPr>
          <w:rFonts w:ascii="Times New Roman" w:hAnsi="Times New Roman"/>
          <w:noProof/>
          <w:lang w:val="ru-RU"/>
        </w:rPr>
        <w:t xml:space="preserve"> </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поети от Литва по отношение на достъпа до пазара при начин на доставка 4 — Бизнес посетители (БП) (стр. 32).</w:t>
      </w:r>
      <w:r>
        <w:rPr>
          <w:rFonts w:ascii="Times New Roman" w:hAnsi="Times New Roman"/>
          <w:noProof/>
          <w:lang w:val="ru-RU"/>
        </w:rPr>
        <w:t xml:space="preserve"> </w:t>
      </w:r>
      <w:r>
        <w:rPr>
          <w:rFonts w:ascii="Times New Roman" w:hAnsi="Times New Roman"/>
          <w:noProof/>
          <w:lang w:val="bg-BG"/>
        </w:rPr>
        <w:t xml:space="preserve">Тези задължения бяха </w:t>
      </w:r>
      <w:r>
        <w:rPr>
          <w:rFonts w:ascii="Times New Roman" w:hAnsi="Times New Roman"/>
          <w:i/>
          <w:noProof/>
          <w:lang w:val="bg-BG"/>
        </w:rPr>
        <w:t>частично</w:t>
      </w:r>
      <w:r>
        <w:rPr>
          <w:rFonts w:ascii="Times New Roman" w:hAnsi="Times New Roman"/>
          <w:noProof/>
          <w:lang w:val="bg-BG"/>
        </w:rPr>
        <w:t xml:space="preserve"> оттеглени.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Задължение, поето от Латвия по отношение на достъпа до пазара при начин на доставка 4 — Доставчици на услуги по договори (ДУД) (стр. 33).</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Латвия не включваше ограничението, съгласно което временното влизане и престой в съответната държава членка ще бъдат разрешени за срок от не повече от три месеца в рамките на всеки период от 12 месеца.</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p>
    <w:p>
      <w:pPr>
        <w:tabs>
          <w:tab w:val="left" w:pos="567"/>
        </w:tabs>
        <w:autoSpaceDE w:val="0"/>
        <w:autoSpaceDN w:val="0"/>
        <w:adjustRightInd w:val="0"/>
        <w:spacing w:after="0"/>
        <w:jc w:val="both"/>
        <w:rPr>
          <w:rFonts w:ascii="Times New Roman" w:hAnsi="Times New Roman"/>
          <w:noProof/>
          <w:lang w:val="ru-RU"/>
        </w:rPr>
      </w:pPr>
    </w:p>
    <w:p>
      <w:pPr>
        <w:pStyle w:val="Heading3"/>
        <w:numPr>
          <w:ilvl w:val="0"/>
          <w:numId w:val="0"/>
        </w:numPr>
        <w:spacing w:after="0"/>
        <w:ind w:left="720" w:hanging="720"/>
        <w:rPr>
          <w:noProof/>
          <w:szCs w:val="24"/>
          <w:u w:val="single"/>
        </w:rPr>
      </w:pPr>
      <w:r>
        <w:rPr>
          <w:noProof/>
          <w:szCs w:val="24"/>
          <w:u w:val="single"/>
          <w:lang w:val="bg-BG"/>
        </w:rPr>
        <w:t>Задължения по сектори</w:t>
      </w:r>
    </w:p>
    <w:p>
      <w:pPr>
        <w:pStyle w:val="Heading4"/>
        <w:numPr>
          <w:ilvl w:val="0"/>
          <w:numId w:val="0"/>
        </w:numPr>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Наемни/лизингови услуги без оператори — По отношение на самолети (стр. 95).</w:t>
      </w:r>
      <w:r>
        <w:rPr>
          <w:rFonts w:ascii="Times New Roman" w:hAnsi="Times New Roman"/>
          <w:noProof/>
          <w:lang w:val="ru-RU"/>
        </w:rPr>
        <w:t xml:space="preserve"> </w:t>
      </w:r>
      <w:r>
        <w:rPr>
          <w:rFonts w:ascii="Times New Roman" w:hAnsi="Times New Roman"/>
          <w:noProof/>
          <w:lang w:val="bg-BG"/>
        </w:rPr>
        <w:t>Ограничението върху достъпа до пазара при начин на доставка 2 вече се прилага и по отношение на Естония, Литва, Унгария, Австрия, Словения, Финландия и Швеция, а ограничението върху достъпа до пазара при начин на доставка 3 вече се прилага и по отношение на Естония, Унгария и Австрия.</w:t>
      </w:r>
    </w:p>
    <w:p>
      <w:pPr>
        <w:tabs>
          <w:tab w:val="left" w:pos="567"/>
        </w:tabs>
        <w:autoSpaceDE w:val="0"/>
        <w:autoSpaceDN w:val="0"/>
        <w:adjustRightInd w:val="0"/>
        <w:spacing w:after="0"/>
        <w:ind w:left="567" w:hanging="567"/>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Услуги, свързани с производството (стр. 109 и 110).</w:t>
      </w:r>
      <w:r>
        <w:rPr>
          <w:rFonts w:ascii="Times New Roman" w:hAnsi="Times New Roman"/>
          <w:noProof/>
          <w:lang w:val="ru-RU"/>
        </w:rPr>
        <w:t xml:space="preserve"> </w:t>
      </w:r>
      <w:r>
        <w:rPr>
          <w:rFonts w:ascii="Times New Roman" w:hAnsi="Times New Roman"/>
          <w:noProof/>
          <w:lang w:val="bg-BG"/>
        </w:rPr>
        <w:t>Задълженията, включени в списъка на задълженията на Латвия, Литва и Австрия, бяха оттеглени.</w:t>
      </w:r>
    </w:p>
    <w:p>
      <w:pPr>
        <w:tabs>
          <w:tab w:val="left" w:pos="567"/>
        </w:tabs>
        <w:autoSpaceDE w:val="0"/>
        <w:autoSpaceDN w:val="0"/>
        <w:adjustRightInd w:val="0"/>
        <w:spacing w:after="0"/>
        <w:ind w:left="567" w:hanging="567"/>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Образователни услуги (стр. 156):</w:t>
      </w:r>
      <w:r>
        <w:rPr>
          <w:rFonts w:ascii="Times New Roman" w:hAnsi="Times New Roman"/>
          <w:noProof/>
          <w:lang w:val="ru-RU"/>
        </w:rPr>
        <w:t xml:space="preserve"> </w:t>
      </w:r>
      <w:r>
        <w:rPr>
          <w:rFonts w:ascii="Times New Roman" w:hAnsi="Times New Roman"/>
          <w:noProof/>
          <w:lang w:val="bg-BG"/>
        </w:rPr>
        <w:t>ограничение до „само частно финансирани услуги“.</w:t>
      </w:r>
      <w:r>
        <w:rPr>
          <w:rFonts w:ascii="Times New Roman" w:hAnsi="Times New Roman"/>
          <w:noProof/>
          <w:lang w:val="ru-RU"/>
        </w:rPr>
        <w:t xml:space="preserve"> </w:t>
      </w:r>
      <w:r>
        <w:rPr>
          <w:rFonts w:ascii="Times New Roman" w:hAnsi="Times New Roman"/>
          <w:noProof/>
          <w:lang w:val="bg-BG"/>
        </w:rPr>
        <w:t>Това ограничение не беше включено в списъка на задълженията на Естония, Латвия, Литва, Унгария, Австрия, Словения (невключено само по отношение на образователните услуги за възрастни) и Словакия.</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r>
        <w:rPr>
          <w:rFonts w:ascii="Times New Roman" w:hAnsi="Times New Roman"/>
          <w:noProof/>
          <w:lang w:val="ru-RU"/>
        </w:rPr>
        <w:t xml:space="preserve"> </w:t>
      </w:r>
      <w:r>
        <w:rPr>
          <w:rFonts w:ascii="Times New Roman" w:hAnsi="Times New Roman"/>
          <w:noProof/>
          <w:lang w:val="bg-BG"/>
        </w:rPr>
        <w:t>В случая на Словения това разширено прилагане се отнася само до образователните услуги за възрастни.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Банкови и други финансови услуги (с изключение на застраховане) (стр. 193, 213 и 217).</w:t>
      </w:r>
      <w:r>
        <w:rPr>
          <w:rFonts w:ascii="Times New Roman" w:hAnsi="Times New Roman"/>
          <w:noProof/>
          <w:lang w:val="ru-RU"/>
        </w:rPr>
        <w:t xml:space="preserve"> </w:t>
      </w:r>
      <w:r>
        <w:rPr>
          <w:rFonts w:ascii="Times New Roman" w:hAnsi="Times New Roman"/>
          <w:noProof/>
          <w:lang w:val="bg-BG"/>
        </w:rPr>
        <w:t>Ограниченията върху достъпа до пазара, в които се посочва, че „регистрирането на специализирано мениджърско дружество се изисква за изпълнение на дейностите по управлението на дялови тръстове и инвестиционни дружества“ и че „само фирми с адрес на управление в Общността могат да действат като депозитари на активите на инвестиционни фондове“ както при начин на доставка 1, така и при начин на доставка 3, не бяха включени в списъка на задълженията на Чешката република по отношение на начин на доставка 3, на Естония (невключени нито в начин на доставка 1, нито в начин на доставка 3), Латвия — по отношение на начин на доставка 3, Литва — по отношение на начин на доставка 1, Унгария — по отношение на начин на доставка 3 и Словакия — по отношение на начин на доставка 3.</w:t>
      </w:r>
      <w:r>
        <w:rPr>
          <w:rFonts w:ascii="Times New Roman" w:hAnsi="Times New Roman"/>
          <w:noProof/>
          <w:spacing w:val="-2"/>
          <w:lang w:val="ru-RU"/>
        </w:rPr>
        <w:t xml:space="preserve"> </w:t>
      </w:r>
      <w:r>
        <w:rPr>
          <w:rFonts w:ascii="Times New Roman" w:hAnsi="Times New Roman"/>
          <w:noProof/>
          <w:lang w:val="bg-BG"/>
        </w:rPr>
        <w:t>Тези ограничения вече се прилагат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Космически транспорт.</w:t>
      </w:r>
      <w:r>
        <w:rPr>
          <w:rFonts w:ascii="Times New Roman" w:hAnsi="Times New Roman"/>
          <w:noProof/>
          <w:lang w:val="ru-RU"/>
        </w:rPr>
        <w:t xml:space="preserve"> </w:t>
      </w:r>
      <w:r>
        <w:rPr>
          <w:rFonts w:ascii="Times New Roman" w:hAnsi="Times New Roman"/>
          <w:noProof/>
          <w:lang w:val="bg-BG"/>
        </w:rPr>
        <w:t>Задължението, включено в списъка на задълженията на Австрия, беше оттеглено.</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Отдаване под наем на самолети с екипаж (стр. 246).</w:t>
      </w:r>
      <w:r>
        <w:rPr>
          <w:rFonts w:ascii="Times New Roman" w:hAnsi="Times New Roman"/>
          <w:noProof/>
          <w:lang w:val="ru-RU"/>
        </w:rPr>
        <w:t xml:space="preserve"> </w:t>
      </w:r>
      <w:r>
        <w:rPr>
          <w:rFonts w:ascii="Times New Roman" w:hAnsi="Times New Roman"/>
          <w:noProof/>
          <w:lang w:val="bg-BG"/>
        </w:rPr>
        <w:t>Две ограничения върху достъпа до пазара (едно при начини на доставка 1 и 2 и друго — при начин на доставка 3) са въведени за Полша.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Продажби и маркетинг (стр. 247 и 248).</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Естония не включваше ограничението на националното третиране на разпространяването чрез използване на система за компютърни резервации (СКР) на услуги, свързани с въздушния транспорт, предоставяни от СКР на дружеството майка.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Система за компютърни резервации (стр. 248).</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Унгария не включваше ограничението на националното третиране на задълженията на дружеството майка или други участващи превозвачи по отношение на СКР, контролирана от въздушни превозвачи от една или повече страни извън Общността.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Помощни услуги за всички видове транспорт — Услуги по товарообработване (стр. 259).</w:t>
      </w:r>
      <w:r>
        <w:rPr>
          <w:rFonts w:ascii="Times New Roman" w:hAnsi="Times New Roman"/>
          <w:noProof/>
          <w:lang w:val="ru-RU"/>
        </w:rPr>
        <w:t xml:space="preserve"> </w:t>
      </w:r>
      <w:r>
        <w:rPr>
          <w:rFonts w:ascii="Times New Roman" w:hAnsi="Times New Roman"/>
          <w:noProof/>
          <w:lang w:val="bg-BG"/>
        </w:rPr>
        <w:t>Ограничение върху достъпа до пазара при начин на доставка 3 беше въведено за Естония, Латвия и Литва.</w:t>
      </w:r>
    </w:p>
    <w:p>
      <w:pPr>
        <w:autoSpaceDE w:val="0"/>
        <w:autoSpaceDN w:val="0"/>
        <w:adjustRightInd w:val="0"/>
        <w:spacing w:after="0"/>
        <w:jc w:val="both"/>
        <w:rPr>
          <w:rFonts w:ascii="Times New Roman" w:hAnsi="Times New Roman"/>
          <w:noProof/>
          <w:lang w:val="ru-RU"/>
        </w:rPr>
      </w:pPr>
    </w:p>
    <w:p>
      <w:pPr>
        <w:pStyle w:val="Heading3"/>
        <w:numPr>
          <w:ilvl w:val="0"/>
          <w:numId w:val="0"/>
        </w:numPr>
        <w:rPr>
          <w:noProof/>
          <w:lang w:val="ru-RU"/>
        </w:rPr>
      </w:pPr>
      <w:r>
        <w:rPr>
          <w:noProof/>
          <w:lang w:val="bg-BG"/>
        </w:rPr>
        <w:t xml:space="preserve">Б) </w:t>
      </w:r>
      <w:r>
        <w:rPr>
          <w:noProof/>
          <w:u w:val="single"/>
          <w:lang w:val="bg-BG"/>
        </w:rPr>
        <w:t>Изменения, нотифицирани с документ S/SECRET/9</w:t>
      </w:r>
    </w:p>
    <w:p>
      <w:pPr>
        <w:pStyle w:val="Heading3"/>
        <w:numPr>
          <w:ilvl w:val="0"/>
          <w:numId w:val="0"/>
        </w:numPr>
        <w:spacing w:after="0"/>
        <w:rPr>
          <w:noProof/>
          <w:szCs w:val="24"/>
          <w:lang w:val="ru-RU"/>
        </w:rPr>
      </w:pPr>
    </w:p>
    <w:p>
      <w:pPr>
        <w:pStyle w:val="Heading3"/>
        <w:numPr>
          <w:ilvl w:val="0"/>
          <w:numId w:val="0"/>
        </w:numPr>
        <w:spacing w:after="0"/>
        <w:rPr>
          <w:noProof/>
          <w:szCs w:val="24"/>
          <w:u w:val="single"/>
        </w:rPr>
      </w:pPr>
      <w:r>
        <w:rPr>
          <w:noProof/>
          <w:szCs w:val="24"/>
          <w:u w:val="single"/>
          <w:lang w:val="bg-BG"/>
        </w:rPr>
        <w:t>Хоризонтални задължения</w:t>
      </w:r>
    </w:p>
    <w:p>
      <w:pPr>
        <w:pStyle w:val="Heading4"/>
        <w:numPr>
          <w:ilvl w:val="0"/>
          <w:numId w:val="0"/>
        </w:numPr>
        <w:spacing w:after="0"/>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на Кипър и Малта при начин на доставка 4 във връзка с националното третиране (стр. 25, 29 и 32 от S/SECRET/8).</w:t>
      </w:r>
      <w:r>
        <w:rPr>
          <w:rFonts w:ascii="Times New Roman" w:hAnsi="Times New Roman"/>
          <w:noProof/>
          <w:lang w:val="ru-RU"/>
        </w:rPr>
        <w:t xml:space="preserve"> </w:t>
      </w:r>
      <w:r>
        <w:rPr>
          <w:rFonts w:ascii="Times New Roman" w:hAnsi="Times New Roman"/>
          <w:noProof/>
          <w:lang w:val="bg-BG"/>
        </w:rPr>
        <w:t>Тези задължения бяха оттеглени.</w:t>
      </w:r>
    </w:p>
    <w:p>
      <w:pPr>
        <w:numPr>
          <w:ilvl w:val="12"/>
          <w:numId w:val="0"/>
        </w:numPr>
        <w:autoSpaceDE w:val="0"/>
        <w:autoSpaceDN w:val="0"/>
        <w:adjustRightInd w:val="0"/>
        <w:jc w:val="both"/>
        <w:rPr>
          <w:rFonts w:ascii="Times New Roman" w:hAnsi="Times New Roman"/>
          <w:noProof/>
        </w:rPr>
      </w:pPr>
    </w:p>
    <w:p>
      <w:pPr>
        <w:pStyle w:val="Heading3"/>
        <w:numPr>
          <w:ilvl w:val="0"/>
          <w:numId w:val="0"/>
        </w:numPr>
        <w:spacing w:after="0"/>
        <w:ind w:left="720" w:hanging="720"/>
        <w:rPr>
          <w:noProof/>
          <w:szCs w:val="24"/>
          <w:u w:val="single"/>
        </w:rPr>
      </w:pPr>
      <w:r>
        <w:rPr>
          <w:noProof/>
          <w:szCs w:val="24"/>
          <w:u w:val="single"/>
          <w:lang w:val="bg-BG"/>
        </w:rPr>
        <w:t>Задължения по сектори</w:t>
      </w:r>
    </w:p>
    <w:p>
      <w:pPr>
        <w:pStyle w:val="Heading4"/>
        <w:numPr>
          <w:ilvl w:val="0"/>
          <w:numId w:val="0"/>
        </w:numPr>
        <w:spacing w:after="0"/>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Компютърни и свързани с тях услуги: а) Консултантски услуги, свързани с инсталирането на хардуер (CPC 841) (стр. 82), б) Услуги по внедряване на програмно осигуряване (CPC 842) (стр. 83), в) Услуги по обработка на данни (CPC 843) (стр. 85), г) Услуги, свързани с бази данни (CPC 844) (стр. 86).</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Научно-изследователски и развойни услуги — б) НИР услуги по обществените и хуманитарните науки (CPC 852) (стр. 89 и 90).</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w:t>
      </w:r>
      <w:r>
        <w:rPr>
          <w:rFonts w:ascii="Times New Roman" w:hAnsi="Times New Roman"/>
          <w:noProof/>
          <w:lang w:val="fr-FR"/>
        </w:rPr>
        <w:t>i</w:t>
      </w:r>
      <w:r>
        <w:rPr>
          <w:rFonts w:ascii="Times New Roman" w:hAnsi="Times New Roman"/>
          <w:noProof/>
          <w:lang w:val="bg-BG"/>
        </w:rPr>
        <w:t>) Застрахователни и свързани с тях услуги — Пряко застраховане (включително съзастраховане):</w:t>
      </w:r>
      <w:r>
        <w:rPr>
          <w:rFonts w:ascii="Times New Roman" w:hAnsi="Times New Roman"/>
          <w:noProof/>
          <w:lang w:val="ru-RU"/>
        </w:rPr>
        <w:t xml:space="preserve"> </w:t>
      </w:r>
      <w:r>
        <w:rPr>
          <w:rFonts w:ascii="Times New Roman" w:hAnsi="Times New Roman"/>
          <w:noProof/>
          <w:lang w:val="bg-BG"/>
        </w:rPr>
        <w:t>а) животозастраховане и б) различно от животозастраховане (стр. 211 и 212).</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 xml:space="preserve">Банкови и други финансови услуги (без застраховане) — </w:t>
      </w:r>
      <w:r>
        <w:rPr>
          <w:rFonts w:ascii="Times New Roman" w:hAnsi="Times New Roman"/>
          <w:noProof/>
          <w:lang w:val="ru-RU"/>
        </w:rPr>
        <w:t>(</w:t>
      </w:r>
      <w:r>
        <w:rPr>
          <w:rFonts w:ascii="Times New Roman" w:hAnsi="Times New Roman"/>
          <w:noProof/>
        </w:rPr>
        <w:t>x</w:t>
      </w:r>
      <w:r>
        <w:rPr>
          <w:rFonts w:ascii="Times New Roman" w:hAnsi="Times New Roman"/>
          <w:noProof/>
          <w:lang w:val="ru-RU"/>
        </w:rPr>
        <w:t xml:space="preserve">) </w:t>
      </w:r>
      <w:r>
        <w:rPr>
          <w:rFonts w:ascii="Times New Roman" w:hAnsi="Times New Roman"/>
          <w:noProof/>
          <w:lang w:val="bg-BG"/>
        </w:rPr>
        <w:t>д) прехвърляеми ценни книжа (стр. 223).</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Хотелиерство, ресторантьорство и обществено хранене (CPC 641, 642 и 643) (стр. 232).</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Туристически агенции и туроператорски услуги (CPC 7471) (стр. 233 и 234).</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Морски транспортни услуги — с изключение на каботажен транспорт — а) Пътнически транспорт</w:t>
      </w:r>
      <w:r>
        <w:rPr>
          <w:rFonts w:ascii="Times New Roman" w:hAnsi="Times New Roman"/>
          <w:noProof/>
          <w:lang w:val="ru-RU"/>
        </w:rPr>
        <w:t xml:space="preserve"> </w:t>
      </w:r>
      <w:r>
        <w:rPr>
          <w:rFonts w:ascii="Times New Roman" w:hAnsi="Times New Roman"/>
          <w:noProof/>
          <w:lang w:val="bg-BG"/>
        </w:rPr>
        <w:t>(CPC 7211);</w:t>
      </w:r>
      <w:r>
        <w:rPr>
          <w:rFonts w:ascii="Times New Roman" w:hAnsi="Times New Roman"/>
          <w:noProof/>
          <w:lang w:val="ru-RU"/>
        </w:rPr>
        <w:t xml:space="preserve"> </w:t>
      </w:r>
      <w:r>
        <w:rPr>
          <w:rFonts w:ascii="Times New Roman" w:hAnsi="Times New Roman"/>
          <w:noProof/>
          <w:lang w:val="bg-BG"/>
        </w:rPr>
        <w:t>б) Товарен транспорт (CPC 7212) (стр.242).</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spacing w:after="0"/>
        <w:jc w:val="both"/>
        <w:rPr>
          <w:rFonts w:ascii="Times New Roman" w:hAnsi="Times New Roman"/>
          <w:noProof/>
          <w:lang w:val="ru-RU"/>
        </w:rPr>
      </w:pPr>
    </w:p>
    <w:p>
      <w:pPr>
        <w:jc w:val="both"/>
        <w:rPr>
          <w:rFonts w:ascii="Times New Roman" w:hAnsi="Times New Roman"/>
          <w:noProof/>
          <w:lang w:val="ru-RU"/>
        </w:rPr>
      </w:pPr>
      <w:r>
        <w:rPr>
          <w:rFonts w:ascii="Times New Roman" w:hAnsi="Times New Roman"/>
          <w:noProof/>
          <w:lang w:val="ru-RU"/>
        </w:rPr>
        <w:br w:type="page"/>
      </w:r>
    </w:p>
    <w:p>
      <w:pPr>
        <w:jc w:val="center"/>
        <w:rPr>
          <w:rFonts w:ascii="Times New Roman" w:hAnsi="Times New Roman"/>
          <w:b/>
          <w:noProof/>
          <w:lang w:val="ru-RU"/>
        </w:rPr>
      </w:pPr>
      <w:r>
        <w:rPr>
          <w:rFonts w:ascii="Times New Roman" w:hAnsi="Times New Roman"/>
          <w:b/>
          <w:noProof/>
          <w:lang w:val="bg-BG"/>
        </w:rPr>
        <w:t>ПРИЛОЖЕНИЕ II</w:t>
      </w:r>
    </w:p>
    <w:p>
      <w:pPr>
        <w:jc w:val="center"/>
        <w:rPr>
          <w:rFonts w:ascii="Times New Roman" w:hAnsi="Times New Roman"/>
          <w:noProof/>
          <w:lang w:val="ru-RU"/>
        </w:rPr>
      </w:pPr>
    </w:p>
    <w:p>
      <w:pPr>
        <w:jc w:val="center"/>
        <w:outlineLvl w:val="0"/>
        <w:rPr>
          <w:rFonts w:ascii="Times New Roman" w:hAnsi="Times New Roman"/>
          <w:b/>
          <w:noProof/>
          <w:lang w:val="ru-RU"/>
        </w:rPr>
      </w:pPr>
      <w:r>
        <w:rPr>
          <w:rFonts w:ascii="Times New Roman" w:hAnsi="Times New Roman"/>
          <w:b/>
          <w:noProof/>
          <w:lang w:val="bg-BG"/>
        </w:rPr>
        <w:t>ОБЕЗЩЕТЕНИЕ ОТ СТРАНА НА ЕО</w:t>
      </w:r>
    </w:p>
    <w:p>
      <w:pPr>
        <w:jc w:val="both"/>
        <w:rPr>
          <w:rFonts w:ascii="Times New Roman" w:hAnsi="Times New Roman"/>
          <w:noProof/>
          <w:lang w:val="ru-RU"/>
        </w:rPr>
      </w:pPr>
    </w:p>
    <w:p>
      <w:pPr>
        <w:numPr>
          <w:ilvl w:val="0"/>
          <w:numId w:val="5"/>
        </w:numPr>
        <w:tabs>
          <w:tab w:val="left" w:pos="-142"/>
        </w:tabs>
        <w:spacing w:after="0" w:line="240" w:lineRule="auto"/>
        <w:ind w:left="714" w:hanging="357"/>
        <w:jc w:val="both"/>
        <w:rPr>
          <w:rFonts w:ascii="Times New Roman" w:hAnsi="Times New Roman"/>
          <w:b/>
          <w:noProof/>
          <w:lang w:val="ru-RU"/>
        </w:rPr>
      </w:pPr>
      <w:r>
        <w:rPr>
          <w:rFonts w:ascii="Times New Roman" w:hAnsi="Times New Roman"/>
          <w:b/>
          <w:noProof/>
          <w:lang w:val="bg-BG"/>
        </w:rPr>
        <w:t>Хоризонтално ограничение на обществените услуги при начин на доставка 3</w:t>
      </w:r>
    </w:p>
    <w:p>
      <w:pPr>
        <w:tabs>
          <w:tab w:val="left" w:pos="-142"/>
        </w:tabs>
        <w:spacing w:after="0"/>
        <w:ind w:left="1434" w:hanging="30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Бележка под линия относно обхвата, показваща, че това ограничение не се отнася до телекомуникациите, до компютърните услуги и до услугите, свързани с тях.</w:t>
      </w:r>
    </w:p>
    <w:p>
      <w:pPr>
        <w:spacing w:after="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b/>
          <w:noProof/>
          <w:lang w:val="bg-BG"/>
        </w:rPr>
        <w:t>Хоризонтални ограничения на инвестициите при начин на доставка 3</w:t>
      </w:r>
    </w:p>
    <w:p>
      <w:pPr>
        <w:spacing w:after="0"/>
        <w:ind w:left="720" w:firstLine="3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Премахване на ограничението по отношение на националното третиране за </w:t>
      </w:r>
      <w:r>
        <w:rPr>
          <w:rFonts w:ascii="Times New Roman" w:hAnsi="Times New Roman"/>
          <w:noProof/>
        </w:rPr>
        <w:t>AT</w:t>
      </w:r>
      <w:r>
        <w:rPr>
          <w:rFonts w:ascii="Times New Roman" w:hAnsi="Times New Roman"/>
          <w:noProof/>
          <w:lang w:val="bg-BG"/>
        </w:rPr>
        <w:t xml:space="preserve"> при начин на доставка 3 за клоновете на</w:t>
      </w:r>
    </w:p>
    <w:p>
      <w:pPr>
        <w:spacing w:after="0"/>
        <w:ind w:left="720" w:firstLine="380"/>
        <w:jc w:val="both"/>
        <w:rPr>
          <w:rFonts w:ascii="Times New Roman" w:hAnsi="Times New Roman"/>
          <w:noProof/>
          <w:lang w:val="ru-RU"/>
        </w:rPr>
      </w:pPr>
      <w:r>
        <w:rPr>
          <w:rFonts w:ascii="Times New Roman" w:hAnsi="Times New Roman"/>
          <w:noProof/>
          <w:lang w:val="ru-RU"/>
        </w:rPr>
        <w:tab/>
      </w:r>
      <w:r>
        <w:rPr>
          <w:rFonts w:ascii="Times New Roman" w:hAnsi="Times New Roman"/>
          <w:noProof/>
          <w:lang w:val="bg-BG"/>
        </w:rPr>
        <w:t>чуждестранни акционерни дружества (Aktiengesellschaften) и дружества с ограничена отговорност</w:t>
      </w:r>
    </w:p>
    <w:p>
      <w:pPr>
        <w:spacing w:after="0"/>
        <w:ind w:left="720" w:firstLine="380"/>
        <w:jc w:val="both"/>
        <w:rPr>
          <w:rFonts w:ascii="Times New Roman" w:hAnsi="Times New Roman"/>
          <w:noProof/>
          <w:lang w:val="ru-RU"/>
        </w:rPr>
      </w:pPr>
      <w:r>
        <w:rPr>
          <w:rFonts w:ascii="Times New Roman" w:hAnsi="Times New Roman"/>
          <w:noProof/>
          <w:lang w:val="ru-RU"/>
        </w:rPr>
        <w:tab/>
        <w:t>(</w:t>
      </w:r>
      <w:r>
        <w:rPr>
          <w:rFonts w:ascii="Times New Roman" w:hAnsi="Times New Roman"/>
          <w:noProof/>
        </w:rPr>
        <w:t>Gesellschaften</w:t>
      </w:r>
      <w:r>
        <w:rPr>
          <w:rFonts w:ascii="Times New Roman" w:hAnsi="Times New Roman"/>
          <w:noProof/>
          <w:lang w:val="ru-RU"/>
        </w:rPr>
        <w:t xml:space="preserve"> </w:t>
      </w:r>
      <w:r>
        <w:rPr>
          <w:rFonts w:ascii="Times New Roman" w:hAnsi="Times New Roman"/>
          <w:noProof/>
        </w:rPr>
        <w:t>mit</w:t>
      </w:r>
      <w:r>
        <w:rPr>
          <w:rFonts w:ascii="Times New Roman" w:hAnsi="Times New Roman"/>
          <w:noProof/>
          <w:lang w:val="ru-RU"/>
        </w:rPr>
        <w:t xml:space="preserve"> </w:t>
      </w:r>
      <w:r>
        <w:rPr>
          <w:rFonts w:ascii="Times New Roman" w:hAnsi="Times New Roman"/>
          <w:noProof/>
        </w:rPr>
        <w:t>beschr</w:t>
      </w:r>
      <w:r>
        <w:rPr>
          <w:rFonts w:ascii="Times New Roman" w:hAnsi="Times New Roman"/>
          <w:noProof/>
          <w:lang w:val="ru-RU"/>
        </w:rPr>
        <w:t>ä</w:t>
      </w:r>
      <w:r>
        <w:rPr>
          <w:rFonts w:ascii="Times New Roman" w:hAnsi="Times New Roman"/>
          <w:noProof/>
        </w:rPr>
        <w:t>nkter</w:t>
      </w:r>
      <w:r>
        <w:rPr>
          <w:rFonts w:ascii="Times New Roman" w:hAnsi="Times New Roman"/>
          <w:noProof/>
          <w:lang w:val="ru-RU"/>
        </w:rPr>
        <w:t xml:space="preserve"> </w:t>
      </w:r>
      <w:r>
        <w:rPr>
          <w:rFonts w:ascii="Times New Roman" w:hAnsi="Times New Roman"/>
          <w:noProof/>
        </w:rPr>
        <w:t>Haftung</w:t>
      </w:r>
      <w:r>
        <w:rPr>
          <w:rFonts w:ascii="Times New Roman" w:hAnsi="Times New Roman"/>
          <w:noProof/>
          <w:lang w:val="ru-RU"/>
        </w:rPr>
        <w:t>).</w:t>
      </w:r>
    </w:p>
    <w:p>
      <w:pPr>
        <w:spacing w:after="0"/>
        <w:ind w:left="36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Начин на </w:t>
      </w:r>
      <w:r>
        <w:rPr>
          <w:rFonts w:ascii="Times New Roman" w:hAnsi="Times New Roman"/>
          <w:b/>
          <w:noProof/>
          <w:lang w:val="bg-BG"/>
        </w:rPr>
        <w:t>доставка 4</w:t>
      </w:r>
      <w:r>
        <w:rPr>
          <w:rFonts w:ascii="Times New Roman" w:hAnsi="Times New Roman"/>
          <w:noProof/>
          <w:lang w:val="bg-BG"/>
        </w:rPr>
        <w:t xml:space="preserve"> за вътрешнокорпоративни трансфери и бизнес посетители</w:t>
      </w:r>
    </w:p>
    <w:p>
      <w:pPr>
        <w:spacing w:after="0"/>
        <w:ind w:left="110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Задължения, поети от </w:t>
      </w:r>
      <w:r>
        <w:rPr>
          <w:rFonts w:ascii="Times New Roman" w:hAnsi="Times New Roman"/>
          <w:noProof/>
        </w:rPr>
        <w:t>CY</w:t>
      </w:r>
      <w:r>
        <w:rPr>
          <w:rFonts w:ascii="Times New Roman" w:hAnsi="Times New Roman"/>
          <w:noProof/>
          <w:lang w:val="bg-BG"/>
        </w:rPr>
        <w:t xml:space="preserve"> и </w:t>
      </w:r>
      <w:r>
        <w:rPr>
          <w:rFonts w:ascii="Times New Roman" w:hAnsi="Times New Roman"/>
          <w:noProof/>
        </w:rPr>
        <w:t>MT</w:t>
      </w:r>
      <w:r>
        <w:rPr>
          <w:rFonts w:ascii="Times New Roman" w:hAnsi="Times New Roman"/>
          <w:noProof/>
          <w:lang w:val="bg-BG"/>
        </w:rPr>
        <w:t xml:space="preserve"> по отношение на достъпа до пазара и националното третиране</w:t>
      </w:r>
      <w:r>
        <w:rPr>
          <w:rFonts w:ascii="Times New Roman" w:hAnsi="Times New Roman"/>
          <w:noProof/>
          <w:lang w:val="ru-RU"/>
        </w:rPr>
        <w:t xml:space="preserve"> </w:t>
      </w:r>
      <w:r>
        <w:rPr>
          <w:rFonts w:ascii="Times New Roman" w:hAnsi="Times New Roman"/>
          <w:noProof/>
          <w:lang w:val="bg-BG"/>
        </w:rPr>
        <w:t>при поети от тези държави хоризонтални задължения и задължения по сектори при начин на доставка 3.</w:t>
      </w:r>
    </w:p>
    <w:p>
      <w:pPr>
        <w:spacing w:after="0"/>
        <w:ind w:left="720" w:firstLine="380"/>
        <w:jc w:val="both"/>
        <w:rPr>
          <w:rFonts w:ascii="Times New Roman" w:hAnsi="Times New Roman"/>
          <w:noProof/>
          <w:lang w:val="ru-RU"/>
        </w:rPr>
      </w:pPr>
    </w:p>
    <w:p>
      <w:pPr>
        <w:numPr>
          <w:ilvl w:val="0"/>
          <w:numId w:val="5"/>
        </w:numPr>
        <w:spacing w:after="0" w:line="240" w:lineRule="auto"/>
        <w:ind w:left="714" w:hanging="357"/>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Инженерни услуги</w:t>
      </w:r>
      <w:r>
        <w:rPr>
          <w:rFonts w:ascii="Times New Roman" w:hAnsi="Times New Roman"/>
          <w:noProof/>
          <w:lang w:val="bg-BG"/>
        </w:rPr>
        <w:t xml:space="preserve"> (CPC 8672)</w:t>
      </w:r>
    </w:p>
    <w:p>
      <w:pPr>
        <w:spacing w:after="0"/>
        <w:ind w:left="1440" w:hanging="36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Задължения, поети от </w:t>
      </w:r>
      <w:r>
        <w:rPr>
          <w:rFonts w:ascii="Times New Roman" w:hAnsi="Times New Roman"/>
          <w:noProof/>
        </w:rPr>
        <w:t>CY</w:t>
      </w:r>
      <w:r>
        <w:rPr>
          <w:rFonts w:ascii="Times New Roman" w:hAnsi="Times New Roman"/>
          <w:noProof/>
          <w:lang w:val="bg-BG"/>
        </w:rPr>
        <w:t xml:space="preserve"> и </w:t>
      </w:r>
      <w:r>
        <w:rPr>
          <w:rFonts w:ascii="Times New Roman" w:hAnsi="Times New Roman"/>
          <w:noProof/>
        </w:rPr>
        <w:t>MT</w:t>
      </w:r>
      <w:r>
        <w:rPr>
          <w:rFonts w:ascii="Times New Roman" w:hAnsi="Times New Roman"/>
          <w:noProof/>
          <w:lang w:val="bg-BG"/>
        </w:rPr>
        <w:t xml:space="preserve"> по отношение на достъпа до пазара и националното третиране при начин на доставка 2</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CZ, MT и SK по отношение на достъпа до пазара при начин на доставка 3</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и MT по отношение на националното третиране при начин на доставка 3</w:t>
      </w:r>
    </w:p>
    <w:p>
      <w:pPr>
        <w:spacing w:after="0"/>
        <w:ind w:left="1080"/>
        <w:jc w:val="both"/>
        <w:rPr>
          <w:rFonts w:ascii="Times New Roman" w:hAnsi="Times New Roman"/>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Премахване на ограниченията върху достъпа до пазара за PT при начин на доставка 3</w:t>
      </w:r>
    </w:p>
    <w:p>
      <w:pPr>
        <w:spacing w:after="0"/>
        <w:ind w:left="360" w:firstLine="72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Интегрирани инженерни услуги</w:t>
      </w:r>
      <w:r>
        <w:rPr>
          <w:rFonts w:ascii="Times New Roman" w:hAnsi="Times New Roman"/>
          <w:noProof/>
          <w:lang w:val="bg-BG"/>
        </w:rPr>
        <w:t xml:space="preserve"> (CPC 8673):</w:t>
      </w:r>
    </w:p>
    <w:p>
      <w:pPr>
        <w:spacing w:after="0"/>
        <w:ind w:left="357" w:firstLine="72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Премахване на теста за икономическа потребност (ENT), прилаган по отношение на начин на доставка 4/ДУД от UK</w:t>
      </w:r>
    </w:p>
    <w:p>
      <w:pPr>
        <w:spacing w:after="0"/>
        <w:ind w:left="357" w:firstLine="72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SK по отношение на достъпа до пазара и националното третиране при начин на доставка 3</w:t>
      </w:r>
    </w:p>
    <w:p>
      <w:pPr>
        <w:spacing w:after="0"/>
        <w:ind w:left="36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Градоустройствени и ландшафтни архитектурни услуги</w:t>
      </w:r>
      <w:r>
        <w:rPr>
          <w:rFonts w:ascii="Times New Roman" w:hAnsi="Times New Roman"/>
          <w:noProof/>
          <w:lang w:val="bg-BG"/>
        </w:rPr>
        <w:t xml:space="preserve"> (CPC 8674):</w:t>
      </w:r>
    </w:p>
    <w:p>
      <w:pPr>
        <w:spacing w:after="0"/>
        <w:ind w:left="1435" w:hanging="301"/>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CZ, MT, PL, SI и SK по отношение на достъпа до пазара и националното третиране при начин на доставка 3.</w:t>
      </w:r>
    </w:p>
    <w:p>
      <w:pPr>
        <w:spacing w:after="0"/>
        <w:ind w:left="1435" w:hanging="301"/>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HU по отношение на достъпа до пазара и националното третиране при ландшафтните архитектурни услуги при начин на доставка 2.</w:t>
      </w:r>
    </w:p>
    <w:p>
      <w:pPr>
        <w:spacing w:after="0"/>
        <w:ind w:left="360"/>
        <w:jc w:val="both"/>
        <w:rPr>
          <w:rFonts w:ascii="Times New Roman" w:hAnsi="Times New Roman"/>
          <w:noProof/>
          <w:lang w:val="ru-RU"/>
        </w:rPr>
      </w:pPr>
    </w:p>
    <w:p>
      <w:pPr>
        <w:numPr>
          <w:ilvl w:val="0"/>
          <w:numId w:val="6"/>
        </w:numPr>
        <w:spacing w:after="0" w:line="240" w:lineRule="auto"/>
        <w:jc w:val="both"/>
        <w:rPr>
          <w:rFonts w:ascii="Times New Roman" w:hAnsi="Times New Roman"/>
          <w:noProof/>
          <w:lang w:val="ru-RU"/>
        </w:rPr>
      </w:pPr>
      <w:r>
        <w:rPr>
          <w:rFonts w:ascii="Times New Roman" w:hAnsi="Times New Roman"/>
          <w:b/>
          <w:noProof/>
          <w:lang w:val="bg-BG"/>
        </w:rPr>
        <w:t>Компютърни и свързани с тях услуги</w:t>
      </w:r>
      <w:r>
        <w:rPr>
          <w:rFonts w:ascii="Times New Roman" w:hAnsi="Times New Roman"/>
          <w:noProof/>
          <w:lang w:val="bg-BG"/>
        </w:rPr>
        <w:t> —</w:t>
      </w:r>
    </w:p>
    <w:p>
      <w:pPr>
        <w:spacing w:after="0"/>
        <w:ind w:left="720" w:firstLine="36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Добавяне на обяснителна бележка под линия.</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HU по отношение на достъпа до пазара и националното третиране съгласно</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начини на доставка 1, 2 и 3 за CPC 845 и 849</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По-добри условия за ДУД/начин на доставка 4 от SE за компютърни и свързани с тях услуги при хоризонталните и новопоетите задължения на SE за ДУД/начин на доставка 4 за CPC 845 и 849.</w:t>
      </w:r>
    </w:p>
    <w:p>
      <w:pPr>
        <w:spacing w:after="0"/>
        <w:ind w:left="720" w:firstLine="357"/>
        <w:jc w:val="both"/>
        <w:rPr>
          <w:rFonts w:ascii="Times New Roman" w:hAnsi="Times New Roman"/>
          <w:noProof/>
          <w:lang w:val="ru-RU"/>
        </w:rPr>
      </w:pPr>
    </w:p>
    <w:p>
      <w:pPr>
        <w:numPr>
          <w:ilvl w:val="0"/>
          <w:numId w:val="5"/>
        </w:numPr>
        <w:spacing w:after="0" w:line="240" w:lineRule="auto"/>
        <w:ind w:left="714" w:hanging="357"/>
        <w:jc w:val="both"/>
        <w:rPr>
          <w:rFonts w:ascii="Times New Roman" w:hAnsi="Times New Roman"/>
          <w:noProof/>
        </w:rPr>
      </w:pPr>
      <w:r>
        <w:rPr>
          <w:rFonts w:ascii="Times New Roman" w:hAnsi="Times New Roman"/>
          <w:b/>
          <w:noProof/>
          <w:lang w:val="bg-BG"/>
        </w:rPr>
        <w:t>Рекламни услуги</w:t>
      </w:r>
      <w:r>
        <w:rPr>
          <w:rFonts w:ascii="Times New Roman" w:hAnsi="Times New Roman"/>
          <w:noProof/>
          <w:lang w:val="bg-BG"/>
        </w:rPr>
        <w:t xml:space="preserve"> (CPC 871):</w:t>
      </w:r>
    </w:p>
    <w:p>
      <w:pPr>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MT и PL по отношение на достъпа до пазара и националното третиране</w:t>
      </w:r>
    </w:p>
    <w:p>
      <w:pPr>
        <w:spacing w:after="0"/>
        <w:ind w:left="1077"/>
        <w:jc w:val="both"/>
        <w:rPr>
          <w:rFonts w:ascii="Times New Roman" w:hAnsi="Times New Roman"/>
          <w:noProof/>
        </w:rPr>
      </w:pPr>
      <w:r>
        <w:rPr>
          <w:rFonts w:ascii="Times New Roman" w:hAnsi="Times New Roman"/>
          <w:noProof/>
          <w:lang w:val="ru-RU"/>
        </w:rPr>
        <w:t xml:space="preserve"> </w:t>
      </w:r>
      <w:r>
        <w:rPr>
          <w:rFonts w:ascii="Times New Roman" w:hAnsi="Times New Roman"/>
          <w:noProof/>
          <w:lang w:val="ru-RU"/>
        </w:rPr>
        <w:tab/>
        <w:t xml:space="preserve"> </w:t>
      </w:r>
      <w:r>
        <w:rPr>
          <w:rFonts w:ascii="Times New Roman" w:hAnsi="Times New Roman"/>
          <w:noProof/>
          <w:lang w:val="bg-BG"/>
        </w:rPr>
        <w:t>при начин на доставка 1</w:t>
      </w:r>
    </w:p>
    <w:p>
      <w:pPr>
        <w:numPr>
          <w:ilvl w:val="0"/>
          <w:numId w:val="5"/>
        </w:numPr>
        <w:spacing w:after="0" w:line="240" w:lineRule="auto"/>
        <w:ind w:left="714" w:hanging="357"/>
        <w:jc w:val="both"/>
        <w:rPr>
          <w:rFonts w:ascii="Times New Roman" w:hAnsi="Times New Roman"/>
          <w:b/>
          <w:noProof/>
        </w:rPr>
      </w:pPr>
      <w:r>
        <w:rPr>
          <w:rFonts w:ascii="Times New Roman" w:hAnsi="Times New Roman"/>
          <w:b/>
          <w:noProof/>
          <w:lang w:val="bg-BG"/>
        </w:rPr>
        <w:t>Телекомуникационни услуги</w:t>
      </w:r>
    </w:p>
    <w:p>
      <w:pPr>
        <w:spacing w:after="0"/>
        <w:ind w:left="1434" w:hanging="35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Нови и подобрени задължения, поети от ЕО като цяло, предлагани в тяхното преразгледано предложение в рамките на Програмата за развитие от Доха.</w:t>
      </w:r>
    </w:p>
    <w:p>
      <w:pPr>
        <w:spacing w:after="0"/>
        <w:ind w:left="1434" w:hanging="357"/>
        <w:jc w:val="both"/>
        <w:rPr>
          <w:rFonts w:ascii="Times New Roman" w:hAnsi="Times New Roman"/>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Пояснение от FI, че нейните три хоризонтални ограничения при начин на доставка 3 — на юридическите лица по отношение на достъпа до пазара; на дъщерните дружества, клоновете, агенциите и представителствата по отношение на националното третиране; и на инвестициите по отношение на достъпа до пазара не се отнасят до сектора на телекомуникационните услуги.</w:t>
      </w:r>
    </w:p>
    <w:p>
      <w:pPr>
        <w:spacing w:after="0"/>
        <w:ind w:left="1434" w:hanging="35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Пояснителна бележка под линия, в която се посочва, че подсектори 2.C.h</w:t>
      </w:r>
      <w:r>
        <w:rPr>
          <w:rFonts w:ascii="Times New Roman" w:hAnsi="Times New Roman"/>
          <w:noProof/>
          <w:lang w:val="ru-RU"/>
        </w:rPr>
        <w:t>)</w:t>
      </w:r>
      <w:r>
        <w:rPr>
          <w:rFonts w:ascii="Times New Roman" w:hAnsi="Times New Roman"/>
          <w:noProof/>
          <w:lang w:val="bg-BG"/>
        </w:rPr>
        <w:t xml:space="preserve"> до 2.C.m</w:t>
      </w:r>
      <w:r>
        <w:rPr>
          <w:rFonts w:ascii="Times New Roman" w:hAnsi="Times New Roman"/>
          <w:noProof/>
          <w:lang w:val="ru-RU"/>
        </w:rPr>
        <w:t>)</w:t>
      </w:r>
      <w:r>
        <w:rPr>
          <w:rFonts w:ascii="Times New Roman" w:hAnsi="Times New Roman"/>
          <w:noProof/>
          <w:lang w:val="bg-BG"/>
        </w:rPr>
        <w:t xml:space="preserve"> от Секторния класификационен списък на услуги, съдържащ се в MTN,GNS/W/120 (услуги с добавена стойност)</w:t>
      </w:r>
      <w:r>
        <w:rPr>
          <w:rFonts w:ascii="Times New Roman" w:hAnsi="Times New Roman"/>
          <w:noProof/>
          <w:lang w:val="ru-RU"/>
        </w:rPr>
        <w:t>,</w:t>
      </w:r>
      <w:r>
        <w:rPr>
          <w:rFonts w:ascii="Times New Roman" w:hAnsi="Times New Roman"/>
          <w:noProof/>
          <w:lang w:val="bg-BG"/>
        </w:rPr>
        <w:t xml:space="preserve"> и подсектори 2.C.a) до 2.C.g) от този списък са включени тук.</w:t>
      </w:r>
      <w:r>
        <w:rPr>
          <w:rFonts w:ascii="Times New Roman" w:hAnsi="Times New Roman"/>
          <w:noProof/>
          <w:lang w:val="ru-RU"/>
        </w:rPr>
        <w:t xml:space="preserve"> </w:t>
      </w:r>
      <w:r>
        <w:rPr>
          <w:rFonts w:ascii="Times New Roman" w:hAnsi="Times New Roman"/>
          <w:noProof/>
          <w:lang w:val="bg-BG"/>
        </w:rPr>
        <w:t>Подсектор 2.С.o от този списък също е включен тук, доколкото той попада в рамките на тази дефиниция.</w:t>
      </w:r>
      <w:r>
        <w:rPr>
          <w:rFonts w:ascii="Times New Roman" w:hAnsi="Times New Roman"/>
          <w:noProof/>
          <w:lang w:val="ru-RU"/>
        </w:rPr>
        <w:t xml:space="preserve"> </w:t>
      </w:r>
      <w:r>
        <w:rPr>
          <w:rFonts w:ascii="Times New Roman" w:hAnsi="Times New Roman"/>
          <w:noProof/>
          <w:lang w:val="bg-BG"/>
        </w:rPr>
        <w:t>За целите на този списък на задълженията подсектор 2.C.n) от Секторния класификационен списък на услуги (онлайн обработка на информация и/или данни) е отразен в този списък на задълженията като 1.B (компютърни и свързани с тях услуги).</w:t>
      </w:r>
    </w:p>
    <w:p>
      <w:pPr>
        <w:spacing w:after="0"/>
        <w:jc w:val="both"/>
        <w:rPr>
          <w:rFonts w:ascii="Times New Roman" w:hAnsi="Times New Roman"/>
          <w:b/>
          <w:noProof/>
          <w:lang w:val="ru-RU"/>
        </w:rPr>
      </w:pPr>
    </w:p>
    <w:p>
      <w:pPr>
        <w:numPr>
          <w:ilvl w:val="0"/>
          <w:numId w:val="5"/>
        </w:numPr>
        <w:spacing w:after="0" w:line="240" w:lineRule="auto"/>
        <w:jc w:val="both"/>
        <w:rPr>
          <w:rFonts w:ascii="Times New Roman" w:hAnsi="Times New Roman"/>
          <w:b/>
          <w:noProof/>
        </w:rPr>
      </w:pPr>
      <w:r>
        <w:rPr>
          <w:rFonts w:ascii="Times New Roman" w:hAnsi="Times New Roman"/>
          <w:b/>
          <w:noProof/>
          <w:lang w:val="bg-BG"/>
        </w:rPr>
        <w:t>Финансови услуги (застраховане):</w:t>
      </w:r>
    </w:p>
    <w:p>
      <w:pPr>
        <w:spacing w:after="0"/>
        <w:ind w:left="1080"/>
        <w:jc w:val="both"/>
        <w:rPr>
          <w:rFonts w:ascii="Times New Roman" w:hAnsi="Times New Roman"/>
          <w:b/>
          <w:noProof/>
          <w:lang w:val="ru-RU"/>
        </w:rPr>
      </w:pPr>
      <w:r>
        <w:rPr>
          <w:rFonts w:ascii="Times New Roman" w:hAnsi="Times New Roman"/>
          <w:b/>
          <w:noProof/>
          <w:lang w:val="ru-RU"/>
        </w:rPr>
        <w:t>-</w:t>
      </w:r>
      <w:r>
        <w:rPr>
          <w:rFonts w:ascii="Times New Roman" w:hAnsi="Times New Roman"/>
          <w:b/>
          <w:noProof/>
          <w:lang w:val="ru-RU"/>
        </w:rPr>
        <w:tab/>
      </w:r>
      <w:r>
        <w:rPr>
          <w:rFonts w:ascii="Times New Roman" w:hAnsi="Times New Roman"/>
          <w:noProof/>
          <w:lang w:val="bg-BG"/>
        </w:rPr>
        <w:t>Отстраняване на част от ограниченията върху достъпа до пазара за SK при начин на доставка 3</w:t>
      </w:r>
      <w:r>
        <w:rPr>
          <w:rFonts w:ascii="Times New Roman" w:hAnsi="Times New Roman"/>
          <w:noProof/>
          <w:lang w:val="ru-RU"/>
        </w:rPr>
        <w:t>.</w:t>
      </w:r>
    </w:p>
    <w:p>
      <w:pPr>
        <w:spacing w:after="0"/>
        <w:ind w:left="1080"/>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Финансови услуги (банкови услуги)</w:t>
      </w:r>
    </w:p>
    <w:p>
      <w:pPr>
        <w:tabs>
          <w:tab w:val="left" w:pos="-142"/>
        </w:tabs>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FI:</w:t>
      </w:r>
      <w:r>
        <w:rPr>
          <w:rFonts w:ascii="Times New Roman" w:hAnsi="Times New Roman"/>
          <w:noProof/>
          <w:lang w:val="ru-RU"/>
        </w:rPr>
        <w:t xml:space="preserve"> </w:t>
      </w:r>
      <w:r>
        <w:rPr>
          <w:rFonts w:ascii="Times New Roman" w:hAnsi="Times New Roman"/>
          <w:noProof/>
          <w:lang w:val="bg-BG"/>
        </w:rPr>
        <w:t>Промяна в изискването за гражданство при начин на доставка 3 („Поне един от</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основателите, членовете на съвета на директорите, надзорния съвет и</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изпълнителният директор трябва да са постоянно пребиваващи в Европейската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общност…“ вместо „Поне половината от основателите, членовете на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 xml:space="preserve">съвета на директорите, надзорния съвет и делегатите, изпълнителният директор, </w:t>
      </w:r>
      <w:r>
        <w:rPr>
          <w:rFonts w:ascii="Times New Roman" w:hAnsi="Times New Roman"/>
          <w:noProof/>
          <w:lang w:val="ru-RU"/>
        </w:rPr>
        <w:tab/>
      </w:r>
      <w:r>
        <w:rPr>
          <w:rFonts w:ascii="Times New Roman" w:hAnsi="Times New Roman"/>
          <w:noProof/>
          <w:lang w:val="bg-BG"/>
        </w:rPr>
        <w:t>пълномощникът и лицето, оправомощено да подписва от</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името на кредитната институция, трябва да са постоянно пребиваващи в</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Европейската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общност...“).</w:t>
      </w:r>
    </w:p>
    <w:p>
      <w:pPr>
        <w:spacing w:after="0"/>
        <w:ind w:left="357"/>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Хотелиерство, ресторантьорство и обществено хранене</w:t>
      </w:r>
    </w:p>
    <w:p>
      <w:pPr>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Нов (по-малко ограничителен) текст за </w:t>
      </w:r>
      <w:r>
        <w:rPr>
          <w:rFonts w:ascii="Times New Roman" w:hAnsi="Times New Roman"/>
          <w:noProof/>
          <w:lang w:val="ru-RU"/>
        </w:rPr>
        <w:t>теста за икономическа потребност (</w:t>
      </w:r>
      <w:r>
        <w:rPr>
          <w:rFonts w:ascii="Times New Roman" w:hAnsi="Times New Roman"/>
          <w:noProof/>
          <w:lang w:val="bg-BG"/>
        </w:rPr>
        <w:t>ENT</w:t>
      </w:r>
      <w:r>
        <w:rPr>
          <w:rFonts w:ascii="Times New Roman" w:hAnsi="Times New Roman"/>
          <w:noProof/>
          <w:lang w:val="ru-RU"/>
        </w:rPr>
        <w:t xml:space="preserve">) </w:t>
      </w:r>
      <w:r>
        <w:rPr>
          <w:rFonts w:ascii="Times New Roman" w:hAnsi="Times New Roman"/>
          <w:noProof/>
          <w:lang w:val="bg-BG"/>
        </w:rPr>
        <w:t>на ИТ при начин на доставка 3 за барове, кафенета и</w:t>
      </w:r>
    </w:p>
    <w:p>
      <w:pPr>
        <w:spacing w:after="0"/>
        <w:ind w:left="1077"/>
        <w:jc w:val="both"/>
        <w:rPr>
          <w:rFonts w:ascii="Times New Roman" w:hAnsi="Times New Roman"/>
          <w:noProof/>
          <w:lang w:val="ru-RU"/>
        </w:rPr>
      </w:pPr>
      <w:r>
        <w:rPr>
          <w:rFonts w:ascii="Times New Roman" w:hAnsi="Times New Roman"/>
          <w:noProof/>
          <w:lang w:val="ru-RU"/>
        </w:rPr>
        <w:tab/>
      </w:r>
      <w:r>
        <w:rPr>
          <w:rFonts w:ascii="Times New Roman" w:hAnsi="Times New Roman"/>
          <w:noProof/>
          <w:lang w:val="bg-BG"/>
        </w:rPr>
        <w:t>ресторанти, включително задължение за недискриминационното му естество.</w:t>
      </w:r>
    </w:p>
    <w:p>
      <w:pPr>
        <w:tabs>
          <w:tab w:val="left" w:pos="-142"/>
        </w:tabs>
        <w:spacing w:after="0"/>
        <w:ind w:left="357"/>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Туристически агенции и туроператорски услуги</w:t>
      </w:r>
    </w:p>
    <w:p>
      <w:pPr>
        <w:tabs>
          <w:tab w:val="left" w:pos="-142"/>
        </w:tabs>
        <w:spacing w:after="0"/>
        <w:ind w:left="1077"/>
        <w:jc w:val="both"/>
        <w:rPr>
          <w:rFonts w:ascii="Times New Roman" w:hAnsi="Times New Roman"/>
          <w:b/>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 xml:space="preserve">Премахване на </w:t>
      </w:r>
      <w:r>
        <w:rPr>
          <w:rFonts w:ascii="Times New Roman" w:hAnsi="Times New Roman"/>
          <w:noProof/>
          <w:lang w:val="ru-RU"/>
        </w:rPr>
        <w:t xml:space="preserve">теста за икономическа потребност </w:t>
      </w:r>
      <w:r>
        <w:rPr>
          <w:rFonts w:ascii="Times New Roman" w:hAnsi="Times New Roman"/>
          <w:noProof/>
          <w:lang w:val="bg-BG"/>
        </w:rPr>
        <w:t>(ENT), прилаган по отношение на начин на доставка 3 от CZ</w:t>
      </w:r>
      <w:r>
        <w:rPr>
          <w:rFonts w:ascii="Times New Roman" w:hAnsi="Times New Roman"/>
          <w:noProof/>
          <w:lang w:val="ru-RU"/>
        </w:rPr>
        <w:t>.</w:t>
      </w:r>
    </w:p>
    <w:p>
      <w:pPr>
        <w:spacing w:after="0"/>
        <w:ind w:left="360"/>
        <w:jc w:val="both"/>
        <w:rPr>
          <w:rFonts w:ascii="Times New Roman" w:hAnsi="Times New Roman"/>
          <w:b/>
          <w:noProof/>
          <w:lang w:val="ru-RU"/>
        </w:rPr>
      </w:pPr>
    </w:p>
    <w:p>
      <w:pPr>
        <w:numPr>
          <w:ilvl w:val="0"/>
          <w:numId w:val="5"/>
        </w:numPr>
        <w:spacing w:after="0" w:line="240" w:lineRule="auto"/>
        <w:jc w:val="both"/>
        <w:rPr>
          <w:rFonts w:ascii="Times New Roman" w:hAnsi="Times New Roman"/>
          <w:b/>
          <w:noProof/>
        </w:rPr>
      </w:pPr>
      <w:r>
        <w:rPr>
          <w:rFonts w:ascii="Times New Roman" w:hAnsi="Times New Roman"/>
          <w:b/>
          <w:noProof/>
          <w:lang w:val="bg-BG"/>
        </w:rPr>
        <w:t>Фризьорски услуги</w:t>
      </w:r>
    </w:p>
    <w:p>
      <w:pPr>
        <w:spacing w:after="0"/>
        <w:ind w:left="1080"/>
        <w:jc w:val="both"/>
        <w:rPr>
          <w:rFonts w:ascii="Times New Roman" w:hAnsi="Times New Roman"/>
          <w:noProof/>
          <w:lang w:val="ru-RU"/>
        </w:rPr>
      </w:pPr>
      <w:r>
        <w:rPr>
          <w:rFonts w:ascii="Times New Roman" w:hAnsi="Times New Roman"/>
          <w:b/>
          <w:noProof/>
          <w:lang w:val="ru-RU"/>
        </w:rPr>
        <w:t>-</w:t>
      </w:r>
      <w:r>
        <w:rPr>
          <w:rFonts w:ascii="Times New Roman" w:hAnsi="Times New Roman"/>
          <w:noProof/>
          <w:lang w:val="ru-RU"/>
        </w:rPr>
        <w:tab/>
      </w:r>
      <w:r>
        <w:rPr>
          <w:rFonts w:ascii="Times New Roman" w:hAnsi="Times New Roman"/>
          <w:noProof/>
          <w:lang w:val="bg-BG"/>
        </w:rPr>
        <w:t>Задължения, поети от CZ, FI, HU и SK по отношение на достъпа до пазара и националното третиране</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при начини на доставка 2 и 3</w:t>
      </w:r>
      <w:r>
        <w:rPr>
          <w:rFonts w:ascii="Times New Roman" w:hAnsi="Times New Roman"/>
          <w:noProof/>
          <w:lang w:val="ru-RU"/>
        </w:rPr>
        <w:t>.</w:t>
      </w:r>
    </w:p>
    <w:p>
      <w:pPr>
        <w:spacing w:after="0"/>
        <w:ind w:left="1434" w:hanging="357"/>
        <w:jc w:val="both"/>
        <w:rPr>
          <w:rFonts w:ascii="Times New Roman" w:hAnsi="Times New Roman"/>
          <w:noProof/>
          <w:lang w:val="ru-RU"/>
        </w:rPr>
      </w:pPr>
    </w:p>
    <w:p>
      <w:pPr>
        <w:spacing w:after="0"/>
        <w:ind w:left="1434" w:hanging="357"/>
        <w:jc w:val="both"/>
        <w:rPr>
          <w:rFonts w:ascii="Times New Roman" w:hAnsi="Times New Roman"/>
          <w:noProof/>
          <w:lang w:val="ru-RU"/>
        </w:rPr>
      </w:pP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bg-BG"/>
        </w:rPr>
        <w:t>Използваните съкращения се използват за обозначаване на следните държави членки:</w:t>
      </w:r>
    </w:p>
    <w:p>
      <w:pPr>
        <w:tabs>
          <w:tab w:val="left" w:pos="-720"/>
          <w:tab w:val="left" w:pos="567"/>
        </w:tabs>
        <w:suppressAutoHyphens/>
        <w:spacing w:after="0"/>
        <w:jc w:val="both"/>
        <w:rPr>
          <w:rFonts w:ascii="Times New Roman" w:hAnsi="Times New Roman"/>
          <w:noProof/>
          <w:spacing w:val="-2"/>
          <w:lang w:val="ru-RU"/>
        </w:rPr>
      </w:pPr>
    </w:p>
    <w:p>
      <w:pPr>
        <w:tabs>
          <w:tab w:val="left" w:pos="-720"/>
          <w:tab w:val="left" w:pos="567"/>
        </w:tabs>
        <w:suppressAutoHyphens/>
        <w:jc w:val="both"/>
        <w:rPr>
          <w:rFonts w:ascii="Times New Roman" w:hAnsi="Times New Roman"/>
          <w:noProof/>
          <w:spacing w:val="-2"/>
          <w:lang w:val="ru-RU"/>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417" w:right="1417" w:bottom="1417" w:left="1417" w:header="720" w:footer="1440" w:gutter="0"/>
          <w:cols w:space="720"/>
          <w:titlePg/>
          <w:docGrid w:linePitch="299"/>
        </w:sectPr>
      </w:pP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AT</w:t>
      </w:r>
      <w:r>
        <w:rPr>
          <w:rFonts w:ascii="Times New Roman" w:hAnsi="Times New Roman"/>
          <w:noProof/>
          <w:spacing w:val="-2"/>
          <w:lang w:val="ru-RU"/>
        </w:rPr>
        <w:tab/>
      </w:r>
      <w:r>
        <w:rPr>
          <w:rFonts w:ascii="Times New Roman" w:hAnsi="Times New Roman"/>
          <w:noProof/>
          <w:spacing w:val="-2"/>
          <w:lang w:val="bg-BG"/>
        </w:rPr>
        <w:t>Австрия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BE</w:t>
      </w:r>
      <w:r>
        <w:rPr>
          <w:rFonts w:ascii="Times New Roman" w:hAnsi="Times New Roman"/>
          <w:noProof/>
          <w:spacing w:val="-2"/>
          <w:lang w:val="ru-RU"/>
        </w:rPr>
        <w:tab/>
      </w:r>
      <w:r>
        <w:rPr>
          <w:rFonts w:ascii="Times New Roman" w:hAnsi="Times New Roman"/>
          <w:noProof/>
          <w:spacing w:val="-2"/>
          <w:lang w:val="bg-BG"/>
        </w:rPr>
        <w:t>Белгия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CY</w:t>
      </w:r>
      <w:r>
        <w:rPr>
          <w:rFonts w:ascii="Times New Roman" w:hAnsi="Times New Roman"/>
          <w:noProof/>
          <w:spacing w:val="-2"/>
          <w:lang w:val="ru-RU"/>
        </w:rPr>
        <w:tab/>
      </w:r>
      <w:r>
        <w:rPr>
          <w:rFonts w:ascii="Times New Roman" w:hAnsi="Times New Roman"/>
          <w:noProof/>
          <w:spacing w:val="-2"/>
          <w:lang w:val="bg-BG"/>
        </w:rPr>
        <w:t>Кипър</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CZ</w:t>
      </w:r>
      <w:r>
        <w:rPr>
          <w:rFonts w:ascii="Times New Roman" w:hAnsi="Times New Roman"/>
          <w:noProof/>
          <w:spacing w:val="-2"/>
          <w:lang w:val="ru-RU"/>
        </w:rPr>
        <w:tab/>
      </w:r>
      <w:r>
        <w:rPr>
          <w:rFonts w:ascii="Times New Roman" w:hAnsi="Times New Roman"/>
          <w:noProof/>
          <w:spacing w:val="-2"/>
          <w:lang w:val="bg-BG"/>
        </w:rPr>
        <w:t>Чешка република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DE</w:t>
      </w:r>
      <w:r>
        <w:rPr>
          <w:rFonts w:ascii="Times New Roman" w:hAnsi="Times New Roman"/>
          <w:noProof/>
          <w:spacing w:val="-2"/>
          <w:lang w:val="ru-RU"/>
        </w:rPr>
        <w:tab/>
      </w:r>
      <w:r>
        <w:rPr>
          <w:rFonts w:ascii="Times New Roman" w:hAnsi="Times New Roman"/>
          <w:noProof/>
          <w:spacing w:val="-2"/>
          <w:lang w:val="bg-BG"/>
        </w:rPr>
        <w:t>Германия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DK</w:t>
      </w:r>
      <w:r>
        <w:rPr>
          <w:rFonts w:ascii="Times New Roman" w:hAnsi="Times New Roman"/>
          <w:noProof/>
          <w:spacing w:val="-2"/>
          <w:lang w:val="ru-RU"/>
        </w:rPr>
        <w:tab/>
      </w:r>
      <w:r>
        <w:rPr>
          <w:rFonts w:ascii="Times New Roman" w:hAnsi="Times New Roman"/>
          <w:noProof/>
          <w:spacing w:val="-2"/>
          <w:lang w:val="bg-BG"/>
        </w:rPr>
        <w:t>Дания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EE</w:t>
      </w:r>
      <w:r>
        <w:rPr>
          <w:rFonts w:ascii="Times New Roman" w:hAnsi="Times New Roman"/>
          <w:noProof/>
          <w:spacing w:val="-2"/>
          <w:lang w:val="ru-RU"/>
        </w:rPr>
        <w:tab/>
      </w:r>
      <w:r>
        <w:rPr>
          <w:rFonts w:ascii="Times New Roman" w:hAnsi="Times New Roman"/>
          <w:noProof/>
          <w:spacing w:val="-2"/>
          <w:lang w:val="bg-BG"/>
        </w:rPr>
        <w:t>Естония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EL</w:t>
      </w:r>
      <w:r>
        <w:rPr>
          <w:rFonts w:ascii="Times New Roman" w:hAnsi="Times New Roman"/>
          <w:noProof/>
          <w:spacing w:val="-2"/>
          <w:lang w:val="ru-RU"/>
        </w:rPr>
        <w:tab/>
      </w:r>
      <w:r>
        <w:rPr>
          <w:rFonts w:ascii="Times New Roman" w:hAnsi="Times New Roman"/>
          <w:noProof/>
          <w:spacing w:val="-2"/>
          <w:lang w:val="bg-BG"/>
        </w:rPr>
        <w:t>Гърция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ES</w:t>
      </w:r>
      <w:r>
        <w:rPr>
          <w:rFonts w:ascii="Times New Roman" w:hAnsi="Times New Roman"/>
          <w:noProof/>
          <w:spacing w:val="-2"/>
          <w:lang w:val="ru-RU"/>
        </w:rPr>
        <w:tab/>
      </w:r>
      <w:r>
        <w:rPr>
          <w:rFonts w:ascii="Times New Roman" w:hAnsi="Times New Roman"/>
          <w:noProof/>
          <w:spacing w:val="-2"/>
          <w:lang w:val="bg-BG"/>
        </w:rPr>
        <w:t>Испания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FI</w:t>
      </w:r>
      <w:r>
        <w:rPr>
          <w:rFonts w:ascii="Times New Roman" w:hAnsi="Times New Roman"/>
          <w:noProof/>
          <w:spacing w:val="-2"/>
          <w:lang w:val="ru-RU"/>
        </w:rPr>
        <w:tab/>
      </w:r>
      <w:r>
        <w:rPr>
          <w:rFonts w:ascii="Times New Roman" w:hAnsi="Times New Roman"/>
          <w:noProof/>
          <w:spacing w:val="-2"/>
          <w:lang w:val="bg-BG"/>
        </w:rPr>
        <w:t>Финландия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FR</w:t>
      </w:r>
      <w:r>
        <w:rPr>
          <w:rFonts w:ascii="Times New Roman" w:hAnsi="Times New Roman"/>
          <w:noProof/>
          <w:spacing w:val="-2"/>
          <w:lang w:val="ru-RU"/>
        </w:rPr>
        <w:tab/>
      </w:r>
      <w:r>
        <w:rPr>
          <w:rFonts w:ascii="Times New Roman" w:hAnsi="Times New Roman"/>
          <w:noProof/>
          <w:spacing w:val="-2"/>
          <w:lang w:val="bg-BG"/>
        </w:rPr>
        <w:t>Франция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HU</w:t>
      </w:r>
      <w:r>
        <w:rPr>
          <w:rFonts w:ascii="Times New Roman" w:hAnsi="Times New Roman"/>
          <w:noProof/>
          <w:spacing w:val="-2"/>
          <w:lang w:val="ru-RU"/>
        </w:rPr>
        <w:tab/>
      </w:r>
      <w:r>
        <w:rPr>
          <w:rFonts w:ascii="Times New Roman" w:hAnsi="Times New Roman"/>
          <w:noProof/>
          <w:spacing w:val="-2"/>
          <w:lang w:val="bg-BG"/>
        </w:rPr>
        <w:t>Унгария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IE</w:t>
      </w:r>
      <w:r>
        <w:rPr>
          <w:rFonts w:ascii="Times New Roman" w:hAnsi="Times New Roman"/>
          <w:noProof/>
          <w:spacing w:val="-2"/>
          <w:lang w:val="ru-RU"/>
        </w:rPr>
        <w:tab/>
      </w:r>
      <w:r>
        <w:rPr>
          <w:rFonts w:ascii="Times New Roman" w:hAnsi="Times New Roman"/>
          <w:noProof/>
          <w:spacing w:val="-2"/>
          <w:lang w:val="bg-BG"/>
        </w:rPr>
        <w:t>Ирландия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IT</w:t>
      </w:r>
      <w:r>
        <w:rPr>
          <w:rFonts w:ascii="Times New Roman" w:hAnsi="Times New Roman"/>
          <w:noProof/>
          <w:spacing w:val="-2"/>
          <w:lang w:val="ru-RU"/>
        </w:rPr>
        <w:tab/>
      </w:r>
      <w:r>
        <w:rPr>
          <w:rFonts w:ascii="Times New Roman" w:hAnsi="Times New Roman"/>
          <w:noProof/>
          <w:spacing w:val="-2"/>
          <w:lang w:val="bg-BG"/>
        </w:rPr>
        <w:t>Италия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LT</w:t>
      </w:r>
      <w:r>
        <w:rPr>
          <w:rFonts w:ascii="Times New Roman" w:hAnsi="Times New Roman"/>
          <w:noProof/>
          <w:spacing w:val="-2"/>
          <w:lang w:val="ru-RU"/>
        </w:rPr>
        <w:tab/>
      </w:r>
      <w:r>
        <w:rPr>
          <w:rFonts w:ascii="Times New Roman" w:hAnsi="Times New Roman"/>
          <w:noProof/>
          <w:spacing w:val="-2"/>
          <w:lang w:val="bg-BG"/>
        </w:rPr>
        <w:t>Литва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LU</w:t>
      </w:r>
      <w:r>
        <w:rPr>
          <w:rFonts w:ascii="Times New Roman" w:hAnsi="Times New Roman"/>
          <w:noProof/>
          <w:spacing w:val="-2"/>
          <w:lang w:val="ru-RU"/>
        </w:rPr>
        <w:t xml:space="preserve"> </w:t>
      </w:r>
      <w:r>
        <w:rPr>
          <w:rFonts w:ascii="Times New Roman" w:hAnsi="Times New Roman"/>
          <w:noProof/>
          <w:spacing w:val="-2"/>
          <w:lang w:val="ru-RU"/>
        </w:rPr>
        <w:tab/>
      </w:r>
      <w:r>
        <w:rPr>
          <w:rFonts w:ascii="Times New Roman" w:hAnsi="Times New Roman"/>
          <w:noProof/>
          <w:spacing w:val="-2"/>
          <w:lang w:val="bg-BG"/>
        </w:rPr>
        <w:t>Люксембург</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LV</w:t>
      </w:r>
      <w:r>
        <w:rPr>
          <w:rFonts w:ascii="Times New Roman" w:hAnsi="Times New Roman"/>
          <w:noProof/>
          <w:spacing w:val="-2"/>
          <w:lang w:val="ru-RU"/>
        </w:rPr>
        <w:tab/>
      </w:r>
      <w:r>
        <w:rPr>
          <w:rFonts w:ascii="Times New Roman" w:hAnsi="Times New Roman"/>
          <w:noProof/>
          <w:spacing w:val="-2"/>
          <w:lang w:val="bg-BG"/>
        </w:rPr>
        <w:t>Латвия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MT</w:t>
      </w:r>
      <w:r>
        <w:rPr>
          <w:rFonts w:ascii="Times New Roman" w:hAnsi="Times New Roman"/>
          <w:noProof/>
          <w:spacing w:val="-2"/>
          <w:lang w:val="ru-RU"/>
        </w:rPr>
        <w:tab/>
      </w:r>
      <w:r>
        <w:rPr>
          <w:rFonts w:ascii="Times New Roman" w:hAnsi="Times New Roman"/>
          <w:noProof/>
          <w:spacing w:val="-2"/>
          <w:lang w:val="bg-BG"/>
        </w:rPr>
        <w:t>Малта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NL</w:t>
      </w:r>
      <w:r>
        <w:rPr>
          <w:rFonts w:ascii="Times New Roman" w:hAnsi="Times New Roman"/>
          <w:noProof/>
          <w:spacing w:val="-2"/>
          <w:lang w:val="ru-RU"/>
        </w:rPr>
        <w:tab/>
      </w:r>
      <w:r>
        <w:rPr>
          <w:rFonts w:ascii="Times New Roman" w:hAnsi="Times New Roman"/>
          <w:noProof/>
          <w:spacing w:val="-2"/>
          <w:lang w:val="bg-BG"/>
        </w:rPr>
        <w:t>Нидерландия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PL</w:t>
      </w:r>
      <w:r>
        <w:rPr>
          <w:rFonts w:ascii="Times New Roman" w:hAnsi="Times New Roman"/>
          <w:noProof/>
          <w:spacing w:val="-2"/>
          <w:lang w:val="ru-RU"/>
        </w:rPr>
        <w:tab/>
      </w:r>
      <w:r>
        <w:rPr>
          <w:rFonts w:ascii="Times New Roman" w:hAnsi="Times New Roman"/>
          <w:noProof/>
          <w:spacing w:val="-2"/>
          <w:lang w:val="bg-BG"/>
        </w:rPr>
        <w:t>Полша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PT</w:t>
      </w:r>
      <w:r>
        <w:rPr>
          <w:rFonts w:ascii="Times New Roman" w:hAnsi="Times New Roman"/>
          <w:noProof/>
          <w:spacing w:val="-2"/>
          <w:lang w:val="ru-RU"/>
        </w:rPr>
        <w:tab/>
      </w:r>
      <w:r>
        <w:rPr>
          <w:rFonts w:ascii="Times New Roman" w:hAnsi="Times New Roman"/>
          <w:noProof/>
          <w:spacing w:val="-2"/>
          <w:lang w:val="bg-BG"/>
        </w:rPr>
        <w:t>Португалия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SE</w:t>
      </w:r>
      <w:r>
        <w:rPr>
          <w:rFonts w:ascii="Times New Roman" w:hAnsi="Times New Roman"/>
          <w:noProof/>
          <w:spacing w:val="-2"/>
          <w:lang w:val="ru-RU"/>
        </w:rPr>
        <w:tab/>
      </w:r>
      <w:r>
        <w:rPr>
          <w:rFonts w:ascii="Times New Roman" w:hAnsi="Times New Roman"/>
          <w:noProof/>
          <w:spacing w:val="-2"/>
          <w:lang w:val="bg-BG"/>
        </w:rPr>
        <w:t>Швеция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SI</w:t>
      </w:r>
      <w:r>
        <w:rPr>
          <w:rFonts w:ascii="Times New Roman" w:hAnsi="Times New Roman"/>
          <w:noProof/>
          <w:spacing w:val="-2"/>
          <w:lang w:val="ru-RU"/>
        </w:rPr>
        <w:tab/>
      </w:r>
      <w:r>
        <w:rPr>
          <w:rFonts w:ascii="Times New Roman" w:hAnsi="Times New Roman"/>
          <w:noProof/>
          <w:spacing w:val="-2"/>
          <w:lang w:val="bg-BG"/>
        </w:rPr>
        <w:t>Словения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SK</w:t>
      </w:r>
      <w:r>
        <w:rPr>
          <w:rFonts w:ascii="Times New Roman" w:hAnsi="Times New Roman"/>
          <w:noProof/>
          <w:spacing w:val="-2"/>
          <w:lang w:val="ru-RU"/>
        </w:rPr>
        <w:tab/>
      </w:r>
      <w:r>
        <w:rPr>
          <w:rFonts w:ascii="Times New Roman" w:hAnsi="Times New Roman"/>
          <w:noProof/>
          <w:spacing w:val="-2"/>
          <w:lang w:val="bg-BG"/>
        </w:rPr>
        <w:t>Словашка република</w:t>
      </w:r>
    </w:p>
    <w:p>
      <w:pPr>
        <w:tabs>
          <w:tab w:val="left" w:pos="-720"/>
          <w:tab w:val="left" w:pos="567"/>
        </w:tabs>
        <w:suppressAutoHyphens/>
        <w:spacing w:after="0"/>
        <w:jc w:val="both"/>
        <w:rPr>
          <w:rFonts w:ascii="Times New Roman" w:hAnsi="Times New Roman"/>
          <w:noProof/>
          <w:spacing w:val="-2"/>
        </w:rPr>
      </w:pPr>
      <w:r>
        <w:rPr>
          <w:rFonts w:ascii="Times New Roman" w:hAnsi="Times New Roman"/>
          <w:noProof/>
          <w:spacing w:val="-2"/>
          <w:lang w:val="ru-RU"/>
        </w:rPr>
        <w:tab/>
      </w:r>
      <w:r>
        <w:rPr>
          <w:rFonts w:ascii="Times New Roman" w:hAnsi="Times New Roman"/>
          <w:noProof/>
          <w:spacing w:val="-2"/>
        </w:rPr>
        <w:t>UK</w:t>
      </w:r>
      <w:r>
        <w:rPr>
          <w:rFonts w:ascii="Times New Roman" w:hAnsi="Times New Roman"/>
          <w:noProof/>
          <w:spacing w:val="-2"/>
        </w:rPr>
        <w:tab/>
      </w:r>
      <w:r>
        <w:rPr>
          <w:rFonts w:ascii="Times New Roman" w:hAnsi="Times New Roman"/>
          <w:noProof/>
          <w:spacing w:val="-2"/>
          <w:lang w:val="bg-BG"/>
        </w:rPr>
        <w:t>Обединеното кралство</w:t>
      </w:r>
    </w:p>
    <w:p>
      <w:pPr>
        <w:jc w:val="both"/>
        <w:rPr>
          <w:rFonts w:ascii="Times New Roman" w:hAnsi="Times New Roman"/>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type w:val="continuous"/>
          <w:pgSz w:w="11906" w:h="16838" w:code="9"/>
          <w:pgMar w:top="1417" w:right="1417" w:bottom="1417" w:left="1417" w:header="720" w:footer="1440" w:gutter="0"/>
          <w:cols w:num="2" w:sep="1" w:space="709"/>
          <w:titlePg/>
          <w:docGrid w:linePitch="299"/>
        </w:sectPr>
      </w:pPr>
    </w:p>
    <w:p>
      <w:pPr>
        <w:spacing w:after="0"/>
        <w:jc w:val="both"/>
        <w:rPr>
          <w:rFonts w:ascii="Times New Roman" w:hAnsi="Times New Roman"/>
          <w:noProof/>
        </w:rPr>
      </w:pPr>
    </w:p>
    <w:p>
      <w:pPr>
        <w:autoSpaceDE w:val="0"/>
        <w:autoSpaceDN w:val="0"/>
        <w:adjustRightInd w:val="0"/>
        <w:spacing w:after="0"/>
        <w:jc w:val="both"/>
        <w:rPr>
          <w:rFonts w:ascii="Times New Roman" w:hAnsi="Times New Roman"/>
          <w:i/>
          <w:noProof/>
        </w:rPr>
      </w:pPr>
    </w:p>
    <w:p>
      <w:pPr>
        <w:spacing w:after="0"/>
        <w:jc w:val="center"/>
        <w:rPr>
          <w:rFonts w:ascii="Times New Roman" w:hAnsi="Times New Roman"/>
          <w:b/>
          <w:noProof/>
        </w:rPr>
      </w:pPr>
      <w:r>
        <w:rPr>
          <w:rFonts w:ascii="Times New Roman" w:hAnsi="Times New Roman"/>
          <w:b/>
          <w:noProof/>
        </w:rPr>
        <w:t>__________</w:t>
      </w:r>
    </w:p>
    <w:p>
      <w:pPr>
        <w:spacing w:after="0"/>
        <w:jc w:val="both"/>
        <w:rPr>
          <w:rFonts w:ascii="Times New Roman" w:hAnsi="Times New Roman"/>
          <w:b/>
          <w:noProof/>
        </w:rPr>
      </w:pPr>
    </w:p>
    <w:p>
      <w:pPr>
        <w:spacing w:after="0"/>
        <w:jc w:val="both"/>
        <w:rPr>
          <w:rFonts w:ascii="Times New Roman" w:hAnsi="Times New Roman"/>
          <w:b/>
          <w:noProof/>
        </w:rPr>
      </w:pPr>
    </w:p>
    <w:p>
      <w:pPr>
        <w:spacing w:after="0" w:line="240" w:lineRule="auto"/>
        <w:jc w:val="center"/>
        <w:rPr>
          <w:rFonts w:ascii="Times New Roman" w:hAnsi="Times New Roman"/>
          <w:i/>
          <w:noProof/>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3890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rPr>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7508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rPr>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8898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5602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rPr>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6823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firstLine="0"/>
        <w:rPr>
          <w:szCs w:val="24"/>
          <w:lang w:val="ru-RU"/>
        </w:rPr>
      </w:pPr>
      <w:r>
        <w:rPr>
          <w:rStyle w:val="FootnoteReference"/>
          <w:szCs w:val="24"/>
        </w:rPr>
        <w:footnoteRef/>
      </w:r>
      <w:r>
        <w:rPr>
          <w:szCs w:val="24"/>
          <w:lang w:val="ru-RU"/>
        </w:rPr>
        <w:t xml:space="preserve"> </w:t>
      </w:r>
      <w:r>
        <w:rPr>
          <w:szCs w:val="24"/>
          <w:lang w:val="bg-BG"/>
        </w:rPr>
        <w:t>Настоящото споразумение не следва да се тълкува по начин, който би засегнал резултата от отделните обсъждания в рамките на СТО относно класифицирането на телекомуникационните услуги (основните далекосъобщения и услугите с добавена стойност).</w:t>
      </w:r>
      <w:r>
        <w:rPr>
          <w:szCs w:val="24"/>
          <w:lang w:val="ru-RU"/>
        </w:rPr>
        <w:t xml:space="preserve"> </w:t>
      </w:r>
    </w:p>
  </w:footnote>
  <w:footnote w:id="2">
    <w:p>
      <w:pPr>
        <w:pStyle w:val="FootnoteText"/>
        <w:ind w:firstLine="0"/>
        <w:rPr>
          <w:szCs w:val="24"/>
          <w:lang w:val="ru-RU"/>
        </w:rPr>
      </w:pPr>
      <w:r>
        <w:rPr>
          <w:rStyle w:val="FootnoteReference"/>
          <w:szCs w:val="24"/>
        </w:rPr>
        <w:footnoteRef/>
      </w:r>
      <w:r>
        <w:rPr>
          <w:szCs w:val="24"/>
          <w:lang w:val="ru-RU"/>
        </w:rPr>
        <w:t xml:space="preserve"> </w:t>
      </w:r>
      <w:r>
        <w:rPr>
          <w:szCs w:val="24"/>
          <w:lang w:val="bg-BG"/>
        </w:rPr>
        <w:t>Настоящото споразумение не следва да се тълкува по начин, който би засегнал резултата от отделните обсъждания в рамките на СТО относно класифицирането на телекомуникационните услуги (основните далекосъобщения и услугите с добавена стойност).</w:t>
      </w:r>
      <w:r>
        <w:rPr>
          <w:szCs w:val="24"/>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rPr>
        <w:szCs w:val="24"/>
      </w:rPr>
    </w:pPr>
  </w:p>
  <w:p>
    <w:pPr>
      <w:pStyle w:val="Header"/>
      <w:tabs>
        <w:tab w:val="clear" w:pos="4536"/>
        <w:tab w:val="left" w:pos="1440"/>
      </w:tabs>
      <w:rPr>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rPr>
        <w:szCs w:val="24"/>
      </w:rPr>
    </w:pPr>
    <w:r>
      <w:rPr>
        <w:szCs w:val="24"/>
      </w:rPr>
      <w:t xml:space="preserve"> </w:t>
    </w:r>
  </w:p>
  <w:p>
    <w:pPr>
      <w:pStyle w:val="Header"/>
      <w:tabs>
        <w:tab w:val="clear" w:pos="4536"/>
        <w:tab w:val="right" w:pos="9026"/>
      </w:tabs>
      <w:rPr>
        <w:szCs w:val="24"/>
      </w:rPr>
    </w:pPr>
  </w:p>
  <w:p>
    <w:pPr>
      <w:pStyle w:val="Header"/>
      <w:tabs>
        <w:tab w:val="clear" w:pos="4536"/>
        <w:tab w:val="right" w:pos="9026"/>
      </w:tabs>
      <w:rPr>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pPr>
  </w:p>
  <w:p>
    <w:pPr>
      <w:pStyle w:val="Header"/>
      <w:tabs>
        <w:tab w:val="clear" w:pos="4536"/>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pPr>
    <w:r>
      <w:t xml:space="preserve"> </w:t>
    </w:r>
  </w:p>
  <w:p>
    <w:pPr>
      <w:pStyle w:val="Header"/>
      <w:tabs>
        <w:tab w:val="clear" w:pos="4536"/>
        <w:tab w:val="right" w:pos="9026"/>
      </w:tabs>
    </w:pPr>
  </w:p>
  <w:p>
    <w:pPr>
      <w:pStyle w:val="Header"/>
      <w:tabs>
        <w:tab w:val="clear" w:pos="4536"/>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rPr>
        <w:szCs w:val="24"/>
      </w:rPr>
    </w:pPr>
  </w:p>
  <w:p>
    <w:pPr>
      <w:pStyle w:val="Header"/>
      <w:tabs>
        <w:tab w:val="clear" w:pos="4536"/>
        <w:tab w:val="left" w:pos="1440"/>
      </w:tabs>
      <w:rPr>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rPr>
        <w:szCs w:val="24"/>
      </w:rPr>
    </w:pPr>
    <w:r>
      <w:rPr>
        <w:szCs w:val="24"/>
      </w:rPr>
      <w:t xml:space="preserve"> </w:t>
    </w:r>
  </w:p>
  <w:p>
    <w:pPr>
      <w:pStyle w:val="Header"/>
      <w:tabs>
        <w:tab w:val="clear" w:pos="4536"/>
        <w:tab w:val="right" w:pos="9026"/>
      </w:tabs>
      <w:rPr>
        <w:szCs w:val="24"/>
      </w:rPr>
    </w:pPr>
  </w:p>
  <w:p>
    <w:pPr>
      <w:pStyle w:val="Header"/>
      <w:tabs>
        <w:tab w:val="clear" w:pos="4536"/>
        <w:tab w:val="right" w:pos="9026"/>
      </w:tabs>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006CE0"/>
    <w:lvl w:ilvl="0">
      <w:numFmt w:val="bullet"/>
      <w:lvlText w:val="*"/>
      <w:lvlJc w:val="left"/>
      <w:pPr>
        <w:ind w:left="0" w:firstLine="0"/>
      </w:pPr>
    </w:lvl>
  </w:abstractNum>
  <w:abstractNum w:abstractNumId="1">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32C900D8"/>
    <w:multiLevelType w:val="multilevel"/>
    <w:tmpl w:val="262827C4"/>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720"/>
        </w:tabs>
        <w:ind w:left="720" w:hanging="720"/>
      </w:pPr>
    </w:lvl>
    <w:lvl w:ilvl="2">
      <w:start w:val="1"/>
      <w:numFmt w:val="decimal"/>
      <w:pStyle w:val="Heading3"/>
      <w:lvlText w:val="%3."/>
      <w:lvlJc w:val="left"/>
      <w:pPr>
        <w:tabs>
          <w:tab w:val="num" w:pos="720"/>
        </w:tabs>
        <w:ind w:left="720" w:hanging="720"/>
      </w:pPr>
    </w:lvl>
    <w:lvl w:ilvl="3">
      <w:start w:val="1"/>
      <w:numFmt w:val="lowerLetter"/>
      <w:pStyle w:val="Heading4"/>
      <w:lvlText w:val="(%4)"/>
      <w:lvlJc w:val="left"/>
      <w:pPr>
        <w:tabs>
          <w:tab w:val="num" w:pos="720"/>
        </w:tabs>
        <w:ind w:left="720" w:hanging="720"/>
      </w:pPr>
    </w:lvl>
    <w:lvl w:ilvl="4">
      <w:start w:val="1"/>
      <w:numFmt w:val="lowerRoman"/>
      <w:pStyle w:val="Heading5"/>
      <w:lvlText w:val="(%5)"/>
      <w:lvlJc w:val="left"/>
      <w:pPr>
        <w:tabs>
          <w:tab w:val="num" w:pos="720"/>
        </w:tabs>
        <w:ind w:left="720" w:hanging="720"/>
      </w:pPr>
    </w:lvl>
    <w:lvl w:ilvl="5">
      <w:start w:val="1"/>
      <w:numFmt w:val="decimal"/>
      <w:lvlRestart w:val="0"/>
      <w:pStyle w:val="BodyText"/>
      <w:lvlText w:val="%6."/>
      <w:lvlJc w:val="left"/>
      <w:pPr>
        <w:tabs>
          <w:tab w:val="num" w:pos="720"/>
        </w:tabs>
        <w:ind w:left="0" w:firstLine="0"/>
      </w:pPr>
    </w:lvl>
    <w:lvl w:ilvl="6">
      <w:start w:val="1"/>
      <w:numFmt w:val="lowerLetter"/>
      <w:lvlText w:val="(%7)"/>
      <w:lvlJc w:val="left"/>
      <w:pPr>
        <w:tabs>
          <w:tab w:val="num" w:pos="1440"/>
        </w:tabs>
        <w:ind w:left="1440" w:hanging="720"/>
      </w:pPr>
    </w:lvl>
    <w:lvl w:ilvl="7">
      <w:start w:val="1"/>
      <w:numFmt w:val="lowerRoman"/>
      <w:pStyle w:val="BodyText2"/>
      <w:lvlText w:val="(%8)"/>
      <w:lvlJc w:val="left"/>
      <w:pPr>
        <w:tabs>
          <w:tab w:val="num" w:pos="2160"/>
        </w:tabs>
        <w:ind w:left="2160" w:hanging="720"/>
      </w:pPr>
    </w:lvl>
    <w:lvl w:ilvl="8">
      <w:start w:val="1"/>
      <w:numFmt w:val="none"/>
      <w:pStyle w:val="BodyText3"/>
      <w:lvlText w:val="-"/>
      <w:lvlJc w:val="left"/>
      <w:pPr>
        <w:tabs>
          <w:tab w:val="num" w:pos="2160"/>
        </w:tabs>
        <w:ind w:left="2160" w:hanging="7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2"/>
  </w:num>
  <w:num w:numId="6">
    <w:abstractNumId w:val="1"/>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lvlOverride w:ilvl="0">
      <w:lvl w:ilvl="0">
        <w:numFmt w:val="bullet"/>
        <w:lvlText w:val=""/>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1"/>
    <w:docVar w:name="LW_ANNEX_NBR_LAST" w:val="11"/>
    <w:docVar w:name="LW_ANNEX_UNIQUE" w:val="0"/>
    <w:docVar w:name="LW_CORRIGENDUM" w:val="&lt;UNUSED&gt;"/>
    <w:docVar w:name="LW_COVERPAGE_EXISTS" w:val="True"/>
    <w:docVar w:name="LW_COVERPAGE_GUID" w:val="C9AFD658-4AAB-4CCC-9566-DE9921819873"/>
    <w:docVar w:name="LW_COVERPAGE_TYPE" w:val="1"/>
    <w:docVar w:name="LW_CROSSREFERENCE" w:val="&lt;UNUSED&gt;"/>
    <w:docVar w:name="LW_DocType" w:val="NORMAL"/>
    <w:docVar w:name="LW_EMISSION" w:val="8.11.2018"/>
    <w:docVar w:name="LW_EMISSION_ISODATE" w:val="2018-11-08"/>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9?\u1082?\u1083?\u1102?\u1095?\u1074?\u1072?\u1085?\u1077?\u1090?\u1086? \u1085?\u1072? \u1089?\u1098?\u1086?\u1090?\u1074?\u1077?\u1090?\u1085?\u1080?\u1090?\u1077? \u1089?\u1087?\u1086?\u1088?\u1072?\u1079?\u1091?\u1084?\u1077?\u1085?\u1080?\u1103? \u1089?\u1098?\u1075?\u1083?\u1072?\u1089?\u1085?\u1086? \u1095?\u1083?\u1077?\u1085? XXI \u1086?\u1090? \u1043?\u1040?\u1058?\u1057? \u1089? \u1040?\u1088?\u1078?\u1077?\u1085?\u1090?\u1080?\u1085?\u1072?, \u1040?\u1074?\u1089?\u1090?\u1088?\u1072?\u1083?\u1080?\u1103?, \u1041?\u1088?\u1072?\u1079?\u1080?\u1083?\u1080?\u1103?, \u1050?\u1072?\u1085?\u1072?\u1076?\u1072?, \u1050?\u1080?\u1090?\u1072?\u1081?, \u1054?\u1090?\u1076?\u1077?\u1083?\u1085?\u1072?\u1090?\u1072? \u1084?\u1080?\u1090?\u1085?\u1080?\u1095?\u1077?\u1089?\u1082?\u1072? \u1090?\u1077?\u1088?\u1080?\u1090?\u1086?\u1088?\u1080?\u1103? \u1085?\u1072? \u1058?\u1072?\u1081?\u1074?\u1072?\u1085?, \u1055?\u1077?\u1085?\u1075?\u1091?, \u1050?\u1080?\u1085?\u1084?\u1077?\u1085? \u1080? \u1052?\u1072?\u1090?\u1094?\u1091? (\u8222?\u1050?\u1080?\u1090?\u1072?\u1081?\u1089?\u1082?\u1080? \u1058?\u1072?\u1081?\u1087?\u1077?\u8220?), \u1050?\u1086?\u1083?\u1091?\u1084?\u1073?\u1080?\u1103?, \u1050?\u1091?\u1073?\u1072?, \u1045?\u1082?\u1074?\u1072?\u1076?\u1086?\u1088?, \u1061?\u1086?\u1085?\u1075? \u1050?\u1086?\u1085?\u1075? (\u1050?\u1080?\u1090?\u1072?\u1081?), \u1048?\u1085?\u1076?\u1080?\u1103?, \u1071?\u1087?\u1086?\u1085?\u1080?\u1103?, \u1050?\u1086?\u1088?\u1077?\u1103?, \u1053?\u1086?\u1074?\u1072? \u1047?\u1077?\u1083?\u1072?\u1085?\u1076?\u1080?\u1103?, \u1060?\u1080?\u1083?\u1080?\u1087?\u1080?\u1085?\u1080?\u1090?\u1077?, \u1064?\u1074?\u1077?\u1081?\u1094?\u1072?\u1088?\u1080?\u1103? \u1080? \u1057?\u1098?\u1077?\u1076?\u1080?\u1085?\u1077?\u1085?\u1080?\u1090?\u1077? \u1065?\u1072?\u1090?\u1080? \u1086?\u1090?\u1085?\u1086?\u1089?\u1085?\u1086? \u1085?\u1077?\u1086?\u1073?\u1093?\u1086?\u1076?\u1080?\u1084?\u1080?\u1090?\u1077? \u1082?\u1086?\u1084?\u1087?\u1077?\u1085?\u1089?\u1072?\u1090?\u1086?\u1088?\u1085?\u1080? \u1082?\u1086?\u1088?\u1077?\u1082?\u1094?\u1080?\u1080? \u1074? \u1088?\u1077?\u1079?\u1091?\u1083?\u1090?\u1072?\u1090? \u1085?\u1072? \u1087?\u1088?\u1080?\u1089?\u1098?\u1077?\u1076?\u1080?\u1085?\u1103?\u1074?\u1072?\u1085?\u1077?\u1090?\u1086? \u1082?\u1098?\u1084? \u1045?\u1074?\u1088?\u1086?\u1087?\u1077?\u1081?\u1089?\u1082?\u1080?\u1103? \u1089?\u1098?\u1102?\u1079? \u1085?\u1072? \u1063?\u1077?\u1096?\u1082?\u1072?\u1090?\u1072? \u1088?\u1077?\u1087?\u1091?\u1073?\u1083?\u1080?\u1082?\u1072?, \u1056?\u1077?\u1087?\u1091?\u1073?\u1083?\u1080?\u1082?\u1072? \u1045?\u1089?\u1090?\u1086?\u1085?\u1080?\u1103?, \u1056?\u1077?\u1087?\u1091?\u1073?\u1083?\u1080?\u1082?\u1072? \u1050?\u1080?\u1087?\u1098?\u1088?, \u1056?\u1077?\u1087?\u1091?\u1073?\u1083?\u1080?\u1082?\u1072? \u1051?\u1072?\u1090?\u1074?\u1080?\u1103?, \u1056?\u1077?\u1087?\u1091?\u1073?\u1083?\u1080?\u1082?\u1072? \u1051?\u1080?\u1090?\u1074?\u1072?, \u1056?\u1077?\u1087?\u1091?\u1073?\u1083?\u1080?\u1082?\u1072? \u1059?\u1085?\u1075?\u1072?\u1088?\u1080?\u1103?, \u1056?\u1077?\u1087?\u1091?\u1073?\u1083?\u1080?\u1082?\u1072? \u1052?\u1072?\u1083?\u1090?\u1072?, \u1056?\u1077?\u1087?\u1091?\u1073?\u1083?\u1080?\u1082?\u1072? \u1040?\u1074?\u1089?\u1090?\u1088?\u1080?\u1103?, \u1056?\u1077?\u1087?\u1091?\u1073?\u1083?\u1080?\u1082?\u1072? \u1055?\u1086?\u1083?\u1096?\u1072?, \u1056?\u1077?\u1087?\u1091?\u1073?\u1083?\u1080?\u1082?\u1072? \u1057?\u1083?\u1086?\u1074?\u1077?\u1085?\u1080?\u1103?, \u1057?\u1083?\u1086?\u1074?\u1072?\u1096?\u1082?\u1072?\u1090?\u1072? \u1088?\u1077?\u1087?\u1091?\u1073?\u1083?\u1080?\u1082?\u1072?, \u1056?\u1077?\u1087?\u1091?\u1073?\u1083?\u1080?\u1082?\u1072? \u1060?\u1080?\u1085?\u1083?\u1072?\u1085?\u1076?\u1080?\u1103? \u1080? \u1050?\u1088?\u1072?\u1083?\u1089?\u1090?\u1074?\u1086? \u1064?\u1074?\u1077?\u1094?\u1080?\u1103?"/>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aps/>
      <w:kern w:val="32"/>
      <w:sz w:val="22"/>
      <w:szCs w:val="22"/>
      <w:lang w:val="en-GB" w:eastAsia="en-US" w:bidi="ar-SA"/>
    </w:rPr>
  </w:style>
  <w:style w:type="character" w:customStyle="1" w:styleId="Heading2Char">
    <w:name w:val="Heading 2 Char"/>
    <w:link w:val="Heading2"/>
    <w:semiHidden/>
    <w:rPr>
      <w:smallCaps/>
      <w:sz w:val="22"/>
      <w:lang w:val="en-GB" w:eastAsia="en-US" w:bidi="ar-SA"/>
    </w:rPr>
  </w:style>
  <w:style w:type="character" w:customStyle="1" w:styleId="Heading3Char">
    <w:name w:val="Heading 3 Char"/>
    <w:link w:val="Heading3"/>
    <w:rPr>
      <w:b/>
      <w:sz w:val="22"/>
      <w:lang w:val="en-GB" w:eastAsia="en-US" w:bidi="ar-SA"/>
    </w:rPr>
  </w:style>
  <w:style w:type="character" w:customStyle="1" w:styleId="Heading4Char">
    <w:name w:val="Heading 4 Char"/>
    <w:link w:val="Heading4"/>
    <w:rPr>
      <w:sz w:val="22"/>
      <w:lang w:val="en-GB" w:eastAsia="en-US" w:bidi="ar-SA"/>
    </w:rPr>
  </w:style>
  <w:style w:type="character" w:customStyle="1" w:styleId="Heading5Char">
    <w:name w:val="Heading 5 Char"/>
    <w:link w:val="Heading5"/>
    <w:semiHidden/>
    <w:rPr>
      <w:i/>
      <w:sz w:val="22"/>
      <w:lang w:val="en-GB" w:eastAsia="en-US" w:bidi="ar-SA"/>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rPr>
      <w:sz w:val="22"/>
      <w:lang w:val="en-GB" w:eastAsia="en-US" w:bidi="ar-SA"/>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sz w:val="22"/>
      <w:lang w:val="en-GB" w:eastAsia="en-US" w:bidi="ar-SA"/>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sz w:val="22"/>
      <w:lang w:val="en-GB" w:eastAsia="en-US" w:bidi="ar-SA"/>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character" w:customStyle="1" w:styleId="tw4winMark">
    <w:name w:val="tw4winMark"/>
    <w:rPr>
      <w:rFonts w:ascii="Courier New" w:hAnsi="Courier New"/>
      <w:vanish/>
      <w:color w:val="800080"/>
      <w:vertAlign w:val="sub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2"/>
      <w:szCs w:val="22"/>
      <w:lang w:eastAsia="en-US"/>
    </w:rPr>
  </w:style>
  <w:style w:type="character" w:customStyle="1" w:styleId="HeaderChar">
    <w:name w:val="Header Char"/>
    <w:basedOn w:val="DefaultParagraphFont"/>
    <w:link w:val="Header"/>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aps/>
      <w:kern w:val="32"/>
      <w:sz w:val="22"/>
      <w:szCs w:val="22"/>
      <w:lang w:val="en-GB" w:eastAsia="en-US" w:bidi="ar-SA"/>
    </w:rPr>
  </w:style>
  <w:style w:type="character" w:customStyle="1" w:styleId="Heading2Char">
    <w:name w:val="Heading 2 Char"/>
    <w:link w:val="Heading2"/>
    <w:semiHidden/>
    <w:rPr>
      <w:smallCaps/>
      <w:sz w:val="22"/>
      <w:lang w:val="en-GB" w:eastAsia="en-US" w:bidi="ar-SA"/>
    </w:rPr>
  </w:style>
  <w:style w:type="character" w:customStyle="1" w:styleId="Heading3Char">
    <w:name w:val="Heading 3 Char"/>
    <w:link w:val="Heading3"/>
    <w:rPr>
      <w:b/>
      <w:sz w:val="22"/>
      <w:lang w:val="en-GB" w:eastAsia="en-US" w:bidi="ar-SA"/>
    </w:rPr>
  </w:style>
  <w:style w:type="character" w:customStyle="1" w:styleId="Heading4Char">
    <w:name w:val="Heading 4 Char"/>
    <w:link w:val="Heading4"/>
    <w:rPr>
      <w:sz w:val="22"/>
      <w:lang w:val="en-GB" w:eastAsia="en-US" w:bidi="ar-SA"/>
    </w:rPr>
  </w:style>
  <w:style w:type="character" w:customStyle="1" w:styleId="Heading5Char">
    <w:name w:val="Heading 5 Char"/>
    <w:link w:val="Heading5"/>
    <w:semiHidden/>
    <w:rPr>
      <w:i/>
      <w:sz w:val="22"/>
      <w:lang w:val="en-GB" w:eastAsia="en-US" w:bidi="ar-SA"/>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rPr>
      <w:sz w:val="22"/>
      <w:lang w:val="en-GB" w:eastAsia="en-US" w:bidi="ar-SA"/>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sz w:val="22"/>
      <w:lang w:val="en-GB" w:eastAsia="en-US" w:bidi="ar-SA"/>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sz w:val="22"/>
      <w:lang w:val="en-GB" w:eastAsia="en-US" w:bidi="ar-SA"/>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character" w:customStyle="1" w:styleId="tw4winMark">
    <w:name w:val="tw4winMark"/>
    <w:rPr>
      <w:rFonts w:ascii="Courier New" w:hAnsi="Courier New"/>
      <w:vanish/>
      <w:color w:val="800080"/>
      <w:vertAlign w:val="sub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2"/>
      <w:szCs w:val="22"/>
      <w:lang w:eastAsia="en-US"/>
    </w:rPr>
  </w:style>
  <w:style w:type="character" w:customStyle="1" w:styleId="HeaderChar">
    <w:name w:val="Header Char"/>
    <w:basedOn w:val="DefaultParagraphFont"/>
    <w:link w:val="Header"/>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FFE6A-1D6F-4E5E-AA72-B5FD9E33F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3668</Words>
  <Characters>20361</Characters>
  <Application>Microsoft Office Word</Application>
  <DocSecurity>0</DocSecurity>
  <Lines>442</Lines>
  <Paragraphs>153</Paragraphs>
  <ScaleCrop>false</ScaleCrop>
  <HeadingPairs>
    <vt:vector size="2" baseType="variant">
      <vt:variant>
        <vt:lpstr>Title</vt:lpstr>
      </vt:variant>
      <vt:variant>
        <vt:i4>1</vt:i4>
      </vt:variant>
    </vt:vector>
  </HeadingPairs>
  <TitlesOfParts>
    <vt:vector size="1" baseType="lpstr">
      <vt:lpstr>I</vt:lpstr>
    </vt:vector>
  </TitlesOfParts>
  <Company>European Commission</Company>
  <LinksUpToDate>false</LinksUpToDate>
  <CharactersWithSpaces>23876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Ewa ZAJDEL</dc:creator>
  <cp:lastModifiedBy>WES PDFC Administrator</cp:lastModifiedBy>
  <cp:revision>12</cp:revision>
  <dcterms:created xsi:type="dcterms:W3CDTF">2018-08-06T12:51:00Z</dcterms:created>
  <dcterms:modified xsi:type="dcterms:W3CDTF">2018-10-30T14:43:00Z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11</vt:lpwstr>
  </property>
  <property fmtid="{D5CDD505-2E9C-101B-9397-08002B2CF9AE}" pid="4" name="Last annex">
    <vt:lpwstr>11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