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21E831B-8C87-46A0-9211-472D1B665A2D"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line="280" w:lineRule="auto"/>
        <w:jc w:val="center"/>
        <w:rPr>
          <w:rFonts w:ascii="Times New Roman" w:hAnsi="Times New Roman"/>
          <w:b/>
          <w:noProof/>
          <w:szCs w:val="24"/>
          <w:lang w:val="fr-FR"/>
        </w:rPr>
      </w:pPr>
      <w:bookmarkStart w:id="1" w:name="_GoBack"/>
      <w:bookmarkEnd w:id="1"/>
      <w:r>
        <w:rPr>
          <w:rFonts w:ascii="Times New Roman" w:hAnsi="Times New Roman"/>
          <w:b/>
          <w:noProof/>
          <w:szCs w:val="24"/>
          <w:lang w:val="fr-FR"/>
        </w:rPr>
        <w:lastRenderedPageBreak/>
        <w:t>TRADUCTION OFFICIELLE</w:t>
      </w:r>
    </w:p>
    <w:p>
      <w:pPr>
        <w:spacing w:line="280" w:lineRule="auto"/>
        <w:jc w:val="center"/>
        <w:rPr>
          <w:rFonts w:ascii="Times New Roman" w:hAnsi="Times New Roman"/>
          <w:b/>
          <w:noProof/>
          <w:szCs w:val="24"/>
          <w:lang w:val="fr-FR"/>
        </w:rPr>
      </w:pPr>
      <w:r>
        <w:rPr>
          <w:rFonts w:ascii="Times New Roman" w:hAnsi="Times New Roman"/>
          <w:b/>
          <w:noProof/>
          <w:szCs w:val="24"/>
          <w:lang w:val="fr-FR"/>
        </w:rPr>
        <w:t xml:space="preserve">Lettre commune des Communautés européennes et de leurs États membres, d’une part, et de l’Inde, d’autre part, présentée conformément au paragraphe 5 des </w:t>
      </w:r>
      <w:r>
        <w:rPr>
          <w:rFonts w:ascii="Times New Roman" w:hAnsi="Times New Roman"/>
          <w:b/>
          <w:i/>
          <w:noProof/>
          <w:szCs w:val="24"/>
          <w:lang w:val="fr-FR"/>
        </w:rPr>
        <w:t>Procédures pour la mise en œuvre de l</w:t>
      </w:r>
      <w:r>
        <w:rPr>
          <w:rFonts w:ascii="Times New Roman" w:hAnsi="Times New Roman"/>
          <w:b/>
          <w:noProof/>
          <w:szCs w:val="24"/>
          <w:lang w:val="fr-FR"/>
        </w:rPr>
        <w:t>’</w:t>
      </w:r>
      <w:r>
        <w:rPr>
          <w:rFonts w:ascii="Times New Roman" w:hAnsi="Times New Roman"/>
          <w:b/>
          <w:i/>
          <w:noProof/>
          <w:szCs w:val="24"/>
          <w:lang w:val="fr-FR"/>
        </w:rPr>
        <w:t>article XXI de l</w:t>
      </w:r>
      <w:r>
        <w:rPr>
          <w:rFonts w:ascii="Times New Roman" w:hAnsi="Times New Roman"/>
          <w:b/>
          <w:noProof/>
          <w:szCs w:val="24"/>
          <w:lang w:val="fr-FR"/>
        </w:rPr>
        <w:t>’</w:t>
      </w:r>
      <w:r>
        <w:rPr>
          <w:rFonts w:ascii="Times New Roman" w:hAnsi="Times New Roman"/>
          <w:b/>
          <w:i/>
          <w:noProof/>
          <w:szCs w:val="24"/>
          <w:lang w:val="fr-FR"/>
        </w:rPr>
        <w:t>Accord général sur le commerce des services (AGCS)</w:t>
      </w:r>
      <w:r>
        <w:rPr>
          <w:rFonts w:ascii="Times New Roman" w:hAnsi="Times New Roman"/>
          <w:b/>
          <w:noProof/>
          <w:szCs w:val="24"/>
          <w:lang w:val="fr-FR"/>
        </w:rPr>
        <w:t xml:space="preserve"> (document S/L/80 du 29 octobre 1999)</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rFonts w:ascii="Times New Roman" w:hAnsi="Times New Roman"/>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l’Inde a présenté une déclaration d’intérêt conformément à l’article XXI, paragraphe 2, point a), de l’AGCS (référencées respectivement sous le n° S/L/163 pour ce qui est du document S/SECRET/8 et sous le n° S/L/221 pour ce qui est du document S/SECRET/9). Les CE et l’Inde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l’Inde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l’Inde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w:t>
      </w:r>
      <w:r>
        <w:rPr>
          <w:noProof/>
          <w:szCs w:val="24"/>
          <w:lang w:val="fr-FR"/>
        </w:rPr>
        <w:lastRenderedPageBreak/>
        <w:t xml:space="preserve">les retraits notifiés par les CE dans les documents S/SECRET/8 et S/SECRET/9 et les compensations convenues entre les CE et l’Inde.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l’Inde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spacing w:line="280" w:lineRule="auto"/>
        <w:jc w:val="center"/>
        <w:rPr>
          <w:rFonts w:ascii="Times New Roman" w:hAnsi="Times New Roman"/>
          <w:b/>
          <w:noProof/>
          <w:szCs w:val="24"/>
          <w:lang w:val="fr-FR"/>
        </w:rPr>
      </w:pPr>
      <w:r>
        <w:rPr>
          <w:rFonts w:ascii="Times New Roman" w:hAnsi="Times New Roman"/>
          <w:b/>
          <w:noProof/>
          <w:szCs w:val="24"/>
          <w:lang w:val="fr-FR"/>
        </w:rPr>
        <w:br w:type="page"/>
        <w:t>Rapport sur les résultats des négociations conduites conformément à l’article XXI, paragraphe 2, point a), de l’Accord général sur le commerce des services (AGCS)</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rFonts w:ascii="Times New Roman" w:hAnsi="Times New Roman"/>
          <w:b/>
          <w:noProof/>
          <w:szCs w:val="24"/>
          <w:lang w:val="fr-FR"/>
        </w:rPr>
      </w:pPr>
    </w:p>
    <w:p>
      <w:pPr>
        <w:pStyle w:val="BodyText"/>
        <w:numPr>
          <w:ilvl w:val="0"/>
          <w:numId w:val="0"/>
        </w:numPr>
        <w:rPr>
          <w:noProof/>
          <w:lang w:val="fr-FR"/>
        </w:rPr>
      </w:pPr>
      <w:r>
        <w:rPr>
          <w:noProof/>
          <w:lang w:val="fr-FR"/>
        </w:rPr>
        <w:t xml:space="preserve">Conformément au paragraphe 5 des </w:t>
      </w:r>
      <w:r>
        <w:rPr>
          <w:i/>
          <w:noProof/>
          <w:lang w:val="fr-FR"/>
        </w:rPr>
        <w:t>Procédures pour la mise en œuvre de l</w:t>
      </w:r>
      <w:r>
        <w:rPr>
          <w:noProof/>
          <w:lang w:val="fr-FR"/>
        </w:rPr>
        <w:t>’</w:t>
      </w:r>
      <w:r>
        <w:rPr>
          <w:i/>
          <w:noProof/>
          <w:lang w:val="fr-FR"/>
        </w:rPr>
        <w:t>article</w:t>
      </w:r>
      <w:r>
        <w:rPr>
          <w:noProof/>
          <w:lang w:val="fr-FR"/>
        </w:rPr>
        <w:t> </w:t>
      </w:r>
      <w:r>
        <w:rPr>
          <w:i/>
          <w:noProof/>
          <w:lang w:val="fr-FR"/>
        </w:rPr>
        <w:t>XXI de l</w:t>
      </w:r>
      <w:r>
        <w:rPr>
          <w:noProof/>
          <w:lang w:val="fr-FR"/>
        </w:rPr>
        <w:t>’</w:t>
      </w:r>
      <w:r>
        <w:rPr>
          <w:i/>
          <w:noProof/>
          <w:lang w:val="fr-FR"/>
        </w:rPr>
        <w:t>Accord général sur le commerce des services (AGCS)</w:t>
      </w:r>
      <w:r>
        <w:rPr>
          <w:noProof/>
          <w:lang w:val="fr-FR"/>
        </w:rPr>
        <w:t xml:space="preserve"> (document S/L/80 du 29 octobre 1999), les Communautés européennes présentent le rapport ci-après. </w:t>
      </w:r>
    </w:p>
    <w:p>
      <w:pPr>
        <w:pStyle w:val="BodyText"/>
        <w:numPr>
          <w:ilvl w:val="5"/>
          <w:numId w:val="9"/>
        </w:numPr>
        <w:rPr>
          <w:noProof/>
        </w:rPr>
      </w:pPr>
      <w:r>
        <w:rPr>
          <w:noProof/>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numPr>
          <w:ilvl w:val="5"/>
          <w:numId w:val="9"/>
        </w:numPr>
        <w:rPr>
          <w:noProof/>
          <w:lang w:val="fr-FR"/>
        </w:rPr>
      </w:pPr>
      <w:r>
        <w:rPr>
          <w:noProof/>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numPr>
          <w:ilvl w:val="5"/>
          <w:numId w:val="9"/>
        </w:numPr>
        <w:rPr>
          <w:noProof/>
          <w:lang w:val="fr-FR"/>
        </w:rPr>
      </w:pPr>
      <w:r>
        <w:rPr>
          <w:noProof/>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numPr>
          <w:ilvl w:val="5"/>
          <w:numId w:val="9"/>
        </w:numPr>
        <w:rPr>
          <w:noProof/>
          <w:lang w:val="fr-FR"/>
        </w:rPr>
      </w:pPr>
      <w:r>
        <w:rPr>
          <w:noProof/>
          <w:lang w:val="fr-FR"/>
        </w:rPr>
        <w:t>L’Inde a présenté deux déclarations d’intérêt conformément à l’article XXI, paragraphe 2, point a), de l’AGCS (référencées respectivement sous le n° S/L/163 pour ce qui est du document S/SECRET/8 et sous le n° S/L/221 pour ce qui est du document S/SECRET/9). Les CE et l’Inde ont entamé des négociations conformément à l’article XXI, paragraphe 2, point a), de l’AGCS en ce qui concerne les documents S/SECRET/8 et S/SECRET/9.</w:t>
      </w:r>
    </w:p>
    <w:p>
      <w:pPr>
        <w:pStyle w:val="BodyText"/>
        <w:numPr>
          <w:ilvl w:val="5"/>
          <w:numId w:val="9"/>
        </w:numPr>
        <w:rPr>
          <w:noProof/>
          <w:lang w:val="fr-FR"/>
        </w:rPr>
      </w:pPr>
      <w:r>
        <w:rPr>
          <w:noProof/>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vertAlign w:val="superscript"/>
          <w:lang w:val="fr-FR"/>
        </w:rPr>
        <w:t>er</w:t>
      </w:r>
      <w:r>
        <w:rPr>
          <w:noProof/>
          <w:lang w:val="fr-FR"/>
        </w:rPr>
        <w:t> juin 2006, 1</w:t>
      </w:r>
      <w:r>
        <w:rPr>
          <w:noProof/>
          <w:vertAlign w:val="superscript"/>
          <w:lang w:val="fr-FR"/>
        </w:rPr>
        <w:t>er</w:t>
      </w:r>
      <w:r>
        <w:rPr>
          <w:noProof/>
          <w:lang w:val="fr-FR"/>
        </w:rPr>
        <w:t xml:space="preserve"> juillet et 17 juillet 2006. </w:t>
      </w:r>
    </w:p>
    <w:p>
      <w:pPr>
        <w:pStyle w:val="BodyText"/>
        <w:numPr>
          <w:ilvl w:val="5"/>
          <w:numId w:val="9"/>
        </w:numPr>
        <w:rPr>
          <w:noProof/>
          <w:lang w:val="fr-FR"/>
        </w:rPr>
      </w:pPr>
      <w:r>
        <w:rPr>
          <w:noProof/>
          <w:lang w:val="fr-FR"/>
        </w:rPr>
        <w:t>Au cours de ces négociations, les CE et l’Inde se sont accordées sur des compensations relatives aux modifications et retraits d’engagements contenus dans le document S/SECRET/8. Les annexes I et II du présent rapport, ainsi que la lettre commune à laquelle il est annexé, constituent l’Accord entre les CE et l’Inde concernant le document S/SECRET/8 aux fins de l’article XXI, paragraphe 2, point a), de l’AGCS.</w:t>
      </w:r>
      <w:r>
        <w:rPr>
          <w:rStyle w:val="FootnoteReference"/>
          <w:noProof/>
          <w:lang w:val="fr-FR"/>
        </w:rPr>
        <w:footnoteReference w:id="2"/>
      </w:r>
      <w:r>
        <w:rPr>
          <w:noProof/>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numPr>
          <w:ilvl w:val="5"/>
          <w:numId w:val="9"/>
        </w:numPr>
        <w:rPr>
          <w:noProof/>
          <w:lang w:val="fr-FR"/>
        </w:rPr>
      </w:pPr>
      <w:r>
        <w:rPr>
          <w:noProof/>
          <w:lang w:val="fr-FR"/>
        </w:rPr>
        <w:t>S’agissant de la procédure engagée au moyen de la notification contenue dans le document S/SECRET/9, les CE et l’Inde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5"/>
          <w:numId w:val="9"/>
        </w:numPr>
        <w:rPr>
          <w:noProof/>
          <w:lang w:val="fr-FR"/>
        </w:rPr>
      </w:pPr>
      <w:r>
        <w:rPr>
          <w:noProof/>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l’Inde. </w:t>
      </w:r>
    </w:p>
    <w:p>
      <w:pPr>
        <w:pStyle w:val="BodyText"/>
        <w:numPr>
          <w:ilvl w:val="5"/>
          <w:numId w:val="9"/>
        </w:numPr>
        <w:rPr>
          <w:noProof/>
          <w:lang w:val="fr-FR"/>
        </w:rPr>
      </w:pPr>
      <w:r>
        <w:rPr>
          <w:noProof/>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lang w:val="fr-FR"/>
        </w:rPr>
        <w:t xml:space="preserve"> </w:t>
      </w:r>
      <w:r>
        <w:rPr>
          <w:noProof/>
          <w:lang w:val="fr-FR"/>
        </w:rPr>
        <w:t xml:space="preserve">Les modifications et les retraits proposés dans les documents S/SECRET/8 et S/SECRET/9 n’entreront pas en vigueur avant l’ensemble des compensations mentionnées à l’annexe II. </w:t>
      </w:r>
    </w:p>
    <w:p>
      <w:pPr>
        <w:pStyle w:val="BodyText"/>
        <w:numPr>
          <w:ilvl w:val="0"/>
          <w:numId w:val="0"/>
        </w:numPr>
        <w:ind w:left="2880"/>
        <w:rPr>
          <w:b/>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i/>
          <w:noProof/>
          <w:szCs w:val="24"/>
          <w:lang w:val="fr-BE"/>
        </w:rPr>
        <w:t>__________________________</w:t>
      </w:r>
    </w:p>
    <w:p>
      <w:pPr>
        <w:jc w:val="center"/>
        <w:rPr>
          <w:rFonts w:ascii="Times New Roman" w:hAnsi="Times New Roman"/>
          <w:b/>
          <w:noProof/>
          <w:lang w:val="fr-FR"/>
        </w:rPr>
      </w:pPr>
      <w:r>
        <w:rPr>
          <w:rFonts w:ascii="Times New Roman" w:hAnsi="Times New Roman"/>
          <w:b/>
          <w:noProof/>
          <w:lang w:val="fr-FR"/>
        </w:rPr>
        <w:t>ANNEXE I</w:t>
      </w:r>
    </w:p>
    <w:p>
      <w:pPr>
        <w:jc w:val="center"/>
        <w:rPr>
          <w:rFonts w:ascii="Times New Roman" w:hAnsi="Times New Roman"/>
          <w:noProof/>
          <w:lang w:val="fr-FR"/>
        </w:rPr>
      </w:pPr>
    </w:p>
    <w:p>
      <w:pPr>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concernant l’accès au marché dans le cadre du mode 4. Ces engagements sont retirés.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rFonts w:ascii="Times New Roman" w:hAnsi="Times New Roman"/>
          <w:noProof/>
        </w:rPr>
        <w:t xml:space="preserve"> </w:t>
      </w:r>
    </w:p>
    <w:p>
      <w:pPr>
        <w:tabs>
          <w:tab w:val="left" w:pos="567"/>
        </w:tabs>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rFonts w:ascii="Times New Roman" w:hAnsi="Times New Roman"/>
          <w:noProof/>
          <w:spacing w:val="-2"/>
          <w:lang w:val="fr-FR"/>
        </w:rPr>
        <w:t xml:space="preserv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rFonts w:ascii="Times New Roman" w:hAnsi="Times New Roman"/>
          <w:noProof/>
          <w:spacing w:val="-2"/>
          <w:lang w:val="fr-FR"/>
        </w:rPr>
        <w:t xml:space="preserve"> </w:t>
      </w:r>
      <w:r>
        <w:rPr>
          <w:rFonts w:ascii="Times New Roman" w:hAnsi="Times New Roman"/>
          <w:noProof/>
          <w:lang w:val="fr-FR"/>
        </w:rPr>
        <w:t>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Transports spatiaux. L’engagement figurant dans la liste de l’Autriche est retiré.</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rFonts w:ascii="Times New Roman" w:hAnsi="Times New Roman"/>
          <w:noProof/>
          <w:lang w:val="fr-FR"/>
        </w:rPr>
      </w:pPr>
    </w:p>
    <w:p>
      <w:pPr>
        <w:jc w:val="center"/>
        <w:rPr>
          <w:rFonts w:ascii="Times New Roman" w:hAnsi="Times New Roman"/>
          <w:noProof/>
          <w:lang w:val="fr-FR"/>
        </w:rPr>
      </w:pPr>
      <w:r>
        <w:rPr>
          <w:rFonts w:ascii="Times New Roman" w:hAnsi="Times New Roman"/>
          <w:noProof/>
          <w:lang w:val="fr-FR"/>
        </w:rPr>
        <w:br w:type="page"/>
      </w:r>
    </w:p>
    <w:p>
      <w:pPr>
        <w:spacing w:after="0" w:line="240" w:lineRule="auto"/>
        <w:jc w:val="center"/>
        <w:rPr>
          <w:rFonts w:ascii="Times New Roman" w:hAnsi="Times New Roman"/>
          <w:b/>
          <w:noProof/>
          <w:lang w:val="fr-FR"/>
        </w:rPr>
      </w:pPr>
      <w:r>
        <w:rPr>
          <w:rFonts w:ascii="Times New Roman" w:hAnsi="Times New Roman"/>
          <w:b/>
          <w:noProof/>
          <w:lang w:val="fr-FR"/>
        </w:rPr>
        <w:t>ANNEXE II</w:t>
      </w:r>
    </w:p>
    <w:p>
      <w:pPr>
        <w:spacing w:after="0" w:line="240" w:lineRule="auto"/>
        <w:jc w:val="center"/>
        <w:rPr>
          <w:rFonts w:ascii="Times New Roman" w:hAnsi="Times New Roman"/>
          <w:b/>
          <w:noProof/>
          <w:lang w:val="fr-FR"/>
        </w:rPr>
      </w:pPr>
    </w:p>
    <w:p>
      <w:pPr>
        <w:spacing w:after="0"/>
        <w:jc w:val="center"/>
        <w:outlineLvl w:val="0"/>
        <w:rPr>
          <w:rFonts w:ascii="Times New Roman" w:hAnsi="Times New Roman"/>
          <w:b/>
          <w:noProof/>
          <w:lang w:val="fr-FR"/>
        </w:rPr>
      </w:pPr>
      <w:r>
        <w:rPr>
          <w:rFonts w:ascii="Times New Roman" w:hAnsi="Times New Roman"/>
          <w:b/>
          <w:noProof/>
          <w:lang w:val="fr-FR"/>
        </w:rPr>
        <w:t xml:space="preserve">COMPENSATIONS ACCORDÉES PAR LES CE </w:t>
      </w:r>
    </w:p>
    <w:p>
      <w:pPr>
        <w:spacing w:after="0"/>
        <w:jc w:val="center"/>
        <w:outlineLvl w:val="0"/>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 xml:space="preserve">Limitation horizontale concernant les entités publiques dans le cadre du mode 3 </w:t>
      </w:r>
    </w:p>
    <w:p>
      <w:pPr>
        <w:tabs>
          <w:tab w:val="left" w:pos="-142"/>
        </w:tabs>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Note de bas de page indiquant que cette limitation ne s’applique pas aux services de télécommunication et aux services informatiques et services connexes.</w:t>
      </w:r>
    </w:p>
    <w:p>
      <w:pPr>
        <w:tabs>
          <w:tab w:val="left" w:pos="-142"/>
        </w:tabs>
        <w:spacing w:after="0" w:line="240" w:lineRule="auto"/>
        <w:ind w:left="1435" w:hanging="301"/>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Limitations horizontales concernant les investissements dans le cadre du mode 3</w:t>
      </w:r>
    </w:p>
    <w:p>
      <w:pPr>
        <w:spacing w:after="0" w:line="240" w:lineRule="auto"/>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de la limitation concernant le traitement national dans le cadre du mode 3 pour AT en ce qui concerne les succursales de société par actions (</w:t>
      </w:r>
      <w:r>
        <w:rPr>
          <w:rFonts w:ascii="Times New Roman" w:hAnsi="Times New Roman"/>
          <w:i/>
          <w:noProof/>
          <w:lang w:val="fr-FR"/>
        </w:rPr>
        <w:t>Aktiengesellschaften</w:t>
      </w:r>
      <w:r>
        <w:rPr>
          <w:rFonts w:ascii="Times New Roman" w:hAnsi="Times New Roman"/>
          <w:noProof/>
          <w:lang w:val="fr-FR"/>
        </w:rPr>
        <w:t>) étrangères et les sociétés à responsabilité limitée (</w:t>
      </w:r>
      <w:r>
        <w:rPr>
          <w:rFonts w:ascii="Times New Roman" w:hAnsi="Times New Roman"/>
          <w:i/>
          <w:noProof/>
          <w:lang w:val="fr-FR"/>
        </w:rPr>
        <w:t>Gesellschaften mit beschränkter Haftung</w:t>
      </w:r>
      <w:r>
        <w:rPr>
          <w:rFonts w:ascii="Times New Roman" w:hAnsi="Times New Roman"/>
          <w:noProof/>
          <w:lang w:val="fr-FR"/>
        </w:rPr>
        <w:t>).</w:t>
      </w:r>
    </w:p>
    <w:p>
      <w:pPr>
        <w:spacing w:after="0" w:line="240" w:lineRule="auto"/>
        <w:ind w:left="720" w:firstLine="38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Mode 4</w:t>
      </w:r>
      <w:r>
        <w:rPr>
          <w:rFonts w:ascii="Times New Roman" w:hAnsi="Times New Roman"/>
          <w:noProof/>
          <w:lang w:val="fr-FR"/>
        </w:rPr>
        <w:t xml:space="preserve"> pour les personnes transférées temporairement par leur société et les visiteurs en déplacement d’affaires </w:t>
      </w:r>
    </w:p>
    <w:p>
      <w:pPr>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5"/>
        </w:numPr>
        <w:spacing w:after="0" w:line="240" w:lineRule="auto"/>
        <w:ind w:left="714" w:hanging="357"/>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d’ingénierie</w:t>
      </w:r>
      <w:r>
        <w:rPr>
          <w:rFonts w:ascii="Times New Roman" w:hAnsi="Times New Roman"/>
          <w:noProof/>
          <w:lang w:val="fr-FR"/>
        </w:rPr>
        <w:t xml:space="preserve"> (CPC 8672)</w:t>
      </w:r>
    </w:p>
    <w:p>
      <w:pPr>
        <w:spacing w:after="0" w:line="240" w:lineRule="auto"/>
        <w:ind w:left="1440"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le cadre du mode 2</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CZ, MT et SK concernant l’accès au marché dans le cadre du mode 3</w:t>
      </w:r>
    </w:p>
    <w:p>
      <w:pPr>
        <w:spacing w:after="0" w:line="240" w:lineRule="auto"/>
        <w:ind w:left="357" w:firstLine="72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le traitement national dans le cadre du mode 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Suppression de la limitation concernant l’accès au marché pour PT dans le cadre du mode 3. </w:t>
      </w:r>
    </w:p>
    <w:p>
      <w:pPr>
        <w:spacing w:after="0" w:line="240" w:lineRule="auto"/>
        <w:ind w:left="357" w:firstLine="72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intégrés d’ingénierie</w:t>
      </w:r>
      <w:r>
        <w:rPr>
          <w:rFonts w:ascii="Times New Roman" w:hAnsi="Times New Roman"/>
          <w:noProof/>
          <w:lang w:val="fr-FR"/>
        </w:rPr>
        <w:t xml:space="preserve"> (CPC 8673):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par UK de l’examen des besoins économiques pour les fournisseurs de services contractuels dans le cadre du mode 4</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SK concernant l’accès au marché et le traitement national dans le cadre du mode 3. </w:t>
      </w: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d’aménagement urbain et d’architecture paysagère</w:t>
      </w:r>
      <w:r>
        <w:rPr>
          <w:rFonts w:ascii="Times New Roman" w:hAnsi="Times New Roman"/>
          <w:noProof/>
          <w:lang w:val="fr-FR"/>
        </w:rPr>
        <w:t xml:space="preserve"> (CPC 8674):</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CY, CZ, MT, PL, SI et SK concernant l’accès au marché et le traitement national dans le cadre du mode 3. </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HU concernant l’accès au marché et le traitement national pour les services d’architecture paysagère dans le cadre du mode 2. </w:t>
      </w:r>
    </w:p>
    <w:p>
      <w:pPr>
        <w:spacing w:after="0" w:line="240" w:lineRule="auto"/>
        <w:ind w:left="1435" w:hanging="301"/>
        <w:rPr>
          <w:rFonts w:ascii="Times New Roman" w:hAnsi="Times New Roman"/>
          <w:noProof/>
          <w:lang w:val="fr-FR"/>
        </w:rPr>
      </w:pPr>
    </w:p>
    <w:p>
      <w:pPr>
        <w:numPr>
          <w:ilvl w:val="0"/>
          <w:numId w:val="6"/>
        </w:numPr>
        <w:spacing w:after="0" w:line="240" w:lineRule="auto"/>
        <w:jc w:val="both"/>
        <w:rPr>
          <w:rFonts w:ascii="Times New Roman" w:hAnsi="Times New Roman"/>
          <w:noProof/>
        </w:rPr>
      </w:pPr>
      <w:r>
        <w:rPr>
          <w:rFonts w:ascii="Times New Roman" w:hAnsi="Times New Roman"/>
          <w:b/>
          <w:noProof/>
          <w:lang w:val="fr-FR"/>
        </w:rPr>
        <w:t>Services informatiques et services connexes</w:t>
      </w:r>
      <w:r>
        <w:rPr>
          <w:rFonts w:ascii="Times New Roman" w:hAnsi="Times New Roman"/>
          <w:noProof/>
        </w:rPr>
        <w:t xml:space="preserve"> </w:t>
      </w:r>
    </w:p>
    <w:p>
      <w:pPr>
        <w:spacing w:after="0" w:line="240" w:lineRule="auto"/>
        <w:ind w:left="720" w:firstLine="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Ajout d’une note de clarification en bas de page.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HU concernant l’accès au marché et le traitement national dans le cadre des modes 1, 2 et 3 pour CPC 845 et 849</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rFonts w:ascii="Times New Roman" w:hAnsi="Times New Roman"/>
          <w:noProof/>
          <w:lang w:val="fr-FR"/>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fr-FR"/>
        </w:rPr>
        <w:t>Services de publicité</w:t>
      </w:r>
      <w:r>
        <w:rPr>
          <w:rFonts w:ascii="Times New Roman" w:hAnsi="Times New Roman"/>
          <w:noProof/>
          <w:lang w:val="fr-FR"/>
        </w:rPr>
        <w:t xml:space="preserve"> (CPC 871):</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MT et PL concernant l’accès au marché et le traitement national dans le cadre du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de télécommunication</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nouveaux et améliorés souscrits par les CE dans leur ensemble conformément à leur offre révisée présentée dans le cadre du Programme de Doha pour le développement.</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spacing w:after="0" w:line="240" w:lineRule="auto"/>
        <w:ind w:left="1434" w:hanging="357"/>
        <w:rPr>
          <w:rFonts w:ascii="Times New Roman" w:hAnsi="Times New Roman"/>
          <w:noProof/>
          <w:lang w:val="fr-FR"/>
        </w:rPr>
      </w:pP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financiers (services d’assurances):</w:t>
      </w:r>
    </w:p>
    <w:p>
      <w:pPr>
        <w:spacing w:line="240" w:lineRule="auto"/>
        <w:ind w:left="1440" w:hanging="363"/>
        <w:rPr>
          <w:rFonts w:ascii="Times New Roman" w:hAnsi="Times New Roman"/>
          <w:b/>
          <w:noProof/>
          <w:lang w:val="fr-FR"/>
        </w:rPr>
      </w:pPr>
      <w:r>
        <w:rPr>
          <w:rFonts w:ascii="Times New Roman" w:hAnsi="Times New Roman"/>
          <w:noProof/>
          <w:lang w:val="fr-FR"/>
        </w:rPr>
        <w:t>–</w:t>
      </w:r>
      <w:r>
        <w:rPr>
          <w:rFonts w:ascii="Times New Roman" w:hAnsi="Times New Roman"/>
          <w:b/>
          <w:noProof/>
          <w:lang w:val="fr-FR"/>
        </w:rPr>
        <w:tab/>
      </w:r>
      <w:r>
        <w:rPr>
          <w:rFonts w:ascii="Times New Roman" w:hAnsi="Times New Roman"/>
          <w:noProof/>
          <w:lang w:val="fr-FR"/>
        </w:rPr>
        <w:t xml:space="preserve">Suppression d’une partie des limitations concernant l’accès au marché pour SK dans le cadre du mode 3. </w:t>
      </w: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fr-FR"/>
        </w:rPr>
        <w:t>Services financiers (banques)</w:t>
      </w:r>
    </w:p>
    <w:p>
      <w:pPr>
        <w:tabs>
          <w:tab w:val="left" w:pos="-142"/>
        </w:tabs>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Hôtellerie, restauration et services de traiteurs</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Services d’agences de voyages et d’organisateurs touristiques</w:t>
      </w:r>
    </w:p>
    <w:p>
      <w:pPr>
        <w:tabs>
          <w:tab w:val="left" w:pos="-142"/>
        </w:tabs>
        <w:ind w:left="1077"/>
        <w:rPr>
          <w:rFonts w:ascii="Times New Roman" w:hAnsi="Times New Roman"/>
          <w:noProof/>
          <w:lang w:val="fr-FR"/>
        </w:rPr>
      </w:pPr>
      <w:r>
        <w:rPr>
          <w:rFonts w:ascii="Times New Roman" w:hAnsi="Times New Roman"/>
          <w:noProof/>
          <w:lang w:val="fr-FR"/>
        </w:rPr>
        <w:t xml:space="preserve">– </w:t>
      </w:r>
      <w:r>
        <w:rPr>
          <w:rFonts w:ascii="Times New Roman" w:hAnsi="Times New Roman"/>
          <w:noProof/>
          <w:lang w:val="fr-FR"/>
        </w:rPr>
        <w:tab/>
        <w:t>Suppression de l’examen des besoins économiques appliqué par CZ pour le mode 3.</w:t>
      </w:r>
    </w:p>
    <w:p>
      <w:pPr>
        <w:numPr>
          <w:ilvl w:val="0"/>
          <w:numId w:val="5"/>
        </w:numPr>
        <w:spacing w:after="0" w:line="240" w:lineRule="auto"/>
        <w:jc w:val="both"/>
        <w:rPr>
          <w:rFonts w:ascii="Times New Roman" w:hAnsi="Times New Roman"/>
          <w:b/>
          <w:noProof/>
        </w:rPr>
      </w:pPr>
      <w:r>
        <w:rPr>
          <w:rFonts w:ascii="Times New Roman" w:hAnsi="Times New Roman"/>
          <w:b/>
          <w:noProof/>
          <w:lang w:val="fr-FR"/>
        </w:rPr>
        <w:t>Services de coiffure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CZ, FI, HU et SK concernant l’accès au marché et le traitement national dans le cadre des modes 2 et 3.</w:t>
      </w:r>
    </w:p>
    <w:p>
      <w:pPr>
        <w:ind w:left="1440" w:hanging="360"/>
        <w:rPr>
          <w:rFonts w:ascii="Times New Roman" w:hAnsi="Times New Roman"/>
          <w:noProof/>
          <w:lang w:val="fr-FR"/>
        </w:rPr>
      </w:pPr>
    </w:p>
    <w:p>
      <w:pPr>
        <w:ind w:left="1440" w:hanging="360"/>
        <w:rPr>
          <w:rFonts w:ascii="Times New Roman" w:hAnsi="Times New Roman"/>
          <w:noProof/>
          <w:lang w:val="fr-FR"/>
        </w:rPr>
      </w:pP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Les États membres sont désignés par les abréviations suivantes:</w:t>
      </w:r>
    </w:p>
    <w:p>
      <w:pPr>
        <w:tabs>
          <w:tab w:val="left" w:pos="-720"/>
          <w:tab w:val="left" w:pos="567"/>
        </w:tabs>
        <w:suppressAutoHyphens/>
        <w:rPr>
          <w:rFonts w:ascii="Times New Roman" w:hAnsi="Times New Roman"/>
          <w:noProof/>
          <w:spacing w:val="-2"/>
          <w:lang w:val="fr-FR"/>
        </w:rPr>
      </w:pPr>
    </w:p>
    <w:p>
      <w:pPr>
        <w:tabs>
          <w:tab w:val="left" w:pos="-720"/>
          <w:tab w:val="left" w:pos="567"/>
        </w:tabs>
        <w:suppressAutoHyphens/>
        <w:rPr>
          <w:rFonts w:ascii="Times New Roman" w:hAnsi="Times New Roman"/>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AT</w:t>
      </w:r>
      <w:r>
        <w:rPr>
          <w:rFonts w:ascii="Times New Roman" w:hAnsi="Times New Roman"/>
          <w:noProof/>
          <w:spacing w:val="-2"/>
          <w:lang w:val="fr-FR"/>
        </w:rPr>
        <w:tab/>
        <w:t xml:space="preserve">Autriche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BE</w:t>
      </w:r>
      <w:r>
        <w:rPr>
          <w:rFonts w:ascii="Times New Roman" w:hAnsi="Times New Roman"/>
          <w:noProof/>
          <w:spacing w:val="-2"/>
          <w:lang w:val="fr-FR"/>
        </w:rPr>
        <w:tab/>
        <w:t>Belgique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CY</w:t>
      </w:r>
      <w:r>
        <w:rPr>
          <w:rFonts w:ascii="Times New Roman" w:hAnsi="Times New Roman"/>
          <w:noProof/>
          <w:spacing w:val="-2"/>
          <w:lang w:val="fr-FR"/>
        </w:rPr>
        <w:tab/>
        <w:t>Chypre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CZ</w:t>
      </w:r>
      <w:r>
        <w:rPr>
          <w:rFonts w:ascii="Times New Roman" w:hAnsi="Times New Roman"/>
          <w:noProof/>
          <w:spacing w:val="-2"/>
          <w:lang w:val="fr-FR"/>
        </w:rPr>
        <w:tab/>
        <w:t>République tchèque</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DE</w:t>
      </w:r>
      <w:r>
        <w:rPr>
          <w:rFonts w:ascii="Times New Roman" w:hAnsi="Times New Roman"/>
          <w:noProof/>
          <w:spacing w:val="-2"/>
          <w:lang w:val="fr-FR"/>
        </w:rPr>
        <w:tab/>
        <w:t>Allemagne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DK</w:t>
      </w:r>
      <w:r>
        <w:rPr>
          <w:rFonts w:ascii="Times New Roman" w:hAnsi="Times New Roman"/>
          <w:noProof/>
          <w:spacing w:val="-2"/>
          <w:lang w:val="fr-FR"/>
        </w:rPr>
        <w:tab/>
        <w:t>Danemark</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EE</w:t>
      </w:r>
      <w:r>
        <w:rPr>
          <w:rFonts w:ascii="Times New Roman" w:hAnsi="Times New Roman"/>
          <w:noProof/>
          <w:spacing w:val="-2"/>
          <w:lang w:val="fr-FR"/>
        </w:rPr>
        <w:tab/>
        <w:t xml:space="preserve">Estonie </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EL</w:t>
      </w:r>
      <w:r>
        <w:rPr>
          <w:rFonts w:ascii="Times New Roman" w:hAnsi="Times New Roman"/>
          <w:noProof/>
          <w:spacing w:val="-2"/>
          <w:lang w:val="fr-FR"/>
        </w:rPr>
        <w:tab/>
        <w:t xml:space="preserve">Grèce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ES</w:t>
      </w:r>
      <w:r>
        <w:rPr>
          <w:rFonts w:ascii="Times New Roman" w:hAnsi="Times New Roman"/>
          <w:noProof/>
          <w:spacing w:val="-2"/>
          <w:lang w:val="fr-FR"/>
        </w:rPr>
        <w:tab/>
        <w:t>Espagne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FI</w:t>
      </w:r>
      <w:r>
        <w:rPr>
          <w:rFonts w:ascii="Times New Roman" w:hAnsi="Times New Roman"/>
          <w:noProof/>
          <w:spacing w:val="-2"/>
          <w:lang w:val="fr-FR"/>
        </w:rPr>
        <w:tab/>
        <w:t xml:space="preserve">Finlande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FR</w:t>
      </w:r>
      <w:r>
        <w:rPr>
          <w:rFonts w:ascii="Times New Roman" w:hAnsi="Times New Roman"/>
          <w:noProof/>
          <w:spacing w:val="-2"/>
          <w:lang w:val="fr-FR"/>
        </w:rPr>
        <w:tab/>
        <w:t>France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HU</w:t>
      </w:r>
      <w:r>
        <w:rPr>
          <w:rFonts w:ascii="Times New Roman" w:hAnsi="Times New Roman"/>
          <w:noProof/>
          <w:spacing w:val="-2"/>
          <w:lang w:val="fr-FR"/>
        </w:rPr>
        <w:tab/>
        <w:t xml:space="preserve">Hongrie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IE</w:t>
      </w:r>
      <w:r>
        <w:rPr>
          <w:rFonts w:ascii="Times New Roman" w:hAnsi="Times New Roman"/>
          <w:noProof/>
          <w:spacing w:val="-2"/>
          <w:lang w:val="fr-FR"/>
        </w:rPr>
        <w:tab/>
        <w:t>Irlande</w:t>
      </w:r>
    </w:p>
    <w:p>
      <w:pPr>
        <w:tabs>
          <w:tab w:val="left" w:pos="-720"/>
          <w:tab w:val="left" w:pos="567"/>
        </w:tabs>
        <w:suppressAutoHyphens/>
        <w:rPr>
          <w:rFonts w:ascii="Times New Roman" w:hAnsi="Times New Roman"/>
          <w:noProof/>
          <w:spacing w:val="-2"/>
          <w:lang w:val="fr-FR"/>
        </w:rPr>
      </w:pP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IT</w:t>
      </w:r>
      <w:r>
        <w:rPr>
          <w:rFonts w:ascii="Times New Roman" w:hAnsi="Times New Roman"/>
          <w:noProof/>
          <w:spacing w:val="-2"/>
          <w:lang w:val="fr-FR"/>
        </w:rPr>
        <w:tab/>
        <w:t>Italie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LT</w:t>
      </w:r>
      <w:r>
        <w:rPr>
          <w:rFonts w:ascii="Times New Roman" w:hAnsi="Times New Roman"/>
          <w:noProof/>
          <w:spacing w:val="-2"/>
          <w:lang w:val="fr-FR"/>
        </w:rPr>
        <w:tab/>
        <w:t xml:space="preserve">Lituanie </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fr-FR"/>
        </w:rPr>
        <w:tab/>
      </w:r>
      <w:r>
        <w:rPr>
          <w:rFonts w:ascii="Times New Roman" w:hAnsi="Times New Roman"/>
          <w:noProof/>
          <w:spacing w:val="-2"/>
          <w:lang w:val="de-DE"/>
        </w:rPr>
        <w:t xml:space="preserve">LU </w:t>
      </w:r>
      <w:r>
        <w:rPr>
          <w:rFonts w:ascii="Times New Roman" w:hAnsi="Times New Roman"/>
          <w:noProof/>
          <w:spacing w:val="-2"/>
          <w:lang w:val="de-DE"/>
        </w:rPr>
        <w:tab/>
        <w:t>Luxembourg</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LV</w:t>
      </w:r>
      <w:r>
        <w:rPr>
          <w:rFonts w:ascii="Times New Roman" w:hAnsi="Times New Roman"/>
          <w:noProof/>
          <w:spacing w:val="-2"/>
          <w:lang w:val="de-DE"/>
        </w:rPr>
        <w:tab/>
        <w:t>Lettonie</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MT</w:t>
      </w:r>
      <w:r>
        <w:rPr>
          <w:rFonts w:ascii="Times New Roman" w:hAnsi="Times New Roman"/>
          <w:noProof/>
          <w:spacing w:val="-2"/>
          <w:lang w:val="de-DE"/>
        </w:rPr>
        <w:tab/>
        <w:t>Malte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de-DE"/>
        </w:rPr>
        <w:tab/>
      </w:r>
      <w:r>
        <w:rPr>
          <w:rFonts w:ascii="Times New Roman" w:hAnsi="Times New Roman"/>
          <w:noProof/>
          <w:spacing w:val="-2"/>
          <w:lang w:val="fr-FR"/>
        </w:rPr>
        <w:t>NL</w:t>
      </w:r>
      <w:r>
        <w:rPr>
          <w:rFonts w:ascii="Times New Roman" w:hAnsi="Times New Roman"/>
          <w:noProof/>
          <w:spacing w:val="-2"/>
          <w:lang w:val="fr-FR"/>
        </w:rPr>
        <w:tab/>
        <w:t>Pays-Bas</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PL</w:t>
      </w:r>
      <w:r>
        <w:rPr>
          <w:rFonts w:ascii="Times New Roman" w:hAnsi="Times New Roman"/>
          <w:noProof/>
          <w:spacing w:val="-2"/>
          <w:lang w:val="fr-FR"/>
        </w:rPr>
        <w:tab/>
        <w:t xml:space="preserve">Pologne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PT</w:t>
      </w:r>
      <w:r>
        <w:rPr>
          <w:rFonts w:ascii="Times New Roman" w:hAnsi="Times New Roman"/>
          <w:noProof/>
          <w:spacing w:val="-2"/>
          <w:lang w:val="fr-FR"/>
        </w:rPr>
        <w:tab/>
        <w:t>Portugal</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SE</w:t>
      </w:r>
      <w:r>
        <w:rPr>
          <w:rFonts w:ascii="Times New Roman" w:hAnsi="Times New Roman"/>
          <w:noProof/>
          <w:spacing w:val="-2"/>
          <w:lang w:val="fr-FR"/>
        </w:rPr>
        <w:tab/>
        <w:t>Suède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SI</w:t>
      </w:r>
      <w:r>
        <w:rPr>
          <w:rFonts w:ascii="Times New Roman" w:hAnsi="Times New Roman"/>
          <w:noProof/>
          <w:spacing w:val="-2"/>
          <w:lang w:val="fr-FR"/>
        </w:rPr>
        <w:tab/>
        <w:t>Slovénie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SK</w:t>
      </w:r>
      <w:r>
        <w:rPr>
          <w:rFonts w:ascii="Times New Roman" w:hAnsi="Times New Roman"/>
          <w:noProof/>
          <w:spacing w:val="-2"/>
          <w:lang w:val="fr-FR"/>
        </w:rPr>
        <w:tab/>
        <w:t>République slovaque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fr-FR"/>
        </w:rPr>
        <w:tab/>
        <w:t>UK</w:t>
      </w:r>
      <w:r>
        <w:rPr>
          <w:rFonts w:ascii="Times New Roman" w:hAnsi="Times New Roman"/>
          <w:noProof/>
          <w:spacing w:val="-2"/>
        </w:rPr>
        <w:tab/>
      </w:r>
      <w:r>
        <w:rPr>
          <w:rFonts w:ascii="Times New Roman" w:hAnsi="Times New Roman"/>
          <w:noProof/>
          <w:spacing w:val="-2"/>
          <w:lang w:val="fr-FR"/>
        </w:rPr>
        <w:t>Royaume-Uni</w:t>
      </w:r>
    </w:p>
    <w:p>
      <w:pPr>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rFonts w:ascii="Times New Roman" w:hAnsi="Times New Roman"/>
          <w:noProof/>
        </w:rPr>
      </w:pPr>
    </w:p>
    <w:p>
      <w:pPr>
        <w:jc w:val="center"/>
        <w:rPr>
          <w:rFonts w:ascii="Times New Roman" w:hAnsi="Times New Roman"/>
          <w:b/>
          <w:noProof/>
        </w:rPr>
      </w:pPr>
      <w:r>
        <w:rPr>
          <w:rFonts w:ascii="Times New Roman" w:hAnsi="Times New Roman"/>
          <w:b/>
          <w:noProof/>
        </w:rPr>
        <w:t>__________</w:t>
      </w:r>
    </w:p>
    <w:p>
      <w:pPr>
        <w:rPr>
          <w:rFonts w:ascii="Times New Roman" w:hAnsi="Times New Roman"/>
          <w:noProof/>
        </w:rPr>
      </w:pPr>
    </w:p>
    <w:p>
      <w:pPr>
        <w:rPr>
          <w:rFonts w:ascii="Times New Roman" w:hAnsi="Times New Roman"/>
          <w:noProof/>
        </w:rPr>
      </w:pPr>
    </w:p>
    <w:p>
      <w:pPr>
        <w:rPr>
          <w:rFonts w:ascii="Times New Roman" w:hAnsi="Times New Roman"/>
          <w:noProof/>
        </w:rPr>
      </w:pPr>
    </w:p>
    <w:p>
      <w:pPr>
        <w:rPr>
          <w:rFonts w:ascii="Times New Roman" w:hAnsi="Times New Roman"/>
          <w:noProof/>
        </w:rPr>
      </w:pPr>
    </w:p>
    <w:p>
      <w:pPr>
        <w:pStyle w:val="BodyText"/>
        <w:numPr>
          <w:ilvl w:val="0"/>
          <w:numId w:val="0"/>
        </w:numPr>
        <w:ind w:left="2880"/>
        <w:rPr>
          <w:b/>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22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1326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pPr>
  </w:p>
  <w:p>
    <w:pPr>
      <w:pStyle w:val="Header"/>
      <w:tabs>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pPr>
    <w:r>
      <w:t xml:space="preserve"> </w:t>
    </w:r>
  </w:p>
  <w:p>
    <w:pPr>
      <w:pStyle w:val="Header"/>
      <w:tabs>
        <w:tab w:val="right" w:pos="9026"/>
      </w:tabs>
    </w:pPr>
  </w:p>
  <w:p>
    <w:pPr>
      <w:pStyle w:val="Header"/>
      <w:tabs>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0EA91149"/>
    <w:multiLevelType w:val="multilevel"/>
    <w:tmpl w:val="262827C4"/>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720"/>
        </w:tabs>
        <w:ind w:left="720" w:hanging="720"/>
      </w:pPr>
    </w:lvl>
    <w:lvl w:ilvl="5">
      <w:start w:val="1"/>
      <w:numFmt w:val="decimal"/>
      <w:lvlRestart w:val="0"/>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abstractNum w:abstractNumId="2">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
  </w:num>
  <w:num w:numId="6">
    <w:abstractNumId w:val="2"/>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0"/>
    <w:docVar w:name="LW_ANNEX_NBR_LAST" w:val="10"/>
    <w:docVar w:name="LW_ANNEX_UNIQUE" w:val="0"/>
    <w:docVar w:name="LW_CORRIGENDUM" w:val="&lt;UNUSED&gt;"/>
    <w:docVar w:name="LW_COVERPAGE_EXISTS" w:val="True"/>
    <w:docVar w:name="LW_COVERPAGE_GUID" w:val="721E831B-8C87-46A0-9211-472D1B665A2D"/>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BFDF-4CD2-42BF-AC8F-2BC2687C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4191</Words>
  <Characters>22763</Characters>
  <Application>Microsoft Office Word</Application>
  <DocSecurity>0</DocSecurity>
  <Lines>437</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11</cp:revision>
  <dcterms:created xsi:type="dcterms:W3CDTF">2018-08-07T08:32:00Z</dcterms:created>
  <dcterms:modified xsi:type="dcterms:W3CDTF">2018-10-30T14:41:00Z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