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736E4AE-BE9D-4975-AC76-E5D5C96C480A"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AUTHENTIC VERSION</w:t>
      </w:r>
    </w:p>
    <w:p>
      <w:pPr>
        <w:spacing w:line="240" w:lineRule="auto"/>
        <w:jc w:val="center"/>
        <w:rPr>
          <w:rFonts w:ascii="Times New Roman" w:hAnsi="Times New Roman"/>
          <w:b/>
          <w:noProof/>
        </w:rPr>
      </w:pPr>
      <w:r>
        <w:rPr>
          <w:rFonts w:ascii="Times New Roman" w:hAnsi="Times New Roman"/>
          <w:b/>
          <w:noProof/>
        </w:rPr>
        <w:t>Joint letter from the European Communities and its Member States on the one part, and India, on the other part, pursuant to paragraph 5 of the Procedures for the implementation of Article XXI of the General Agreement on Trade in Services (GATS) (S/L/80 of 29 October 1999)</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noProof/>
        </w:rPr>
      </w:pPr>
    </w:p>
    <w:p>
      <w:pPr>
        <w:pStyle w:val="BodyText"/>
        <w:numPr>
          <w:ilvl w:val="0"/>
          <w:numId w:val="0"/>
        </w:numPr>
        <w:rPr>
          <w:noProof/>
          <w:szCs w:val="22"/>
        </w:rPr>
      </w:pPr>
      <w:r>
        <w:rPr>
          <w:noProof/>
          <w:szCs w:val="22"/>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szCs w:val="22"/>
        </w:rPr>
      </w:pPr>
      <w:r>
        <w:rPr>
          <w:noProof/>
          <w:szCs w:val="22"/>
        </w:rPr>
        <w:t>Following the submission of each Communication, India submitted two respective claims of interest pursuant to Article XXI:2(a) of the GATS (S/L/163</w:t>
      </w:r>
      <w:r>
        <w:rPr>
          <w:i/>
          <w:noProof/>
          <w:color w:val="FF0000"/>
          <w:szCs w:val="22"/>
        </w:rPr>
        <w:t xml:space="preserve"> </w:t>
      </w:r>
      <w:r>
        <w:rPr>
          <w:noProof/>
          <w:szCs w:val="22"/>
        </w:rPr>
        <w:t>with regard to S/SECRET/8 and S/L/221</w:t>
      </w:r>
      <w:r>
        <w:rPr>
          <w:i/>
          <w:noProof/>
          <w:color w:val="FF0000"/>
          <w:szCs w:val="22"/>
        </w:rPr>
        <w:t xml:space="preserve"> </w:t>
      </w:r>
      <w:r>
        <w:rPr>
          <w:noProof/>
          <w:szCs w:val="22"/>
        </w:rPr>
        <w:t>with regard to S/SECRET/9). The EC and India entered into negotiations pursuant to Article XXI:2(a) of the GATS with regard to S/SECRET/8 and S/SECRET/9.</w:t>
      </w:r>
    </w:p>
    <w:p>
      <w:pPr>
        <w:pStyle w:val="BodyText"/>
        <w:numPr>
          <w:ilvl w:val="0"/>
          <w:numId w:val="0"/>
        </w:numPr>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India have agreed on compensatory adjustments related to the withdrawals and modifications contained in document S/SECRET/8. </w:t>
      </w:r>
    </w:p>
    <w:p>
      <w:pPr>
        <w:pStyle w:val="BodyText"/>
        <w:numPr>
          <w:ilvl w:val="0"/>
          <w:numId w:val="0"/>
        </w:numPr>
        <w:rPr>
          <w:noProof/>
          <w:szCs w:val="22"/>
        </w:rPr>
      </w:pPr>
      <w:r>
        <w:rPr>
          <w:noProof/>
          <w:szCs w:val="22"/>
        </w:rPr>
        <w:t>With regard to the procedure initiated by the notification contained in document S/SECRET/9, no agreement between the EC and India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szCs w:val="22"/>
        </w:rPr>
      </w:pPr>
      <w:r>
        <w:rPr>
          <w:noProof/>
          <w:szCs w:val="22"/>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India.   </w:t>
      </w:r>
    </w:p>
    <w:p>
      <w:pPr>
        <w:pStyle w:val="BodyText"/>
        <w:numPr>
          <w:ilvl w:val="0"/>
          <w:numId w:val="0"/>
        </w:numPr>
        <w:rPr>
          <w:noProof/>
          <w:szCs w:val="22"/>
        </w:rPr>
      </w:pPr>
      <w:r>
        <w:rPr>
          <w:noProof/>
          <w:szCs w:val="22"/>
        </w:rPr>
        <w:t>This letter and Annex I and II of the report attached to it constitute the Agreement between the EC and India with regard to S/SECRET/8 for purposes of Article XXI:2(a) of the GATS.</w:t>
      </w:r>
      <w:r>
        <w:rPr>
          <w:rStyle w:val="FootnoteReference"/>
          <w:noProof/>
          <w:szCs w:val="22"/>
        </w:rPr>
        <w:footnoteReference w:id="1"/>
      </w:r>
      <w:r>
        <w:rPr>
          <w:noProof/>
          <w:szCs w:val="22"/>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szCs w:val="22"/>
        </w:rPr>
      </w:pPr>
      <w:r>
        <w:rPr>
          <w:noProof/>
          <w:szCs w:val="22"/>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 xml:space="preserve">The modifications and withdrawals proposed in documents S/SECRET/8 and S/SECRET/9 shall not enter into force until all of the compensatory adjustments indicated in Annex II have entered into force. </w:t>
      </w:r>
      <w:r>
        <w:rPr>
          <w:bCs/>
          <w:i/>
          <w:iCs/>
          <w:noProof/>
          <w:szCs w:val="22"/>
        </w:rPr>
        <w:t xml:space="preserve"> </w:t>
      </w:r>
    </w:p>
    <w:p>
      <w:pPr>
        <w:spacing w:after="0" w:line="240" w:lineRule="auto"/>
        <w:rPr>
          <w:rFonts w:ascii="Times New Roman" w:hAnsi="Times New Roman"/>
          <w:b/>
          <w:noProof/>
        </w:rPr>
      </w:pPr>
      <w:r>
        <w:rPr>
          <w:rFonts w:ascii="Times New Roman" w:hAnsi="Times New Roman"/>
          <w:b/>
          <w:noProof/>
        </w:rPr>
        <w:br w:type="page"/>
      </w:r>
    </w:p>
    <w:p>
      <w:pPr>
        <w:spacing w:line="240" w:lineRule="auto"/>
        <w:jc w:val="center"/>
        <w:rPr>
          <w:rFonts w:ascii="Times New Roman" w:hAnsi="Times New Roman"/>
          <w:b/>
          <w:noProof/>
        </w:rPr>
      </w:pPr>
      <w:r>
        <w:rPr>
          <w:rFonts w:ascii="Times New Roman" w:hAnsi="Times New Roman"/>
          <w:b/>
          <w:noProof/>
        </w:rPr>
        <w:t>Report on the result of the negotiations conducted in accordance of Article XXI:2(a) of the General Agreement on Trade in Services (GATS)</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b/>
          <w:noProof/>
        </w:rPr>
      </w:pPr>
    </w:p>
    <w:p>
      <w:pPr>
        <w:pStyle w:val="BodyText"/>
        <w:numPr>
          <w:ilvl w:val="0"/>
          <w:numId w:val="0"/>
        </w:numPr>
        <w:rPr>
          <w:noProof/>
          <w:szCs w:val="22"/>
        </w:rPr>
      </w:pPr>
      <w:r>
        <w:rPr>
          <w:noProof/>
          <w:szCs w:val="22"/>
        </w:rPr>
        <w:t>Pursuant to paragraph 5 of the Procedures for the implementation of Article XXI of the GATS (S/L/80 of 29 October 1999), the EC submits the following report:</w:t>
      </w:r>
    </w:p>
    <w:p>
      <w:pPr>
        <w:pStyle w:val="BodyText"/>
        <w:rPr>
          <w:noProof/>
          <w:szCs w:val="22"/>
        </w:rPr>
      </w:pPr>
      <w:r>
        <w:rPr>
          <w:noProof/>
          <w:szCs w:val="22"/>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szCs w:val="22"/>
        </w:rPr>
      </w:pPr>
      <w:r>
        <w:rPr>
          <w:noProof/>
          <w:szCs w:val="22"/>
        </w:rPr>
        <w:t xml:space="preserve">Following the submission of the notification contained in document S/SECRET/8, and pursuant to Article XXI:2(a) of the GATS, eighteen WTO Members (Argentina, Australia, Brazil, Canada, China, Chinese Taipei, Colombia, Cuba, Ecuador, Hong Kong China, India, Japan, Korea, New Zealand, the Philippines, Switzerland, Uruguay and the United States) submitted a respective claim of interest. </w:t>
      </w:r>
    </w:p>
    <w:p>
      <w:pPr>
        <w:pStyle w:val="BodyText"/>
        <w:rPr>
          <w:noProof/>
          <w:szCs w:val="22"/>
        </w:rPr>
      </w:pPr>
      <w:r>
        <w:rPr>
          <w:noProof/>
          <w:szCs w:val="22"/>
        </w:rPr>
        <w:t>Following the submission of the notification contained in document S/SECRET/9, and pursuant to Article XXI:2(a) of the GATS, fourteen WTO Members (Argentina, Australia, Brazil, Canada, China, Colombia, Ecuador, Hong Kong China, India, Japan, Korea, New Zealand, Uruguay and the United States) submitted a respective claim of interest.</w:t>
      </w:r>
    </w:p>
    <w:p>
      <w:pPr>
        <w:pStyle w:val="BodyText"/>
        <w:rPr>
          <w:noProof/>
          <w:szCs w:val="22"/>
        </w:rPr>
      </w:pPr>
      <w:r>
        <w:rPr>
          <w:noProof/>
          <w:szCs w:val="22"/>
        </w:rPr>
        <w:t>India submitted two respective claims of interest pursuant to Article XXI:2(a) of the GATS (S/L/163</w:t>
      </w:r>
      <w:r>
        <w:rPr>
          <w:i/>
          <w:noProof/>
          <w:color w:val="FF0000"/>
          <w:szCs w:val="22"/>
        </w:rPr>
        <w:t xml:space="preserve"> </w:t>
      </w:r>
      <w:r>
        <w:rPr>
          <w:noProof/>
          <w:szCs w:val="22"/>
        </w:rPr>
        <w:t>with regard to S/SECRET/8 and S/L/221</w:t>
      </w:r>
      <w:r>
        <w:rPr>
          <w:i/>
          <w:noProof/>
          <w:color w:val="FF0000"/>
          <w:szCs w:val="22"/>
        </w:rPr>
        <w:t xml:space="preserve"> </w:t>
      </w:r>
      <w:r>
        <w:rPr>
          <w:noProof/>
          <w:szCs w:val="22"/>
        </w:rPr>
        <w:t>with regard to S/SECRET/9). The EC and India entered into negotiations pursuant to Article XXI:2(a) of the GATS with regard to S/SECRET/8 and S/SECRET/9.</w:t>
      </w:r>
    </w:p>
    <w:p>
      <w:pPr>
        <w:pStyle w:val="BodyText"/>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szCs w:val="22"/>
        </w:rPr>
      </w:pPr>
      <w:r>
        <w:rPr>
          <w:noProof/>
          <w:szCs w:val="22"/>
        </w:rPr>
        <w:t>During such negotiations, the EC and India have agreed on compensatory adjustments related to the modifications and withdrawals contained in document S/SECRET/8. Annex I and II of this report, together with the joint letter to which it is attached, constitute the Agreement between the EC and India with regard to S/SECRET/8 for purposes of Article XXI:2(a) of the GATS.</w:t>
      </w:r>
      <w:r>
        <w:rPr>
          <w:rStyle w:val="FootnoteReference"/>
          <w:noProof/>
          <w:szCs w:val="22"/>
        </w:rPr>
        <w:footnoteReference w:id="2"/>
      </w:r>
      <w:r>
        <w:rPr>
          <w:noProof/>
          <w:szCs w:val="22"/>
        </w:rPr>
        <w:t xml:space="preserve"> This Agreement shall not be interpreted to modify the lists of Article II Exemptions of the EC and its Member States. This Agreement shall not be interpreted to affect the Parties' rights and obligations under Article VIII of the GATS.</w:t>
      </w:r>
    </w:p>
    <w:p>
      <w:pPr>
        <w:pStyle w:val="BodyText"/>
        <w:rPr>
          <w:noProof/>
          <w:szCs w:val="22"/>
        </w:rPr>
      </w:pPr>
      <w:r>
        <w:rPr>
          <w:noProof/>
          <w:szCs w:val="22"/>
        </w:rPr>
        <w:t>With regard to the procedure initiated by the notification contained in document S/SECRET/9, no agreement between the EC and India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szCs w:val="22"/>
        </w:rPr>
      </w:pPr>
      <w:r>
        <w:rPr>
          <w:noProof/>
          <w:szCs w:val="22"/>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India.  </w:t>
      </w:r>
    </w:p>
    <w:p>
      <w:pPr>
        <w:pStyle w:val="BodyText"/>
        <w:rPr>
          <w:bCs/>
          <w:iCs/>
          <w:noProof/>
          <w:szCs w:val="22"/>
        </w:rPr>
      </w:pPr>
      <w:r>
        <w:rPr>
          <w:noProof/>
          <w:szCs w:val="22"/>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 xml:space="preserve">The modifications and withdrawals proposed in documents S/SECRET/8 and S/SECRET/9 shall not enter into force until all of the compensatory adjustments indicated in Annex II have entered into force. </w:t>
      </w:r>
    </w:p>
    <w:p>
      <w:pPr>
        <w:pStyle w:val="BodyText"/>
        <w:numPr>
          <w:ilvl w:val="0"/>
          <w:numId w:val="0"/>
        </w:numPr>
        <w:ind w:left="2880"/>
        <w:rPr>
          <w:bCs/>
          <w:iCs/>
          <w:noProof/>
          <w:szCs w:val="22"/>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Cs/>
          <w:iCs/>
          <w:noProof/>
          <w:szCs w:val="22"/>
        </w:rPr>
        <w:t>__________________________</w:t>
      </w:r>
    </w:p>
    <w:p>
      <w:pPr>
        <w:spacing w:after="0" w:line="240" w:lineRule="auto"/>
        <w:jc w:val="center"/>
        <w:rPr>
          <w:rFonts w:ascii="Times New Roman" w:hAnsi="Times New Roman"/>
          <w:b/>
          <w:noProof/>
        </w:rPr>
      </w:pPr>
      <w:r>
        <w:rPr>
          <w:rFonts w:ascii="Times New Roman" w:hAnsi="Times New Roman"/>
          <w:b/>
          <w:noProof/>
        </w:rPr>
        <w:t>ANNEX I</w:t>
      </w:r>
    </w:p>
    <w:p>
      <w:pPr>
        <w:spacing w:after="0" w:line="240" w:lineRule="auto"/>
        <w:jc w:val="center"/>
        <w:rPr>
          <w:rFonts w:ascii="Times New Roman" w:hAnsi="Times New Roman"/>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rFonts w:ascii="Times New Roman" w:hAnsi="Times New Roman"/>
          <w:noProof/>
          <w:spacing w:val="-2"/>
        </w:rPr>
        <w:t>Czech Republic, Estonia, Cyprus, Latvia, Lithuania, Hungary, Malta,  Austria, Poland, Slovenia, Slovakia, Finland and Sweden</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branches, agencies and representative offices under mode 3 (pages 9 and 10). This entry was not included in the schedule of specific commitments of the </w:t>
      </w:r>
      <w:r>
        <w:rPr>
          <w:rFonts w:ascii="Times New Roman" w:hAnsi="Times New Roman"/>
          <w:noProof/>
          <w:spacing w:val="-2"/>
        </w:rPr>
        <w:t>Czech Republic, Estonia, Cyprus, Latvia, Lithuania, Malta, Slovenia and Slovakia</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subsidiaries under mode 3 (page 10). This entry was not included in the schedule of specific commitments of the </w:t>
      </w:r>
      <w:r>
        <w:rPr>
          <w:rFonts w:ascii="Times New Roman" w:hAnsi="Times New Roman"/>
          <w:noProof/>
          <w:spacing w:val="-2"/>
        </w:rPr>
        <w:t>Czech Republic, Estonia, Cyprus, Latvia, Lithuania, Hungary, Malta, Poland, Slovenia and Slovakia</w:t>
      </w:r>
      <w:r>
        <w:rPr>
          <w:rFonts w:ascii="Times New Roman" w:hAnsi="Times New Roman"/>
          <w:noProof/>
        </w:rPr>
        <w:t>. This limitation now applies to all Member States.</w:t>
      </w:r>
    </w:p>
    <w:p>
      <w:p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subsidies under mode 3 (page 13). The schedule of specific commitments of the </w:t>
      </w:r>
      <w:r>
        <w:rPr>
          <w:rFonts w:ascii="Times New Roman" w:hAnsi="Times New Roman"/>
          <w:noProof/>
          <w:spacing w:val="-2"/>
        </w:rPr>
        <w:t>Czech Republic, Estonia, Cyprus, Latvia, Lithuania, Malta, Austria, Slovenia, Slovakia, Finland and Sweden</w:t>
      </w:r>
      <w:r>
        <w:rPr>
          <w:rFonts w:ascii="Times New Roman" w:hAnsi="Times New Roman"/>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 on subsidies under mode 4 (page 13). The schedule of specific commitments of the </w:t>
      </w:r>
      <w:r>
        <w:rPr>
          <w:rFonts w:ascii="Times New Roman" w:hAnsi="Times New Roman"/>
          <w:noProof/>
          <w:spacing w:val="-2"/>
        </w:rPr>
        <w:t xml:space="preserve">Czech Republic, Estonia, Cyprus, Latvia, Hungary, Malta and Slovakia did not </w:t>
      </w:r>
      <w:r>
        <w:rPr>
          <w:rFonts w:ascii="Times New Roman" w:hAnsi="Times New Roman"/>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 market access</w:t>
      </w:r>
      <w:r>
        <w:rPr>
          <w:rFonts w:ascii="Times New Roman" w:hAnsi="Times New Roman"/>
          <w:noProof/>
        </w:rPr>
        <w:t xml:space="preserve"> commitments on mode 4. These commitments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Intra-company transfers (ICT) (page 26). The schedule of specific commitments of the </w:t>
      </w:r>
      <w:r>
        <w:rPr>
          <w:rFonts w:ascii="Times New Roman" w:hAnsi="Times New Roman"/>
          <w:noProof/>
          <w:spacing w:val="-2"/>
        </w:rPr>
        <w:t xml:space="preserve">Czech Republic, Latvia, Lithuania, Hungary, Poland and Slovakia did not </w:t>
      </w:r>
      <w:r>
        <w:rPr>
          <w:rFonts w:ascii="Times New Roman" w:hAnsi="Times New Roman"/>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service sellers (page 30). The schedule of specific commitments of </w:t>
      </w:r>
      <w:r>
        <w:rPr>
          <w:rFonts w:ascii="Times New Roman" w:hAnsi="Times New Roman"/>
          <w:noProof/>
          <w:spacing w:val="-2"/>
        </w:rPr>
        <w:t xml:space="preserve">Poland did not </w:t>
      </w:r>
      <w:r>
        <w:rPr>
          <w:rFonts w:ascii="Times New Roman" w:hAnsi="Times New Roman"/>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establishment of commercial presence (page 30). The schedule of specific commitments of </w:t>
      </w:r>
      <w:r>
        <w:rPr>
          <w:rFonts w:ascii="Times New Roman" w:hAnsi="Times New Roman"/>
          <w:noProof/>
          <w:spacing w:val="-2"/>
        </w:rPr>
        <w:t xml:space="preserve">Lithuania did not </w:t>
      </w:r>
      <w:r>
        <w:rPr>
          <w:rFonts w:ascii="Times New Roman" w:hAnsi="Times New Roman"/>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Lithuania</w:t>
      </w:r>
      <w:r>
        <w:rPr>
          <w:rFonts w:ascii="Times New Roman" w:hAnsi="Times New Roman"/>
          <w:noProof/>
        </w:rPr>
        <w:t>’s m</w:t>
      </w:r>
      <w:r>
        <w:rPr>
          <w:rFonts w:ascii="Times New Roman" w:hAnsi="Times New Roman"/>
          <w:noProof/>
          <w:spacing w:val="-2"/>
        </w:rPr>
        <w:t>arket access</w:t>
      </w:r>
      <w:r>
        <w:rPr>
          <w:rFonts w:ascii="Times New Roman" w:hAnsi="Times New Roman"/>
          <w:noProof/>
        </w:rPr>
        <w:t xml:space="preserve"> commitments on mode 4 – Business visitors (BV) (page 32). These commitments are </w:t>
      </w:r>
      <w:r>
        <w:rPr>
          <w:rFonts w:ascii="Times New Roman" w:hAnsi="Times New Roman"/>
          <w:iCs/>
          <w:noProof/>
        </w:rPr>
        <w:t>parti</w:t>
      </w:r>
      <w:smartTag w:uri="urn:schemas-microsoft-com:office:smarttags" w:element="PersonName">
        <w:r>
          <w:rPr>
            <w:rFonts w:ascii="Times New Roman" w:hAnsi="Times New Roman"/>
            <w:iCs/>
            <w:noProof/>
          </w:rPr>
          <w:t>ally</w:t>
        </w:r>
      </w:smartTag>
      <w:r>
        <w:rPr>
          <w:rFonts w:ascii="Times New Roman" w:hAnsi="Times New Roman"/>
          <w:noProof/>
        </w:rPr>
        <w:t xml:space="preserv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Latvia’s m</w:t>
      </w:r>
      <w:r>
        <w:rPr>
          <w:rFonts w:ascii="Times New Roman" w:hAnsi="Times New Roman"/>
          <w:noProof/>
          <w:spacing w:val="-2"/>
        </w:rPr>
        <w:t>arket access</w:t>
      </w:r>
      <w:r>
        <w:rPr>
          <w:rFonts w:ascii="Times New Roman" w:hAnsi="Times New Roman"/>
          <w:noProof/>
        </w:rPr>
        <w:t xml:space="preserve"> commitment on mode 4 – contractual services suppliers (CSS) (page 33). The schedule of specific commitments of Latvia </w:t>
      </w:r>
      <w:r>
        <w:rPr>
          <w:rFonts w:ascii="Times New Roman" w:hAnsi="Times New Roman"/>
          <w:noProof/>
          <w:spacing w:val="-2"/>
        </w:rPr>
        <w:t xml:space="preserve">did not </w:t>
      </w:r>
      <w:r>
        <w:rPr>
          <w:rFonts w:ascii="Times New Roman" w:hAnsi="Times New Roman"/>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Rental/Leasing services without operators - Relating to Aircraft (page 95). The market access limitation under mode 2 is extended</w:t>
      </w:r>
      <w:r>
        <w:rPr>
          <w:rFonts w:ascii="Times New Roman" w:hAnsi="Times New Roman"/>
          <w:noProof/>
          <w:spacing w:val="-2"/>
        </w:rPr>
        <w:t xml:space="preserve"> to Estonia, Lithuania, Hungary, Austria, Slovenia, Finland and Sweden</w:t>
      </w:r>
      <w:r>
        <w:rPr>
          <w:rFonts w:ascii="Times New Roman" w:hAnsi="Times New Roman"/>
          <w:noProof/>
        </w:rPr>
        <w:t xml:space="preserve"> and the market access limitation under mode 3 is extended to </w:t>
      </w:r>
      <w:r>
        <w:rPr>
          <w:rFonts w:ascii="Times New Roman" w:hAnsi="Times New Roman"/>
          <w:noProof/>
          <w:spacing w:val="-2"/>
        </w:rPr>
        <w:t>Estonia, Hungary and Austria</w:t>
      </w:r>
      <w:r>
        <w:rPr>
          <w:rFonts w:ascii="Times New Roman" w:hAnsi="Times New Roman"/>
          <w:noProof/>
        </w:rPr>
        <w:t>.</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incidental to manufacturing (pages 109 and 110). The commitments included in the schedule of </w:t>
      </w:r>
      <w:r>
        <w:rPr>
          <w:rFonts w:ascii="Times New Roman" w:hAnsi="Times New Roman"/>
          <w:noProof/>
          <w:spacing w:val="-2"/>
        </w:rPr>
        <w:t>Latvia, Lithuania</w:t>
      </w:r>
      <w:r>
        <w:rPr>
          <w:rFonts w:ascii="Times New Roman" w:hAnsi="Times New Roman"/>
          <w:noProof/>
        </w:rPr>
        <w:t xml:space="preserve"> and Austria are withdrawn.</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Education services (page 156): limitation to “only privately funded services”. This limitation was not included in the schedule of </w:t>
      </w:r>
      <w:r>
        <w:rPr>
          <w:rFonts w:ascii="Times New Roman" w:hAnsi="Times New Roman"/>
          <w:noProof/>
          <w:spacing w:val="-2"/>
        </w:rPr>
        <w:t>Estonia, Latvia, Lithuania, Hungary, Austria, Slovenia (only not included with regard to adult education services) and Slovakia</w:t>
      </w:r>
      <w:r>
        <w:rPr>
          <w:rFonts w:ascii="Times New Roman" w:hAnsi="Times New Roman"/>
          <w:noProof/>
        </w:rPr>
        <w:t xml:space="preserve">. This limitation is now extended to these Member States. In the case of </w:t>
      </w:r>
      <w:r>
        <w:rPr>
          <w:rFonts w:ascii="Times New Roman" w:hAnsi="Times New Roman"/>
          <w:noProof/>
          <w:spacing w:val="-2"/>
        </w:rPr>
        <w:t xml:space="preserve">Slovenia, such an extension only refers to adult education services.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rFonts w:ascii="Times New Roman" w:hAnsi="Times New Roman"/>
          <w:noProof/>
          <w:spacing w:val="-2"/>
        </w:rPr>
        <w:t xml:space="preserve">Czech Republic </w:t>
      </w:r>
      <w:r>
        <w:rPr>
          <w:rFonts w:ascii="Times New Roman" w:hAnsi="Times New Roman"/>
          <w:noProof/>
          <w:spacing w:val="-2"/>
          <w:u w:val="single"/>
        </w:rPr>
        <w:t>as regards</w:t>
      </w:r>
      <w:r>
        <w:rPr>
          <w:rFonts w:ascii="Times New Roman" w:hAnsi="Times New Roman"/>
          <w:noProof/>
          <w:spacing w:val="-2"/>
        </w:rPr>
        <w:t xml:space="preserve"> mode 3, Estonia (not included in mode 1 nor in mode 3), Latvia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Lithuania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1, Hungary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and Slovakia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3 . </w:t>
      </w:r>
      <w:r>
        <w:rPr>
          <w:rFonts w:ascii="Times New Roman" w:hAnsi="Times New Roman"/>
          <w:noProof/>
        </w:rPr>
        <w:t>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Space Transport.  The commitment included in the schedule of Austria is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auxiliary to all modes of transport - Cargo handling services (page 259). A market access limitation under mode 3 has been introduced for </w:t>
      </w:r>
      <w:r>
        <w:rPr>
          <w:rFonts w:ascii="Times New Roman" w:hAnsi="Times New Roman"/>
          <w:noProof/>
          <w:spacing w:val="-2"/>
        </w:rPr>
        <w:t>Estonia, Latvia and Lithuania.</w:t>
      </w:r>
    </w:p>
    <w:p>
      <w:pPr>
        <w:autoSpaceDE w:val="0"/>
        <w:autoSpaceDN w:val="0"/>
        <w:adjustRightInd w:val="0"/>
        <w:spacing w:after="0" w:line="240" w:lineRule="auto"/>
        <w:rPr>
          <w:rFonts w:ascii="Times New Roman" w:hAnsi="Times New Roman"/>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w:t>
      </w:r>
      <w:r>
        <w:rPr>
          <w:rFonts w:ascii="Times New Roman" w:hAnsi="Times New Roman"/>
          <w:noProof/>
        </w:rPr>
        <w:t>' and Malta's commitments on mode 4 under national treatment (pages 25, 29 and 32 of S/SECRET/8).  These commitments are withdrawn.</w:t>
      </w:r>
    </w:p>
    <w:p>
      <w:pPr>
        <w:numPr>
          <w:ilvl w:val="12"/>
          <w:numId w:val="0"/>
        </w:numPr>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Research and Development Services - b) R &amp; D Services on Social Sciences and Humanities (CPC 852) (pages 89 and 90).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Insurance and Insurance-Related Services - (i) Direct insurance (including co-insurance): (a) life and (b) non-life (pages 211 and 212).  </w:t>
      </w:r>
      <w:r>
        <w:rPr>
          <w:rFonts w:ascii="Times New Roman" w:hAnsi="Times New Roman"/>
          <w:noProof/>
          <w:spacing w:val="-2"/>
        </w:rPr>
        <w:t>Cyprus</w:t>
      </w:r>
      <w:r>
        <w:rPr>
          <w:rFonts w:ascii="Times New Roman" w:hAnsi="Times New Roman"/>
          <w:noProof/>
        </w:rPr>
        <w:t>'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 (x) (e) transferable securities (page 223).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Hotels, Restaurants and Catering (CPC 641,642 and 643) (page 232).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Maritime transport services - excluding cabotage transport - (a) Passenger</w:t>
      </w:r>
      <w:r>
        <w:rPr>
          <w:rFonts w:ascii="Times New Roman" w:hAnsi="Times New Roman"/>
          <w:noProof/>
        </w:rPr>
        <w:tab/>
        <w:t>transportation (CPC 7211); (b) Freight transportation (CPC 7212) (page 242).  Malta's commitments on mode 4 (ICT, BV and CSS) under national treatment are withdrawn.</w:t>
      </w:r>
    </w:p>
    <w:p>
      <w:pPr>
        <w:spacing w:after="0" w:line="240" w:lineRule="auto"/>
        <w:rPr>
          <w:rFonts w:ascii="Times New Roman" w:hAnsi="Times New Roman"/>
          <w:noProof/>
        </w:rPr>
      </w:pPr>
    </w:p>
    <w:p>
      <w:pPr>
        <w:spacing w:after="0" w:line="240" w:lineRule="auto"/>
        <w:jc w:val="center"/>
        <w:rPr>
          <w:rFonts w:ascii="Times New Roman" w:hAnsi="Times New Roman"/>
          <w:noProof/>
        </w:rPr>
      </w:pPr>
      <w:r>
        <w:rPr>
          <w:rFonts w:ascii="Times New Roman" w:hAnsi="Times New Roman"/>
          <w:noProof/>
        </w:rPr>
        <w:br w:type="page"/>
      </w:r>
    </w:p>
    <w:p>
      <w:pPr>
        <w:spacing w:after="0" w:line="240" w:lineRule="auto"/>
        <w:jc w:val="center"/>
        <w:rPr>
          <w:rFonts w:ascii="Times New Roman" w:hAnsi="Times New Roman"/>
          <w:b/>
          <w:noProof/>
        </w:rPr>
      </w:pPr>
      <w:r>
        <w:rPr>
          <w:rFonts w:ascii="Times New Roman" w:hAnsi="Times New Roman"/>
          <w:b/>
          <w:noProof/>
        </w:rPr>
        <w:t>ANNEX II</w:t>
      </w:r>
    </w:p>
    <w:p>
      <w:pPr>
        <w:spacing w:after="0" w:line="240" w:lineRule="auto"/>
        <w:jc w:val="center"/>
        <w:rPr>
          <w:rFonts w:ascii="Times New Roman" w:hAnsi="Times New Roman"/>
          <w:noProof/>
        </w:rPr>
      </w:pPr>
    </w:p>
    <w:p>
      <w:pPr>
        <w:spacing w:after="0" w:line="240" w:lineRule="auto"/>
        <w:jc w:val="center"/>
        <w:outlineLvl w:val="0"/>
        <w:rPr>
          <w:rFonts w:ascii="Times New Roman" w:hAnsi="Times New Roman"/>
          <w:b/>
          <w:noProof/>
        </w:rPr>
      </w:pPr>
      <w:r>
        <w:rPr>
          <w:rFonts w:ascii="Times New Roman" w:hAnsi="Times New Roman"/>
          <w:b/>
          <w:noProof/>
        </w:rPr>
        <w:t xml:space="preserve">COMPENSATION BY THE EC </w:t>
      </w:r>
    </w:p>
    <w:p>
      <w:pPr>
        <w:spacing w:after="0" w:line="240" w:lineRule="auto"/>
        <w:rPr>
          <w:rFonts w:ascii="Times New Roman" w:hAnsi="Times New Roman"/>
          <w:noProof/>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Mode 3 horizontal limitation on public utilities</w:t>
      </w:r>
    </w:p>
    <w:p>
      <w:pPr>
        <w:tabs>
          <w:tab w:val="left" w:pos="-142"/>
        </w:tabs>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Footnote on coverage indicating that this limitation does not apply to telecommunication and computer and related services.</w:t>
      </w:r>
    </w:p>
    <w:p>
      <w:pPr>
        <w:spacing w:after="0" w:line="240" w:lineRule="auto"/>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3 horizontal limitations on investment</w:t>
      </w:r>
    </w:p>
    <w:p>
      <w:pPr>
        <w:spacing w:after="0" w:line="240" w:lineRule="auto"/>
        <w:ind w:left="720" w:firstLine="380"/>
        <w:rPr>
          <w:rFonts w:ascii="Times New Roman" w:hAnsi="Times New Roman"/>
          <w:noProof/>
        </w:rPr>
      </w:pPr>
      <w:r>
        <w:rPr>
          <w:rFonts w:ascii="Times New Roman" w:hAnsi="Times New Roman"/>
          <w:noProof/>
        </w:rPr>
        <w:t>-</w:t>
      </w:r>
      <w:r>
        <w:rPr>
          <w:rFonts w:ascii="Times New Roman" w:hAnsi="Times New Roman"/>
          <w:noProof/>
        </w:rPr>
        <w:tab/>
        <w:t xml:space="preserve">Removal of the national treatment limitation for AT in Mode 3 on branches of </w:t>
      </w:r>
      <w:r>
        <w:rPr>
          <w:rFonts w:ascii="Times New Roman" w:hAnsi="Times New Roman"/>
          <w:noProof/>
        </w:rPr>
        <w:tab/>
        <w:t xml:space="preserve">foreign joint stock companies (Aktiengesellschaften) and limited liability </w:t>
      </w:r>
      <w:r>
        <w:rPr>
          <w:rFonts w:ascii="Times New Roman" w:hAnsi="Times New Roman"/>
          <w:noProof/>
        </w:rPr>
        <w:tab/>
        <w:t>companies (Gesellschaften mit beschränkter Haftung).</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4</w:t>
      </w:r>
      <w:r>
        <w:rPr>
          <w:rFonts w:ascii="Times New Roman" w:hAnsi="Times New Roman"/>
          <w:noProof/>
        </w:rPr>
        <w:t xml:space="preserve"> for intra-corporate transferees and business visitors </w:t>
      </w:r>
    </w:p>
    <w:p>
      <w:pPr>
        <w:spacing w:after="0" w:line="240" w:lineRule="auto"/>
        <w:ind w:left="11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and MT in the </w:t>
      </w:r>
      <w:r>
        <w:rPr>
          <w:rFonts w:ascii="Times New Roman" w:hAnsi="Times New Roman"/>
          <w:noProof/>
        </w:rPr>
        <w:tab/>
        <w:t>horizontal section and in the sector-specific section in the sectors where CY and MT have undertaken Mode 3 commitments.</w:t>
      </w:r>
    </w:p>
    <w:p>
      <w:pPr>
        <w:spacing w:after="0" w:line="240" w:lineRule="auto"/>
        <w:ind w:left="720" w:firstLine="38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noProof/>
        </w:rPr>
        <w:t>Professional services -</w:t>
      </w:r>
      <w:r>
        <w:rPr>
          <w:rFonts w:ascii="Times New Roman" w:hAnsi="Times New Roman"/>
          <w:b/>
          <w:noProof/>
        </w:rPr>
        <w:t xml:space="preserve"> Engineering services</w:t>
      </w:r>
      <w:r>
        <w:rPr>
          <w:rFonts w:ascii="Times New Roman" w:hAnsi="Times New Roman"/>
          <w:noProof/>
        </w:rPr>
        <w:t xml:space="preserve"> (CPC 8672)</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and MT in Mode 2</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Market Access commitments by CY, CZ, MT &amp; SK in Mode 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National Treatment commitments by CY and MT in Mode 3</w:t>
      </w:r>
    </w:p>
    <w:p>
      <w:pPr>
        <w:spacing w:after="0" w:line="240" w:lineRule="auto"/>
        <w:ind w:left="360" w:firstLine="720"/>
        <w:rPr>
          <w:rFonts w:ascii="Times New Roman" w:hAnsi="Times New Roman"/>
          <w:noProof/>
        </w:rPr>
      </w:pPr>
      <w:r>
        <w:rPr>
          <w:rFonts w:ascii="Times New Roman" w:hAnsi="Times New Roman"/>
          <w:noProof/>
        </w:rPr>
        <w:t xml:space="preserve">- </w:t>
      </w:r>
      <w:r>
        <w:rPr>
          <w:rFonts w:ascii="Times New Roman" w:hAnsi="Times New Roman"/>
          <w:noProof/>
        </w:rPr>
        <w:tab/>
        <w:t xml:space="preserve">Removal of the market access limitation for PT in mode 3 </w:t>
      </w:r>
    </w:p>
    <w:p>
      <w:pPr>
        <w:spacing w:after="0" w:line="240" w:lineRule="auto"/>
        <w:ind w:left="360" w:firstLine="72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Integrated Engineering Services</w:t>
      </w:r>
      <w:r>
        <w:rPr>
          <w:rFonts w:ascii="Times New Roman" w:hAnsi="Times New Roman"/>
          <w:noProof/>
        </w:rPr>
        <w:t xml:space="preserve"> (CPC 8673):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Removal of the ENT applied on Mode 4/CSS by the UK</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SK in Mode 3  </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Urban planning and landscape architectural services</w:t>
      </w:r>
      <w:r>
        <w:rPr>
          <w:rFonts w:ascii="Times New Roman" w:hAnsi="Times New Roman"/>
          <w:noProof/>
        </w:rPr>
        <w:t xml:space="preserve"> (CPC 8674):</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CZ, MT, PL, SI &amp; SK in Mode 3. </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on Landscape Architectural Services in Mode 2. </w:t>
      </w:r>
    </w:p>
    <w:p>
      <w:pPr>
        <w:spacing w:after="0" w:line="240" w:lineRule="auto"/>
        <w:ind w:left="360"/>
        <w:rPr>
          <w:rFonts w:ascii="Times New Roman" w:hAnsi="Times New Roman"/>
          <w:noProof/>
        </w:rPr>
      </w:pPr>
    </w:p>
    <w:p>
      <w:pPr>
        <w:numPr>
          <w:ilvl w:val="0"/>
          <w:numId w:val="6"/>
        </w:numPr>
        <w:spacing w:after="0" w:line="240" w:lineRule="auto"/>
        <w:jc w:val="both"/>
        <w:rPr>
          <w:rFonts w:ascii="Times New Roman" w:hAnsi="Times New Roman"/>
          <w:noProof/>
        </w:rPr>
      </w:pPr>
      <w:r>
        <w:rPr>
          <w:rFonts w:ascii="Times New Roman" w:hAnsi="Times New Roman"/>
          <w:b/>
          <w:noProof/>
        </w:rPr>
        <w:t>Computer and related services</w:t>
      </w:r>
      <w:r>
        <w:rPr>
          <w:rFonts w:ascii="Times New Roman" w:hAnsi="Times New Roman"/>
          <w:noProof/>
        </w:rPr>
        <w:t xml:space="preserve"> -  </w:t>
      </w:r>
    </w:p>
    <w:p>
      <w:pPr>
        <w:spacing w:after="0" w:line="240" w:lineRule="auto"/>
        <w:ind w:left="720" w:firstLine="360"/>
        <w:rPr>
          <w:rFonts w:ascii="Times New Roman" w:hAnsi="Times New Roman"/>
          <w:noProof/>
        </w:rPr>
      </w:pPr>
      <w:r>
        <w:rPr>
          <w:rFonts w:ascii="Times New Roman" w:hAnsi="Times New Roman"/>
          <w:noProof/>
        </w:rPr>
        <w:t>-</w:t>
      </w:r>
      <w:r>
        <w:rPr>
          <w:rFonts w:ascii="Times New Roman" w:hAnsi="Times New Roman"/>
          <w:noProof/>
        </w:rPr>
        <w:tab/>
        <w:t>Addition of a clarificatory footnote.</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in </w:t>
      </w:r>
      <w:r>
        <w:rPr>
          <w:rFonts w:ascii="Times New Roman" w:hAnsi="Times New Roman"/>
          <w:noProof/>
        </w:rPr>
        <w:tab/>
        <w:t>Modes 1, 2 &amp; 3 for CPC 845 and 849</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Improved conditions for CSS/Mode 4 by SE for computer and related services in the horizontal section and new commitments by SE for CSS/Mode 4 for CPC 845 and 849.</w:t>
      </w:r>
    </w:p>
    <w:p>
      <w:pPr>
        <w:spacing w:after="0" w:line="240" w:lineRule="auto"/>
        <w:ind w:left="720" w:firstLine="36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rPr>
        <w:t>Advertising services</w:t>
      </w:r>
      <w:r>
        <w:rPr>
          <w:rFonts w:ascii="Times New Roman" w:hAnsi="Times New Roman"/>
          <w:noProof/>
        </w:rPr>
        <w:t xml:space="preserve"> (CPC 871):</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MT &amp;</w:t>
      </w:r>
    </w:p>
    <w:p>
      <w:pPr>
        <w:spacing w:after="0" w:line="240" w:lineRule="auto"/>
        <w:ind w:left="1080"/>
        <w:rPr>
          <w:rFonts w:ascii="Times New Roman" w:hAnsi="Times New Roman"/>
          <w:noProof/>
        </w:rPr>
      </w:pPr>
      <w:r>
        <w:rPr>
          <w:rFonts w:ascii="Times New Roman" w:hAnsi="Times New Roman"/>
          <w:noProof/>
        </w:rPr>
        <w:t xml:space="preserve"> </w:t>
      </w:r>
      <w:r>
        <w:rPr>
          <w:rFonts w:ascii="Times New Roman" w:hAnsi="Times New Roman"/>
          <w:noProof/>
        </w:rPr>
        <w:tab/>
        <w:t>PL in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rPr>
        <w:t>Telecommunication services</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New and improved commitments by the entire EC as offered in its revised DDA offer.</w:t>
      </w:r>
    </w:p>
    <w:p>
      <w:pPr>
        <w:spacing w:after="0" w:line="240" w:lineRule="auto"/>
        <w:ind w:left="1440" w:hanging="360"/>
        <w:rPr>
          <w:rFonts w:ascii="Times New Roman" w:hAnsi="Times New Roman"/>
          <w:noProof/>
        </w:rPr>
      </w:pPr>
      <w:r>
        <w:rPr>
          <w:rFonts w:ascii="Times New Roman" w:hAnsi="Times New Roman"/>
          <w:noProof/>
        </w:rPr>
        <w:t xml:space="preserve">- </w:t>
      </w:r>
      <w:r>
        <w:rPr>
          <w:rFonts w:ascii="Times New Roman" w:hAnsi="Times New Roman"/>
          <w:noProof/>
        </w:rPr>
        <w:tab/>
        <w:t>A clarification from FI that its three Mode 3 horizontal limitations on legal entities under market access, on subsidiaries, branches, agencies and representative offices under</w:t>
      </w:r>
      <w:r>
        <w:rPr>
          <w:rFonts w:ascii="Times New Roman" w:hAnsi="Times New Roman"/>
          <w:b/>
          <w:noProof/>
        </w:rPr>
        <w:t xml:space="preserve"> </w:t>
      </w:r>
      <w:r>
        <w:rPr>
          <w:rFonts w:ascii="Times New Roman" w:hAnsi="Times New Roman"/>
          <w:noProof/>
        </w:rPr>
        <w:t>national treatment, and</w:t>
      </w:r>
      <w:r>
        <w:rPr>
          <w:rFonts w:ascii="Times New Roman" w:hAnsi="Times New Roman"/>
          <w:b/>
          <w:noProof/>
        </w:rPr>
        <w:t xml:space="preserve"> </w:t>
      </w:r>
      <w:r>
        <w:rPr>
          <w:rFonts w:ascii="Times New Roman" w:hAnsi="Times New Roman"/>
          <w:noProof/>
        </w:rPr>
        <w:t xml:space="preserve">on investment under market access do not apply to telecommunications services. </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spacing w:after="0" w:line="240" w:lineRule="auto"/>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Financial services (insurance services):</w:t>
      </w:r>
    </w:p>
    <w:p>
      <w:pPr>
        <w:spacing w:after="0" w:line="240" w:lineRule="auto"/>
        <w:ind w:left="1080"/>
        <w:rPr>
          <w:rFonts w:ascii="Times New Roman" w:hAnsi="Times New Roman"/>
          <w:b/>
          <w:noProof/>
        </w:rPr>
      </w:pPr>
      <w:r>
        <w:rPr>
          <w:rFonts w:ascii="Times New Roman" w:hAnsi="Times New Roman"/>
          <w:b/>
          <w:noProof/>
        </w:rPr>
        <w:t>-</w:t>
      </w:r>
      <w:r>
        <w:rPr>
          <w:rFonts w:ascii="Times New Roman" w:hAnsi="Times New Roman"/>
          <w:b/>
          <w:noProof/>
        </w:rPr>
        <w:tab/>
      </w:r>
      <w:r>
        <w:rPr>
          <w:rFonts w:ascii="Times New Roman" w:hAnsi="Times New Roman"/>
          <w:noProof/>
        </w:rPr>
        <w:t xml:space="preserve">Removal of part of the market access limitations for SK in Mode 3  </w:t>
      </w:r>
    </w:p>
    <w:p>
      <w:pPr>
        <w:spacing w:after="0" w:line="240" w:lineRule="auto"/>
        <w:ind w:left="108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Financial services (banking)</w:t>
      </w:r>
    </w:p>
    <w:p>
      <w:pPr>
        <w:tabs>
          <w:tab w:val="left" w:pos="-142"/>
        </w:tabs>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FI: change in Mode 3 permanent residency requirements (“At least one of the </w:t>
      </w:r>
      <w:r>
        <w:rPr>
          <w:rFonts w:ascii="Times New Roman" w:hAnsi="Times New Roman"/>
          <w:noProof/>
        </w:rPr>
        <w:tab/>
        <w:t xml:space="preserve">founders, the members of the board of directors, the supervisory board and the </w:t>
      </w:r>
      <w:r>
        <w:rPr>
          <w:rFonts w:ascii="Times New Roman" w:hAnsi="Times New Roman"/>
          <w:noProof/>
        </w:rPr>
        <w:tab/>
        <w:t xml:space="preserve">managing director shall have their permanent residence in the European </w:t>
      </w:r>
      <w:r>
        <w:rPr>
          <w:rFonts w:ascii="Times New Roman" w:hAnsi="Times New Roman"/>
          <w:noProof/>
        </w:rPr>
        <w:tab/>
        <w:t xml:space="preserve">Community…" instead of  “At least one half of the founders, the members of  the </w:t>
      </w:r>
      <w:r>
        <w:rPr>
          <w:rFonts w:ascii="Times New Roman" w:hAnsi="Times New Roman"/>
          <w:noProof/>
        </w:rPr>
        <w:tab/>
        <w:t xml:space="preserve">board of directors, the supervisory board and the delegates, the managing </w:t>
      </w:r>
      <w:r>
        <w:rPr>
          <w:rFonts w:ascii="Times New Roman" w:hAnsi="Times New Roman"/>
          <w:noProof/>
        </w:rPr>
        <w:tab/>
        <w:t xml:space="preserve">director, the holder of the procuration and the person entitled to sign in the </w:t>
      </w:r>
      <w:r>
        <w:rPr>
          <w:rFonts w:ascii="Times New Roman" w:hAnsi="Times New Roman"/>
          <w:noProof/>
        </w:rPr>
        <w:tab/>
        <w:t xml:space="preserve">name of the credit institution shall have their place of residence in the European </w:t>
      </w:r>
      <w:r>
        <w:rPr>
          <w:rFonts w:ascii="Times New Roman" w:hAnsi="Times New Roman"/>
          <w:noProof/>
        </w:rPr>
        <w:tab/>
        <w:t>Community…”).</w:t>
      </w:r>
    </w:p>
    <w:p>
      <w:pPr>
        <w:spacing w:after="0" w:line="240" w:lineRule="auto"/>
        <w:ind w:left="36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Hotels, Restaurants and Catering</w:t>
      </w:r>
    </w:p>
    <w:p>
      <w:pPr>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New (less restrictive) language for IT's ENT in mode 3 on bars, cafes and </w:t>
      </w:r>
      <w:r>
        <w:rPr>
          <w:rFonts w:ascii="Times New Roman" w:hAnsi="Times New Roman"/>
          <w:noProof/>
        </w:rPr>
        <w:tab/>
        <w:t>restaurants, including a commitment on its non-discriminatory nature.</w:t>
      </w:r>
    </w:p>
    <w:p>
      <w:pPr>
        <w:tabs>
          <w:tab w:val="left" w:pos="-142"/>
        </w:tabs>
        <w:spacing w:after="0" w:line="240" w:lineRule="auto"/>
        <w:ind w:left="357"/>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Travel Agencies and Tour Operators Services</w:t>
      </w:r>
    </w:p>
    <w:p>
      <w:pPr>
        <w:tabs>
          <w:tab w:val="left" w:pos="-142"/>
        </w:tabs>
        <w:spacing w:after="0" w:line="240" w:lineRule="auto"/>
        <w:ind w:left="1077"/>
        <w:rPr>
          <w:rFonts w:ascii="Times New Roman" w:hAnsi="Times New Roman"/>
          <w:b/>
          <w:noProof/>
        </w:rPr>
      </w:pPr>
      <w:r>
        <w:rPr>
          <w:rFonts w:ascii="Times New Roman" w:hAnsi="Times New Roman"/>
          <w:noProof/>
        </w:rPr>
        <w:t xml:space="preserve">- </w:t>
      </w:r>
      <w:r>
        <w:rPr>
          <w:rFonts w:ascii="Times New Roman" w:hAnsi="Times New Roman"/>
          <w:noProof/>
        </w:rPr>
        <w:tab/>
        <w:t>Removal of the ENT applied on Mode 3 by the CZ</w:t>
      </w:r>
    </w:p>
    <w:p>
      <w:pPr>
        <w:spacing w:after="0" w:line="240" w:lineRule="auto"/>
        <w:ind w:left="360"/>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Hairdressing services</w:t>
      </w:r>
    </w:p>
    <w:p>
      <w:pPr>
        <w:spacing w:after="0" w:line="240" w:lineRule="auto"/>
        <w:ind w:left="1080"/>
        <w:rPr>
          <w:rFonts w:ascii="Times New Roman" w:hAnsi="Times New Roman"/>
          <w:noProof/>
        </w:rPr>
      </w:pPr>
      <w:r>
        <w:rPr>
          <w:rFonts w:ascii="Times New Roman" w:hAnsi="Times New Roman"/>
          <w:b/>
          <w:noProof/>
        </w:rPr>
        <w:t>-</w:t>
      </w:r>
      <w:r>
        <w:rPr>
          <w:rFonts w:ascii="Times New Roman" w:hAnsi="Times New Roman"/>
          <w:noProof/>
        </w:rPr>
        <w:tab/>
        <w:t xml:space="preserve">Market Access and National Treatment commitments by CZ, FI, HU and SK in </w:t>
      </w:r>
      <w:r>
        <w:rPr>
          <w:rFonts w:ascii="Times New Roman" w:hAnsi="Times New Roman"/>
          <w:noProof/>
        </w:rPr>
        <w:tab/>
        <w:t>Modes 2 &amp; 3</w:t>
      </w:r>
    </w:p>
    <w:p>
      <w:pPr>
        <w:spacing w:after="0" w:line="240" w:lineRule="auto"/>
        <w:ind w:left="1440" w:hanging="360"/>
        <w:rPr>
          <w:rFonts w:ascii="Times New Roman" w:hAnsi="Times New Roman"/>
          <w:noProof/>
        </w:rPr>
      </w:pPr>
    </w:p>
    <w:p>
      <w:pPr>
        <w:spacing w:after="0" w:line="240" w:lineRule="auto"/>
        <w:ind w:left="1440" w:hanging="360"/>
        <w:rPr>
          <w:rFonts w:ascii="Times New Roman" w:hAnsi="Times New Roman"/>
          <w:noProof/>
        </w:r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The following abbreviations are used to indicate the Member States:</w:t>
      </w:r>
    </w:p>
    <w:p>
      <w:pPr>
        <w:tabs>
          <w:tab w:val="left" w:pos="-720"/>
          <w:tab w:val="left" w:pos="567"/>
        </w:tabs>
        <w:suppressAutoHyphens/>
        <w:spacing w:after="0" w:line="240" w:lineRule="auto"/>
        <w:rPr>
          <w:rFonts w:ascii="Times New Roman" w:hAnsi="Times New Roman"/>
          <w:noProof/>
          <w:spacing w:val="-2"/>
        </w:rPr>
      </w:pPr>
    </w:p>
    <w:p>
      <w:pPr>
        <w:tabs>
          <w:tab w:val="left" w:pos="-720"/>
          <w:tab w:val="left" w:pos="567"/>
        </w:tabs>
        <w:suppressAutoHyphens/>
        <w:spacing w:after="0" w:line="240" w:lineRule="auto"/>
        <w:rPr>
          <w:rFonts w:ascii="Times New Roman" w:hAnsi="Times New Roman"/>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AT</w:t>
      </w:r>
      <w:r>
        <w:rPr>
          <w:rFonts w:ascii="Times New Roman" w:hAnsi="Times New Roman"/>
          <w:noProof/>
          <w:spacing w:val="-2"/>
        </w:rPr>
        <w:tab/>
        <w:t xml:space="preserve">Austria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BE</w:t>
      </w:r>
      <w:r>
        <w:rPr>
          <w:rFonts w:ascii="Times New Roman" w:hAnsi="Times New Roman"/>
          <w:noProof/>
          <w:spacing w:val="-2"/>
        </w:rPr>
        <w:tab/>
        <w:t>Belgium</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CY</w:t>
      </w:r>
      <w:r>
        <w:rPr>
          <w:rFonts w:ascii="Times New Roman" w:hAnsi="Times New Roman"/>
          <w:noProof/>
          <w:spacing w:val="-2"/>
        </w:rPr>
        <w:tab/>
        <w:t>Cyprus</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CZ</w:t>
      </w:r>
      <w:r>
        <w:rPr>
          <w:rFonts w:ascii="Times New Roman" w:hAnsi="Times New Roman"/>
          <w:noProof/>
          <w:spacing w:val="-2"/>
        </w:rPr>
        <w:tab/>
        <w:t>Czech Republic</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DE</w:t>
      </w:r>
      <w:r>
        <w:rPr>
          <w:rFonts w:ascii="Times New Roman" w:hAnsi="Times New Roman"/>
          <w:noProof/>
          <w:spacing w:val="-2"/>
        </w:rPr>
        <w:tab/>
        <w:t>Germany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DK</w:t>
      </w:r>
      <w:r>
        <w:rPr>
          <w:rFonts w:ascii="Times New Roman" w:hAnsi="Times New Roman"/>
          <w:noProof/>
          <w:spacing w:val="-2"/>
        </w:rPr>
        <w:tab/>
        <w:t>Denmark</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EE</w:t>
      </w:r>
      <w:r>
        <w:rPr>
          <w:rFonts w:ascii="Times New Roman" w:hAnsi="Times New Roman"/>
          <w:noProof/>
          <w:spacing w:val="-2"/>
        </w:rPr>
        <w:tab/>
        <w:t xml:space="preserve">Estonia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EL</w:t>
      </w:r>
      <w:r>
        <w:rPr>
          <w:rFonts w:ascii="Times New Roman" w:hAnsi="Times New Roman"/>
          <w:noProof/>
          <w:spacing w:val="-2"/>
        </w:rPr>
        <w:tab/>
        <w:t xml:space="preserve">Greece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ES</w:t>
      </w:r>
      <w:r>
        <w:rPr>
          <w:rFonts w:ascii="Times New Roman" w:hAnsi="Times New Roman"/>
          <w:noProof/>
          <w:spacing w:val="-2"/>
        </w:rPr>
        <w:tab/>
        <w:t>Spain</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FI</w:t>
      </w:r>
      <w:r>
        <w:rPr>
          <w:rFonts w:ascii="Times New Roman" w:hAnsi="Times New Roman"/>
          <w:noProof/>
          <w:spacing w:val="-2"/>
        </w:rPr>
        <w:tab/>
        <w:t xml:space="preserve">Finland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FR</w:t>
      </w:r>
      <w:r>
        <w:rPr>
          <w:rFonts w:ascii="Times New Roman" w:hAnsi="Times New Roman"/>
          <w:noProof/>
          <w:spacing w:val="-2"/>
        </w:rPr>
        <w:tab/>
        <w:t>France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HU</w:t>
      </w:r>
      <w:r>
        <w:rPr>
          <w:rFonts w:ascii="Times New Roman" w:hAnsi="Times New Roman"/>
          <w:noProof/>
          <w:spacing w:val="-2"/>
        </w:rPr>
        <w:tab/>
        <w:t xml:space="preserve">Hungary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IE</w:t>
      </w:r>
      <w:r>
        <w:rPr>
          <w:rFonts w:ascii="Times New Roman" w:hAnsi="Times New Roman"/>
          <w:noProof/>
          <w:spacing w:val="-2"/>
        </w:rPr>
        <w:tab/>
        <w:t>Ireland</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IT</w:t>
      </w:r>
      <w:r>
        <w:rPr>
          <w:rFonts w:ascii="Times New Roman" w:hAnsi="Times New Roman"/>
          <w:noProof/>
          <w:spacing w:val="-2"/>
        </w:rPr>
        <w:tab/>
        <w:t>Italy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LT</w:t>
      </w:r>
      <w:r>
        <w:rPr>
          <w:rFonts w:ascii="Times New Roman" w:hAnsi="Times New Roman"/>
          <w:noProof/>
          <w:spacing w:val="-2"/>
        </w:rPr>
        <w:tab/>
        <w:t xml:space="preserve">Lithuania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 xml:space="preserve">LU </w:t>
      </w:r>
      <w:r>
        <w:rPr>
          <w:rFonts w:ascii="Times New Roman" w:hAnsi="Times New Roman"/>
          <w:noProof/>
          <w:spacing w:val="-2"/>
        </w:rPr>
        <w:tab/>
        <w:t>Luxembourg</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LV</w:t>
      </w:r>
      <w:r>
        <w:rPr>
          <w:rFonts w:ascii="Times New Roman" w:hAnsi="Times New Roman"/>
          <w:noProof/>
          <w:spacing w:val="-2"/>
        </w:rPr>
        <w:tab/>
        <w:t>Latvia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MT</w:t>
      </w:r>
      <w:r>
        <w:rPr>
          <w:rFonts w:ascii="Times New Roman" w:hAnsi="Times New Roman"/>
          <w:noProof/>
          <w:spacing w:val="-2"/>
        </w:rPr>
        <w:tab/>
        <w:t>Malta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NL</w:t>
      </w:r>
      <w:r>
        <w:rPr>
          <w:rFonts w:ascii="Times New Roman" w:hAnsi="Times New Roman"/>
          <w:noProof/>
          <w:spacing w:val="-2"/>
        </w:rPr>
        <w:tab/>
        <w:t>The Netherlands</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rPr>
        <w:tab/>
      </w:r>
      <w:r>
        <w:rPr>
          <w:rFonts w:ascii="Times New Roman" w:hAnsi="Times New Roman"/>
          <w:noProof/>
          <w:spacing w:val="-2"/>
          <w:lang w:val="it-IT"/>
        </w:rPr>
        <w:t>PL</w:t>
      </w:r>
      <w:r>
        <w:rPr>
          <w:rFonts w:ascii="Times New Roman" w:hAnsi="Times New Roman"/>
          <w:noProof/>
          <w:spacing w:val="-2"/>
          <w:lang w:val="it-IT"/>
        </w:rPr>
        <w:tab/>
        <w:t xml:space="preserve">Poland </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PT</w:t>
      </w:r>
      <w:r>
        <w:rPr>
          <w:rFonts w:ascii="Times New Roman" w:hAnsi="Times New Roman"/>
          <w:noProof/>
          <w:spacing w:val="-2"/>
          <w:lang w:val="it-IT"/>
        </w:rPr>
        <w:tab/>
        <w:t>Portugal</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SE</w:t>
      </w:r>
      <w:r>
        <w:rPr>
          <w:rFonts w:ascii="Times New Roman" w:hAnsi="Times New Roman"/>
          <w:noProof/>
          <w:spacing w:val="-2"/>
          <w:lang w:val="it-IT"/>
        </w:rPr>
        <w:tab/>
        <w:t>Sweden</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SI</w:t>
      </w:r>
      <w:r>
        <w:rPr>
          <w:rFonts w:ascii="Times New Roman" w:hAnsi="Times New Roman"/>
          <w:noProof/>
          <w:spacing w:val="-2"/>
          <w:lang w:val="it-IT"/>
        </w:rPr>
        <w:tab/>
        <w:t>Slovenia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it-IT"/>
        </w:rPr>
        <w:tab/>
      </w:r>
      <w:r>
        <w:rPr>
          <w:rFonts w:ascii="Times New Roman" w:hAnsi="Times New Roman"/>
          <w:noProof/>
          <w:spacing w:val="-2"/>
        </w:rPr>
        <w:t>SK</w:t>
      </w:r>
      <w:r>
        <w:rPr>
          <w:rFonts w:ascii="Times New Roman" w:hAnsi="Times New Roman"/>
          <w:noProof/>
          <w:spacing w:val="-2"/>
        </w:rPr>
        <w:tab/>
        <w:t>Slovak Republic</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UK</w:t>
      </w:r>
      <w:r>
        <w:rPr>
          <w:rFonts w:ascii="Times New Roman" w:hAnsi="Times New Roman"/>
          <w:noProof/>
          <w:spacing w:val="-2"/>
        </w:rPr>
        <w:tab/>
        <w:t>United Kingdom</w:t>
      </w:r>
    </w:p>
    <w:p>
      <w:pPr>
        <w:spacing w:after="0" w:line="240" w:lineRule="auto"/>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line="240" w:lineRule="auto"/>
        <w:rPr>
          <w:rFonts w:ascii="Times New Roman" w:hAnsi="Times New Roman"/>
          <w:noProof/>
        </w:rPr>
      </w:pPr>
    </w:p>
    <w:p>
      <w:pPr>
        <w:autoSpaceDE w:val="0"/>
        <w:autoSpaceDN w:val="0"/>
        <w:adjustRightInd w:val="0"/>
        <w:spacing w:after="0" w:line="240" w:lineRule="auto"/>
        <w:rPr>
          <w:rFonts w:ascii="Times New Roman" w:hAnsi="Times New Roman"/>
          <w:i/>
          <w:noProof/>
        </w:rPr>
      </w:pPr>
    </w:p>
    <w:p>
      <w:pPr>
        <w:spacing w:after="0" w:line="240" w:lineRule="auto"/>
        <w:jc w:val="center"/>
        <w:rPr>
          <w:rFonts w:ascii="Times New Roman" w:hAnsi="Times New Roman"/>
          <w:b/>
          <w:noProof/>
        </w:rPr>
      </w:pPr>
      <w:r>
        <w:rPr>
          <w:rFonts w:ascii="Times New Roman" w:hAnsi="Times New Roman"/>
          <w:b/>
          <w:noProof/>
        </w:rPr>
        <w:t>__________</w:t>
      </w:r>
    </w:p>
    <w:p>
      <w:pPr>
        <w:spacing w:after="0" w:line="240" w:lineRule="auto"/>
        <w:rPr>
          <w:rFonts w:ascii="Times New Roman" w:hAnsi="Times New Roman"/>
          <w:noProof/>
        </w:rPr>
      </w:pPr>
    </w:p>
    <w:p>
      <w:pPr>
        <w:spacing w:after="0" w:line="240" w:lineRule="auto"/>
        <w:rPr>
          <w:rFonts w:ascii="Times New Roman" w:hAnsi="Times New Roman"/>
          <w:noProof/>
        </w:rPr>
      </w:pPr>
    </w:p>
    <w:p>
      <w:pPr>
        <w:pStyle w:val="BodyText"/>
        <w:numPr>
          <w:ilvl w:val="0"/>
          <w:numId w:val="0"/>
        </w:numPr>
        <w:ind w:left="2880"/>
        <w:rPr>
          <w:bCs/>
          <w:iCs/>
          <w:noProof/>
          <w:szCs w:val="22"/>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1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886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909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4656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532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0"/>
    <w:docVar w:name="LW_ANNEX_NBR_LAST" w:val="10"/>
    <w:docVar w:name="LW_ANNEX_UNIQUE" w:val="0"/>
    <w:docVar w:name="LW_CORRIGENDUM" w:val="&lt;UNUSED&gt;"/>
    <w:docVar w:name="LW_COVERPAGE_EXISTS" w:val="True"/>
    <w:docVar w:name="LW_COVERPAGE_GUID" w:val="B736E4AE-BE9D-4975-AC76-E5D5C96C480A"/>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3E13-CE5D-4EF8-94BB-E3DFACE0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3454</Words>
  <Characters>18552</Characters>
  <Application>Microsoft Office Word</Application>
  <DocSecurity>0</DocSecurity>
  <Lines>386</Lines>
  <Paragraphs>150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11</cp:revision>
  <dcterms:created xsi:type="dcterms:W3CDTF">2018-07-16T15:12:00Z</dcterms:created>
  <dcterms:modified xsi:type="dcterms:W3CDTF">2018-10-30T14:41:00Z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