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E06B71F-DA17-4FCC-A29A-E55E5104324A" style="width:450.75pt;height:489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417" w:bottom="1134" w:left="1417" w:header="709" w:footer="709" w:gutter="0"/>
          <w:pgNumType w:start="0"/>
          <w:cols w:space="720"/>
          <w:docGrid w:linePitch="360"/>
        </w:sectPr>
      </w:pPr>
    </w:p>
    <w:p>
      <w:pPr>
        <w:jc w:val="center"/>
        <w:rPr>
          <w:rFonts w:ascii="Times New Roman" w:hAnsi="Times New Roman"/>
          <w:b/>
          <w:noProof/>
          <w:lang w:val="bg-BG"/>
        </w:rPr>
      </w:pPr>
      <w:bookmarkStart w:id="1" w:name="_GoBack"/>
      <w:bookmarkEnd w:id="1"/>
      <w:r>
        <w:rPr>
          <w:rFonts w:ascii="Times New Roman" w:hAnsi="Times New Roman"/>
          <w:b/>
          <w:noProof/>
          <w:lang w:val="bg-BG"/>
        </w:rPr>
        <w:lastRenderedPageBreak/>
        <w:t>ОФИЦИАЛЕН ПРЕВОД</w:t>
      </w:r>
    </w:p>
    <w:p>
      <w:pPr>
        <w:jc w:val="center"/>
        <w:rPr>
          <w:rFonts w:ascii="Times New Roman" w:hAnsi="Times New Roman"/>
          <w:b/>
          <w:noProof/>
          <w:lang w:val="ru-RU"/>
        </w:rPr>
      </w:pPr>
      <w:r>
        <w:rPr>
          <w:rFonts w:ascii="Times New Roman" w:hAnsi="Times New Roman"/>
          <w:b/>
          <w:noProof/>
          <w:lang w:val="bg-BG"/>
        </w:rPr>
        <w:t>Съвместно писмо от Европейските общности и техните държави членки, от една страна, и Филипините, от друга страна, съгласно параграф 5 от Процедурите за прилагане на член XXI от Общото споразумение по търговията с услуги (ГАТС) (S/L/80 от 29 октомври 1999 г.)</w:t>
      </w:r>
    </w:p>
    <w:p>
      <w:pPr>
        <w:jc w:val="center"/>
        <w:rPr>
          <w:rFonts w:ascii="Times New Roman" w:hAnsi="Times New Roman"/>
          <w:b/>
          <w:noProof/>
          <w:lang w:val="ru-RU"/>
        </w:rPr>
      </w:pPr>
      <w:r>
        <w:rPr>
          <w:rFonts w:ascii="Times New Roman" w:hAnsi="Times New Roman"/>
          <w:b/>
          <w:noProof/>
          <w:lang w:val="bg-BG"/>
        </w:rPr>
        <w:t>относно</w:t>
      </w:r>
    </w:p>
    <w:p>
      <w:pPr>
        <w:jc w:val="center"/>
        <w:rPr>
          <w:rFonts w:ascii="Times New Roman" w:hAnsi="Times New Roman"/>
          <w:b/>
          <w:noProof/>
          <w:lang w:val="ru-RU"/>
        </w:rPr>
      </w:pPr>
      <w:r>
        <w:rPr>
          <w:rFonts w:ascii="Times New Roman" w:hAnsi="Times New Roman"/>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rPr>
          <w:rFonts w:ascii="Times New Roman" w:hAnsi="Times New Roman"/>
          <w:b/>
          <w:noProof/>
          <w:lang w:val="ru-RU"/>
        </w:rPr>
      </w:pPr>
    </w:p>
    <w:p>
      <w:pPr>
        <w:pStyle w:val="BodyText"/>
        <w:numPr>
          <w:ilvl w:val="0"/>
          <w:numId w:val="0"/>
        </w:numPr>
        <w:rPr>
          <w:noProof/>
          <w:szCs w:val="24"/>
          <w:lang w:val="ru-RU"/>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съгласно член V, алинея 5 от ГАТС и в съответствие с условията на член XXI, алинея 1, буква б) от ГАТС.</w:t>
      </w:r>
      <w:r>
        <w:rPr>
          <w:noProof/>
          <w:szCs w:val="24"/>
          <w:lang w:val="ru-RU"/>
        </w:rPr>
        <w:t xml:space="preserve"> </w:t>
      </w:r>
    </w:p>
    <w:p>
      <w:pPr>
        <w:pStyle w:val="BodyText"/>
        <w:numPr>
          <w:ilvl w:val="0"/>
          <w:numId w:val="0"/>
        </w:numPr>
        <w:rPr>
          <w:noProof/>
          <w:szCs w:val="24"/>
          <w:lang w:val="ru-RU"/>
        </w:rPr>
      </w:pPr>
      <w:r>
        <w:rPr>
          <w:noProof/>
          <w:szCs w:val="24"/>
          <w:lang w:val="bg-BG"/>
        </w:rPr>
        <w:t>След подаването на първото съобщение Филипините представиха заявление за изразяване на интерес в съответствие с член XXI, алинея 2, буква а) от ГАТС (S/L/179) относно S/SECRET/8. По отношение на S/SECRET/9 не бе представено заявление за изразяване на интерес.</w:t>
      </w:r>
      <w:r>
        <w:rPr>
          <w:noProof/>
          <w:szCs w:val="24"/>
          <w:lang w:val="ru-RU"/>
        </w:rPr>
        <w:t xml:space="preserve"> </w:t>
      </w:r>
      <w:r>
        <w:rPr>
          <w:noProof/>
          <w:szCs w:val="24"/>
          <w:lang w:val="bg-BG"/>
        </w:rPr>
        <w:t>ЕО и Филипините започнаха преговори в съответствие с член XXI, алинея 2, буква а) от ГАТС относно S/SECRET/8.</w:t>
      </w:r>
    </w:p>
    <w:p>
      <w:pPr>
        <w:pStyle w:val="BodyText"/>
        <w:numPr>
          <w:ilvl w:val="0"/>
          <w:numId w:val="0"/>
        </w:numPr>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r>
        <w:rPr>
          <w:noProof/>
          <w:szCs w:val="24"/>
          <w:lang w:val="bg-BG"/>
        </w:rPr>
        <w:t>По време на тези преговори ЕО и Филипините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p>
    <w:p>
      <w:pPr>
        <w:pStyle w:val="BodyText"/>
        <w:numPr>
          <w:ilvl w:val="0"/>
          <w:numId w:val="0"/>
        </w:numPr>
        <w:rPr>
          <w:noProof/>
          <w:szCs w:val="24"/>
          <w:lang w:val="ru-RU"/>
        </w:rPr>
      </w:pPr>
      <w:r>
        <w:rPr>
          <w:noProof/>
          <w:szCs w:val="24"/>
          <w:lang w:val="bg-BG"/>
        </w:rPr>
        <w:t>Докладът за резултатите от тези преговори е приложен към настоящото писмо и включва: 1) предложените изменения в нотификациите, посочени по-горе, 2) договорените компенсаторни поправки, свързани с измененията и оттеглянията, нотифицирани в S/SECRET/8, и 3) проекта на консолидирания списък на конкретните задължения,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Филипините.</w:t>
      </w:r>
    </w:p>
    <w:p>
      <w:pPr>
        <w:pStyle w:val="BodyText"/>
        <w:numPr>
          <w:ilvl w:val="0"/>
          <w:numId w:val="0"/>
        </w:numPr>
        <w:rPr>
          <w:noProof/>
          <w:szCs w:val="24"/>
          <w:lang w:val="ru-RU"/>
        </w:rPr>
      </w:pPr>
      <w:r>
        <w:rPr>
          <w:noProof/>
          <w:szCs w:val="24"/>
          <w:lang w:val="bg-BG"/>
        </w:rPr>
        <w:t>Настоящото писмо и приложения І и ІІ към прикрепения към него доклад представляват споразумението между ЕО и Филипините по отношение на S/SECRET/8 за целите на член XXI, алинея 2, буква а) от ГАТС</w:t>
      </w:r>
      <w:r>
        <w:rPr>
          <w:rStyle w:val="FootnoteReference"/>
          <w:noProof/>
          <w:szCs w:val="24"/>
          <w:lang w:val="bg-BG"/>
        </w:rPr>
        <w:footnoteReference w:id="1"/>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промяната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r>
        <w:rPr>
          <w:noProof/>
          <w:szCs w:val="24"/>
          <w:lang w:val="ru-RU"/>
        </w:rPr>
        <w:t xml:space="preserve"> </w:t>
      </w:r>
    </w:p>
    <w:p>
      <w:pPr>
        <w:pStyle w:val="BodyText"/>
        <w:numPr>
          <w:ilvl w:val="0"/>
          <w:numId w:val="0"/>
        </w:numPr>
        <w:rPr>
          <w:noProof/>
          <w:szCs w:val="24"/>
          <w:lang w:val="ru-RU"/>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caps/>
          <w:noProof/>
          <w:szCs w:val="24"/>
          <w:lang w:val="ru-RU"/>
        </w:rPr>
        <w:t xml:space="preserve"> </w:t>
      </w:r>
      <w:r>
        <w:rPr>
          <w:noProof/>
          <w:szCs w:val="24"/>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p>
    <w:p>
      <w:pPr>
        <w:spacing w:line="280" w:lineRule="auto"/>
        <w:jc w:val="center"/>
        <w:rPr>
          <w:rFonts w:ascii="Times New Roman" w:hAnsi="Times New Roman"/>
          <w:b/>
          <w:noProof/>
          <w:lang w:val="ru-RU"/>
        </w:rPr>
      </w:pPr>
      <w:r>
        <w:rPr>
          <w:rFonts w:ascii="Times New Roman" w:hAnsi="Times New Roman"/>
          <w:b/>
          <w:noProof/>
          <w:lang w:val="bg-BG"/>
        </w:rPr>
        <w:br w:type="page"/>
        <w:t>Доклад за резултатите от преговорите, проведени в съответствие с член ХХІ, алинея 2, буква а) от Общото споразумение по търговията с услуги (ГАТС)</w:t>
      </w:r>
    </w:p>
    <w:p>
      <w:pPr>
        <w:spacing w:line="280" w:lineRule="auto"/>
        <w:jc w:val="center"/>
        <w:rPr>
          <w:rFonts w:ascii="Times New Roman" w:hAnsi="Times New Roman"/>
          <w:b/>
          <w:noProof/>
          <w:lang w:val="ru-RU"/>
        </w:rPr>
      </w:pPr>
      <w:r>
        <w:rPr>
          <w:rFonts w:ascii="Times New Roman" w:hAnsi="Times New Roman"/>
          <w:b/>
          <w:noProof/>
          <w:lang w:val="bg-BG"/>
        </w:rPr>
        <w:t>относно</w:t>
      </w:r>
    </w:p>
    <w:p>
      <w:pPr>
        <w:spacing w:line="280" w:lineRule="auto"/>
        <w:jc w:val="center"/>
        <w:rPr>
          <w:rFonts w:ascii="Times New Roman" w:hAnsi="Times New Roman"/>
          <w:b/>
          <w:noProof/>
          <w:lang w:val="ru-RU"/>
        </w:rPr>
      </w:pPr>
      <w:r>
        <w:rPr>
          <w:rFonts w:ascii="Times New Roman" w:hAnsi="Times New Roman"/>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jc w:val="center"/>
        <w:rPr>
          <w:b/>
          <w:i/>
          <w:noProof/>
          <w:lang w:val="ru-RU"/>
        </w:rPr>
      </w:pPr>
    </w:p>
    <w:p>
      <w:pPr>
        <w:pStyle w:val="BodyText"/>
        <w:numPr>
          <w:ilvl w:val="0"/>
          <w:numId w:val="0"/>
        </w:numPr>
        <w:rPr>
          <w:noProof/>
        </w:rPr>
      </w:pPr>
      <w:r>
        <w:rPr>
          <w:noProof/>
          <w:lang w:val="bg-BG"/>
        </w:rPr>
        <w:t>Съгласно параграф 5 от Процедурите за прилагане на член XXI от ГАТС (S/L/80 от 29 октомври 1999 г.) Европейската комисия представя следния доклад:</w:t>
      </w:r>
    </w:p>
    <w:p>
      <w:pPr>
        <w:pStyle w:val="BodyText"/>
        <w:rPr>
          <w:noProof/>
          <w:szCs w:val="24"/>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(наричани по-долу „предложените изменения“), съгласно член V, алинея 5 от ГАТС и в съответствие с условията на член XXI, алинея 1, буква б) от ГАТС.</w:t>
      </w:r>
      <w:r>
        <w:rPr>
          <w:noProof/>
          <w:szCs w:val="24"/>
          <w:lang w:val="ru-RU"/>
        </w:rPr>
        <w:t xml:space="preserve"> </w:t>
      </w:r>
      <w:r>
        <w:rPr>
          <w:noProof/>
          <w:szCs w:val="24"/>
          <w:lang w:val="bg-BG"/>
        </w:rPr>
        <w:t>Предложените изменения се съдържат в приложение I.</w:t>
      </w:r>
    </w:p>
    <w:p>
      <w:pPr>
        <w:pStyle w:val="BodyText"/>
        <w:rPr>
          <w:noProof/>
          <w:szCs w:val="24"/>
          <w:lang w:val="ru-RU"/>
        </w:rPr>
      </w:pPr>
      <w:r>
        <w:rPr>
          <w:noProof/>
          <w:szCs w:val="24"/>
          <w:lang w:val="bg-BG"/>
        </w:rPr>
        <w:t>След представяне на нотификацията, съдържаща се в документ S/SECRET/8, и в съответствие с член ХХІ, алинея 2, буква а) от ГАТС осемнадесет държави —членки на СТО (Аржентина, Австралия, Бразилия, Канада, Китай, Китайско Тайпе, Колумбия, Куба, Еквадор, Хонг Конг, Китай, Индия, Япония, Корея, Нова Зеландия, Филипините, Швейцария, Уругвай и Съединените щати), подадоха съответни заявления за изразяване на интерес.</w:t>
      </w:r>
      <w:r>
        <w:rPr>
          <w:noProof/>
          <w:szCs w:val="24"/>
          <w:lang w:val="ru-RU"/>
        </w:rPr>
        <w:t xml:space="preserve"> </w:t>
      </w:r>
    </w:p>
    <w:p>
      <w:pPr>
        <w:pStyle w:val="BodyText"/>
        <w:rPr>
          <w:noProof/>
          <w:szCs w:val="24"/>
          <w:lang w:val="ru-RU"/>
        </w:rPr>
      </w:pPr>
      <w:r>
        <w:rPr>
          <w:noProof/>
          <w:szCs w:val="24"/>
          <w:lang w:val="bg-BG"/>
        </w:rPr>
        <w:t>След представяне на нотификацията, съдържаща се в документ S/SECRET/9, и в съответствие с член ХХІ, алинея 2, буква а) от ГАТС четиринадесет държави —членки на СТО (Аржентина, Австралия, Бразилия, Канада, Китай, Колумбия, Еквадор, Хонг Конг, Китай, Индия, Япония, Корея, Нова Зеландия, Уругвай и Съединените щати), подадоха съответни заявления за изразяване на интерес.</w:t>
      </w:r>
    </w:p>
    <w:p>
      <w:pPr>
        <w:pStyle w:val="BodyText"/>
        <w:rPr>
          <w:noProof/>
          <w:szCs w:val="24"/>
          <w:lang w:val="ru-RU"/>
        </w:rPr>
      </w:pPr>
      <w:r>
        <w:rPr>
          <w:noProof/>
          <w:szCs w:val="24"/>
          <w:lang w:val="bg-BG"/>
        </w:rPr>
        <w:t>Филипините подадоха заявление за изразяване на интерес съгласно член XXI, алинея 2, буква а) от ГАТС (S/L/179) относно S/SECRET/8. По отношение на S/SECRET/9 не бе представено заявление за изразяване на интерес.</w:t>
      </w:r>
      <w:r>
        <w:rPr>
          <w:noProof/>
          <w:szCs w:val="24"/>
          <w:lang w:val="ru-RU"/>
        </w:rPr>
        <w:t xml:space="preserve"> </w:t>
      </w:r>
      <w:r>
        <w:rPr>
          <w:noProof/>
          <w:szCs w:val="24"/>
          <w:lang w:val="bg-BG"/>
        </w:rPr>
        <w:t>ЕО и Филипините започнаха преговори съгласно член XXI, алинея 2, буква а) от ГАТС относно S/SECRET/8.</w:t>
      </w:r>
    </w:p>
    <w:p>
      <w:pPr>
        <w:pStyle w:val="BodyText"/>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p>
    <w:p>
      <w:pPr>
        <w:pStyle w:val="BodyText"/>
        <w:rPr>
          <w:noProof/>
          <w:szCs w:val="24"/>
          <w:lang w:val="ru-RU"/>
        </w:rPr>
      </w:pPr>
      <w:r>
        <w:rPr>
          <w:noProof/>
          <w:szCs w:val="24"/>
          <w:lang w:val="bg-BG"/>
        </w:rPr>
        <w:t>По време на тези преговори ЕО и Филипините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r>
        <w:rPr>
          <w:noProof/>
          <w:szCs w:val="24"/>
          <w:lang w:val="bg-BG"/>
        </w:rPr>
        <w:t>Приложения I и II към настоящия доклад, заедно със съвместното писмо, към което той е приложен, представляват споразумението между ЕО и Филипините по отношение на S/SECRET/8 за целите на член XXI, алинея 2, буква а) от ГАТС</w:t>
      </w:r>
      <w:r>
        <w:rPr>
          <w:rStyle w:val="FootnoteReference"/>
          <w:noProof/>
          <w:szCs w:val="24"/>
          <w:lang w:val="bg-BG"/>
        </w:rPr>
        <w:footnoteReference w:id="2"/>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p>
    <w:p>
      <w:pPr>
        <w:pStyle w:val="BodyText"/>
        <w:rPr>
          <w:noProof/>
          <w:szCs w:val="24"/>
          <w:lang w:val="ru-RU"/>
        </w:rPr>
      </w:pPr>
      <w:r>
        <w:rPr>
          <w:noProof/>
          <w:szCs w:val="24"/>
          <w:lang w:val="bg-BG"/>
        </w:rPr>
        <w:t>С оглед на гореизложеното предложените изменения и договорените компенсаторни поправки са включени в проекта на консолидиран списък на задълженията на ЕО по ГАТС,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Филипините.</w:t>
      </w:r>
      <w:r>
        <w:rPr>
          <w:noProof/>
          <w:szCs w:val="24"/>
          <w:lang w:val="ru-RU"/>
        </w:rPr>
        <w:t xml:space="preserve"> </w:t>
      </w:r>
    </w:p>
    <w:p>
      <w:pPr>
        <w:pStyle w:val="BodyText"/>
        <w:tabs>
          <w:tab w:val="left" w:pos="7740"/>
        </w:tabs>
        <w:rPr>
          <w:noProof/>
          <w:lang w:val="ru-RU"/>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noProof/>
          <w:lang w:val="bg-BG"/>
        </w:rPr>
        <w:t>.</w:t>
      </w:r>
      <w:r>
        <w:rPr>
          <w:caps/>
          <w:noProof/>
          <w:lang w:val="ru-RU"/>
        </w:rPr>
        <w:t xml:space="preserve"> </w:t>
      </w:r>
      <w:r>
        <w:rPr>
          <w:noProof/>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r>
        <w:rPr>
          <w:noProof/>
          <w:lang w:val="ru-RU"/>
        </w:rPr>
        <w:t xml:space="preserve"> </w:t>
      </w:r>
    </w:p>
    <w:p>
      <w:pPr>
        <w:jc w:val="center"/>
        <w:rPr>
          <w:b/>
          <w:noProof/>
          <w:lang w:val="ru-RU"/>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417" w:right="1417" w:bottom="1417" w:left="1417" w:header="708" w:footer="708" w:gutter="0"/>
          <w:cols w:space="720"/>
          <w:docGrid w:linePitch="360"/>
        </w:sectPr>
      </w:pPr>
      <w:r>
        <w:rPr>
          <w:b/>
          <w:noProof/>
          <w:lang w:val="ru-RU"/>
        </w:rPr>
        <w:t>_______________</w:t>
      </w:r>
    </w:p>
    <w:p>
      <w:pPr>
        <w:jc w:val="center"/>
        <w:rPr>
          <w:rFonts w:ascii="Times New Roman" w:hAnsi="Times New Roman"/>
          <w:b/>
          <w:noProof/>
          <w:lang w:val="ru-RU"/>
        </w:rPr>
      </w:pPr>
      <w:r>
        <w:rPr>
          <w:rFonts w:ascii="Times New Roman" w:hAnsi="Times New Roman"/>
          <w:b/>
          <w:noProof/>
          <w:lang w:val="bg-BG"/>
        </w:rPr>
        <w:t>ПРИЛОЖЕНИЕ I</w:t>
      </w:r>
    </w:p>
    <w:p>
      <w:pPr>
        <w:jc w:val="both"/>
        <w:rPr>
          <w:rFonts w:ascii="Times New Roman" w:hAnsi="Times New Roman"/>
          <w:noProof/>
          <w:lang w:val="ru-RU"/>
        </w:rPr>
      </w:pPr>
    </w:p>
    <w:p>
      <w:pPr>
        <w:jc w:val="both"/>
        <w:rPr>
          <w:rFonts w:ascii="Times New Roman" w:hAnsi="Times New Roman"/>
          <w:noProof/>
          <w:lang w:val="ru-RU"/>
        </w:rPr>
      </w:pPr>
    </w:p>
    <w:p>
      <w:pPr>
        <w:pStyle w:val="Heading3"/>
        <w:numPr>
          <w:ilvl w:val="0"/>
          <w:numId w:val="0"/>
        </w:numPr>
        <w:rPr>
          <w:noProof/>
          <w:lang w:val="ru-RU"/>
        </w:rPr>
      </w:pPr>
      <w:r>
        <w:rPr>
          <w:noProof/>
        </w:rPr>
        <w:t>A</w:t>
      </w:r>
      <w:r>
        <w:rPr>
          <w:noProof/>
          <w:lang w:val="ru-RU"/>
        </w:rPr>
        <w:t xml:space="preserve">) </w:t>
      </w:r>
      <w:r>
        <w:rPr>
          <w:noProof/>
          <w:u w:val="single"/>
          <w:lang w:val="bg-BG"/>
        </w:rPr>
        <w:t>Изменения, нотифицирани с документ S/SECRET/8</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09"/>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Текст относно достъпа до пазара (стр. 9):</w:t>
      </w:r>
      <w:r>
        <w:rPr>
          <w:rFonts w:ascii="Times New Roman" w:hAnsi="Times New Roman"/>
          <w:noProof/>
          <w:lang w:val="ru-RU"/>
        </w:rPr>
        <w:t xml:space="preserve"> </w:t>
      </w:r>
      <w:r>
        <w:rPr>
          <w:rFonts w:ascii="Times New Roman" w:hAnsi="Times New Roman"/>
          <w:noProof/>
          <w:lang w:val="bg-BG"/>
        </w:rPr>
        <w:t>„Във всички държави членки услугите, считани за обществени услуги на държавно или местно равнище, могат да подлежат на публичен монопол или на изключителни права, предоставени на частни оператори“.</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Унгария, Малта, Австрия, Полша, Словения, Словакия, Финландия и Швеция.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клонове, агенции и представителства при начин на доставка 3 (стр. 9 и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Малта,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дъщерните дружества при начин на доставка 3 (стр.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с конкретните задължения на Чешката република, Естония, Кипър, Латвия, Литва, Унгария, Малта, Полша,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Ограничения на националното третиране по отношение на субсидиите при начин на доставка 3 (стр. 13).</w:t>
      </w:r>
      <w:r>
        <w:rPr>
          <w:rFonts w:ascii="Times New Roman" w:hAnsi="Times New Roman"/>
          <w:noProof/>
          <w:lang w:val="ru-RU"/>
        </w:rPr>
        <w:t xml:space="preserve"> </w:t>
      </w:r>
      <w:r>
        <w:rPr>
          <w:rFonts w:ascii="Times New Roman" w:hAnsi="Times New Roman"/>
          <w:noProof/>
          <w:lang w:val="bg-BG"/>
        </w:rPr>
        <w:t>Списъкът с конкретните задължения на Чешката република, Естония, Кипър, Латвия, Литва, Малта, Австрия, Словения, Словакия, Финландия и Швеция включваше само част от ограниченията по отношение на субсидиите при начин на доставка 3, вписани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Ограничение на националното третиране по отношение на субсидиите при начин на доставка 4 (стр. 13).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Естония, Кипър, Латвия, Унгария, Малта и Словакия не включваше ограничението на субсидиите при начин на доставка 4, вписано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Кипър по отношение на достъпа до пазара при начин на доставка 4.</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Вътрешнокорпоративни трансфери (ВКТ) (стр. 26).</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Латвия, Литва, Унгария, Полша и Словакия не включваше ограничението, съгласно което приемащият субект трябва действително да предоставя подобни услуги на територията на съответната държава — членка на Общността.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Търговци на услуги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Полша не включваше ограничението, съгласно което тези представители не са ангажирани с извършването на преки продажби за широката общественост.</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Регистриране на търговско присъствие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Литва не включваше ограничението, съгласно което тези представители не са ангажирани с извършването на преки продажби за широката общественост или с предоставянето на услуги.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r>
        <w:rPr>
          <w:rFonts w:ascii="Times New Roman" w:hAnsi="Times New Roman"/>
          <w:noProof/>
          <w:lang w:val="ru-RU"/>
        </w:rPr>
        <w:t xml:space="preserve"> </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Литва по отношение на достъпа до пазара при начин на доставка 4 — Бизнес посетители (БП) (стр. 32).</w:t>
      </w:r>
      <w:r>
        <w:rPr>
          <w:rFonts w:ascii="Times New Roman" w:hAnsi="Times New Roman"/>
          <w:noProof/>
          <w:lang w:val="ru-RU"/>
        </w:rPr>
        <w:t xml:space="preserve"> </w:t>
      </w:r>
      <w:r>
        <w:rPr>
          <w:rFonts w:ascii="Times New Roman" w:hAnsi="Times New Roman"/>
          <w:noProof/>
          <w:lang w:val="bg-BG"/>
        </w:rPr>
        <w:t xml:space="preserve">Тези задължения бяха </w:t>
      </w:r>
      <w:r>
        <w:rPr>
          <w:rFonts w:ascii="Times New Roman" w:hAnsi="Times New Roman"/>
          <w:i/>
          <w:noProof/>
          <w:lang w:val="bg-BG"/>
        </w:rPr>
        <w:t>частично</w:t>
      </w:r>
      <w:r>
        <w:rPr>
          <w:rFonts w:ascii="Times New Roman" w:hAnsi="Times New Roman"/>
          <w:noProof/>
          <w:lang w:val="bg-BG"/>
        </w:rPr>
        <w:t xml:space="preserve">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Задължение, поето от Латвия по отношение на достъпа до пазара при начин на доставка 4 — Доставчици на услуги по договори (ДУД) (стр. 33).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Латвия не включваше ограничението, съгласно което временното влизане и престой в съответната държава членка ще бъдат разрешени за срок от не повече от три месеца в рамките на всеки период от 12 месеца.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tabs>
          <w:tab w:val="left" w:pos="567"/>
        </w:tabs>
        <w:autoSpaceDE w:val="0"/>
        <w:autoSpaceDN w:val="0"/>
        <w:adjustRightInd w:val="0"/>
        <w:spacing w:after="0"/>
        <w:jc w:val="both"/>
        <w:rPr>
          <w:rFonts w:ascii="Times New Roman" w:hAnsi="Times New Roman"/>
          <w:noProof/>
          <w:lang w:val="ru-RU"/>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Наемни/лизингови услуги без оператори — По отношение на самолети (стр. 95).</w:t>
      </w:r>
      <w:r>
        <w:rPr>
          <w:rFonts w:ascii="Times New Roman" w:hAnsi="Times New Roman"/>
          <w:noProof/>
          <w:lang w:val="ru-RU"/>
        </w:rPr>
        <w:t xml:space="preserve"> </w:t>
      </w:r>
      <w:r>
        <w:rPr>
          <w:rFonts w:ascii="Times New Roman" w:hAnsi="Times New Roman"/>
          <w:noProof/>
          <w:lang w:val="bg-BG"/>
        </w:rPr>
        <w:t>Ограничението върху достъпа до пазара при начин на доставка 2 вече се прилага и по отношение на Естония, Литва, Унгария, Австрия, Словения, Финландия и Швеция, а ограничението върху достъпа до пазара при начин на доставка 3 вече се прилага и по отношение на Естония, Унгария и Австрия.</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Услуги, свързани с производството (стр. 109 и 110).</w:t>
      </w:r>
      <w:r>
        <w:rPr>
          <w:rFonts w:ascii="Times New Roman" w:hAnsi="Times New Roman"/>
          <w:noProof/>
          <w:lang w:val="ru-RU"/>
        </w:rPr>
        <w:t xml:space="preserve"> </w:t>
      </w:r>
      <w:r>
        <w:rPr>
          <w:rFonts w:ascii="Times New Roman" w:hAnsi="Times New Roman"/>
          <w:noProof/>
          <w:lang w:val="bg-BG"/>
        </w:rPr>
        <w:t>Задълженията, включени в списъка на задълженията на Латвия, Литва и Австрия, бяха оттеглени.</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Образователни услуги (стр. 156):</w:t>
      </w:r>
      <w:r>
        <w:rPr>
          <w:rFonts w:ascii="Times New Roman" w:hAnsi="Times New Roman"/>
          <w:noProof/>
          <w:lang w:val="ru-RU"/>
        </w:rPr>
        <w:t xml:space="preserve"> </w:t>
      </w:r>
      <w:r>
        <w:rPr>
          <w:rFonts w:ascii="Times New Roman" w:hAnsi="Times New Roman"/>
          <w:noProof/>
          <w:lang w:val="bg-BG"/>
        </w:rPr>
        <w:t>ограничение до „само частно финансирани услуги“.</w:t>
      </w:r>
      <w:r>
        <w:rPr>
          <w:rFonts w:ascii="Times New Roman" w:hAnsi="Times New Roman"/>
          <w:noProof/>
          <w:lang w:val="ru-RU"/>
        </w:rPr>
        <w:t xml:space="preserve"> </w:t>
      </w:r>
      <w:r>
        <w:rPr>
          <w:rFonts w:ascii="Times New Roman" w:hAnsi="Times New Roman"/>
          <w:noProof/>
          <w:lang w:val="bg-BG"/>
        </w:rPr>
        <w:t>Това ограничение не беше включено в списъка на задълженията на Естония, Латвия, Литва, Унгария, Австрия, Словения (невключено само по отношение на образователните услуги за възрастни) и Словакия.</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r>
        <w:rPr>
          <w:rFonts w:ascii="Times New Roman" w:hAnsi="Times New Roman"/>
          <w:noProof/>
          <w:lang w:val="ru-RU"/>
        </w:rPr>
        <w:t xml:space="preserve"> </w:t>
      </w:r>
      <w:r>
        <w:rPr>
          <w:rFonts w:ascii="Times New Roman" w:hAnsi="Times New Roman"/>
          <w:noProof/>
          <w:lang w:val="bg-BG"/>
        </w:rPr>
        <w:t>В случая на Словения това разширено прилагане се отнася само до образователните услуги за възрастни.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Банкови и други финансови услуги (с изключение на застраховане) (стр. 193, 213 и 217).</w:t>
      </w:r>
      <w:r>
        <w:rPr>
          <w:rFonts w:ascii="Times New Roman" w:hAnsi="Times New Roman"/>
          <w:noProof/>
          <w:lang w:val="ru-RU"/>
        </w:rPr>
        <w:t xml:space="preserve"> </w:t>
      </w:r>
      <w:r>
        <w:rPr>
          <w:rFonts w:ascii="Times New Roman" w:hAnsi="Times New Roman"/>
          <w:noProof/>
          <w:lang w:val="bg-BG"/>
        </w:rPr>
        <w:t>Ограниченията върху достъпа до пазара, в които се посочва, че „регистрирането на специализирано мениджърско дружество се изисква за изпълнение на дейностите по управлението на дялови тръстове и инвестиционни дружества“ и че „само фирми с адрес на управление в Общността могат да действат като депозитари на активите на инвестиционни фондове“ както при начин на доставка 1, така и при начин на доставка 3, не бяха включени в списъка на задълженията на Чешката република по отношение на начин на доставка 3, на Естония (невключени нито в начин на доставка 1, нито в начин на доставка 3), Латвия — по отношение на начин на доставка 3, Литва — по отношение на начин на доставка 1, Унгария — по отношение на начин на доставка 3 и Словакия — по отношение на начин на доставка 3.</w:t>
      </w:r>
      <w:r>
        <w:rPr>
          <w:rFonts w:ascii="Times New Roman" w:hAnsi="Times New Roman"/>
          <w:noProof/>
          <w:spacing w:val="-2"/>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Космически транспорт.</w:t>
      </w:r>
      <w:r>
        <w:rPr>
          <w:rFonts w:ascii="Times New Roman" w:hAnsi="Times New Roman"/>
          <w:noProof/>
          <w:lang w:val="ru-RU"/>
        </w:rPr>
        <w:t xml:space="preserve"> </w:t>
      </w:r>
      <w:r>
        <w:rPr>
          <w:rFonts w:ascii="Times New Roman" w:hAnsi="Times New Roman"/>
          <w:noProof/>
          <w:lang w:val="bg-BG"/>
        </w:rPr>
        <w:t>Задължението, включено в списъка на задълженията на Австрия, беше оттеглено.</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Отдаване под наем на самолети с екипаж (стр. 246).</w:t>
      </w:r>
      <w:r>
        <w:rPr>
          <w:rFonts w:ascii="Times New Roman" w:hAnsi="Times New Roman"/>
          <w:noProof/>
          <w:lang w:val="ru-RU"/>
        </w:rPr>
        <w:t xml:space="preserve"> </w:t>
      </w:r>
      <w:r>
        <w:rPr>
          <w:rFonts w:ascii="Times New Roman" w:hAnsi="Times New Roman"/>
          <w:noProof/>
          <w:lang w:val="bg-BG"/>
        </w:rPr>
        <w:t>Две ограничения върху достъпа до пазара (едно при начини на доставка 1 и 2 и друго — при начин на доставка 3) са въведени за Полша.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Продажби и маркетинг (стр. 247 и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Естония не включваше ограничението на националното третиране на разпространяването чрез използване на система за компютърни резервации (СКР) на услуги, свързани с въздушния транспорт, предоставяни от СКР на дружеството майка.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Система за компютърни резервации (стр.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Унгария не включваше ограничението на националното третиране на задълженията на дружеството майка или други участващи превозвачи по отношение на СКР, контролирана от въздушни превозвачи от една или повече страни извън Общността.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Помощни услуги за всички видове транспорт — Услуги по товарообработване (стр. 259).</w:t>
      </w:r>
      <w:r>
        <w:rPr>
          <w:rFonts w:ascii="Times New Roman" w:hAnsi="Times New Roman"/>
          <w:noProof/>
          <w:lang w:val="ru-RU"/>
        </w:rPr>
        <w:t xml:space="preserve"> </w:t>
      </w:r>
      <w:r>
        <w:rPr>
          <w:rFonts w:ascii="Times New Roman" w:hAnsi="Times New Roman"/>
          <w:noProof/>
          <w:lang w:val="bg-BG"/>
        </w:rPr>
        <w:t>Ограничение върху достъпа до пазара при начин на доставка 3 беше въведено за Естония, Латвия и Литва.</w:t>
      </w:r>
    </w:p>
    <w:p>
      <w:pPr>
        <w:autoSpaceDE w:val="0"/>
        <w:autoSpaceDN w:val="0"/>
        <w:adjustRightInd w:val="0"/>
        <w:spacing w:after="0"/>
        <w:jc w:val="both"/>
        <w:rPr>
          <w:rFonts w:ascii="Times New Roman" w:hAnsi="Times New Roman"/>
          <w:noProof/>
          <w:lang w:val="ru-RU"/>
        </w:rPr>
      </w:pPr>
    </w:p>
    <w:p>
      <w:pPr>
        <w:pStyle w:val="Heading3"/>
        <w:numPr>
          <w:ilvl w:val="0"/>
          <w:numId w:val="0"/>
        </w:numPr>
        <w:rPr>
          <w:noProof/>
          <w:lang w:val="ru-RU"/>
        </w:rPr>
      </w:pPr>
      <w:r>
        <w:rPr>
          <w:noProof/>
          <w:lang w:val="bg-BG"/>
        </w:rPr>
        <w:t xml:space="preserve">Б) </w:t>
      </w:r>
      <w:r>
        <w:rPr>
          <w:noProof/>
          <w:u w:val="single"/>
          <w:lang w:val="bg-BG"/>
        </w:rPr>
        <w:t>Изменения, нотифицирани с документ S/SECRET/9</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на Кипър и Малта при начин на доставка 4 във връзка с националното третиране (стр. 25, 29 и 32 от S/SECRET/8).</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jc w:val="both"/>
        <w:rPr>
          <w:rFonts w:ascii="Times New Roman" w:hAnsi="Times New Roman"/>
          <w:noProof/>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Компютърни и свързани с тях услуги: а) Консултантски услуги, свързани с инсталирането на хардуер (CPC 841) (стр. 82), б) Услуги по внедряване на програмно осигуряване (CPC 842) (стр. 83), в) Услуги по обработка на данни (CPC 843) (стр. 85), г) Услуги, свързани с бази данни (CPC 844) (стр. 86).</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Научно-изследователски и развойни услуги — б) НИР услуги по обществените и хуманитарните науки (CPC 852) (стр. 89 и 90).</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w:t>
      </w:r>
      <w:r>
        <w:rPr>
          <w:rFonts w:ascii="Times New Roman" w:hAnsi="Times New Roman"/>
          <w:noProof/>
          <w:lang w:val="fr-FR"/>
        </w:rPr>
        <w:t>i</w:t>
      </w:r>
      <w:r>
        <w:rPr>
          <w:rFonts w:ascii="Times New Roman" w:hAnsi="Times New Roman"/>
          <w:noProof/>
          <w:lang w:val="bg-BG"/>
        </w:rPr>
        <w:t>) Застрахователни и свързани с тях услуги — Пряко застраховане (включително съзастраховане):</w:t>
      </w:r>
      <w:r>
        <w:rPr>
          <w:rFonts w:ascii="Times New Roman" w:hAnsi="Times New Roman"/>
          <w:noProof/>
          <w:lang w:val="ru-RU"/>
        </w:rPr>
        <w:t xml:space="preserve"> </w:t>
      </w:r>
      <w:r>
        <w:rPr>
          <w:rFonts w:ascii="Times New Roman" w:hAnsi="Times New Roman"/>
          <w:noProof/>
          <w:lang w:val="bg-BG"/>
        </w:rPr>
        <w:t>а) животозастраховане и б) различно от животозастраховане (стр. 211 и 212).</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 xml:space="preserve">Банкови и други финансови услуги (без застраховане) — </w:t>
      </w:r>
      <w:r>
        <w:rPr>
          <w:rFonts w:ascii="Times New Roman" w:hAnsi="Times New Roman"/>
          <w:noProof/>
          <w:lang w:val="ru-RU"/>
        </w:rPr>
        <w:t>(</w:t>
      </w:r>
      <w:r>
        <w:rPr>
          <w:rFonts w:ascii="Times New Roman" w:hAnsi="Times New Roman"/>
          <w:noProof/>
        </w:rPr>
        <w:t>x</w:t>
      </w:r>
      <w:r>
        <w:rPr>
          <w:rFonts w:ascii="Times New Roman" w:hAnsi="Times New Roman"/>
          <w:noProof/>
          <w:lang w:val="ru-RU"/>
        </w:rPr>
        <w:t xml:space="preserve">) </w:t>
      </w:r>
      <w:r>
        <w:rPr>
          <w:rFonts w:ascii="Times New Roman" w:hAnsi="Times New Roman"/>
          <w:noProof/>
          <w:lang w:val="bg-BG"/>
        </w:rPr>
        <w:t>д) прехвърляеми ценни книжа (стр. 223).</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Хотелиерство, ресторантьорство и обществено хранене (CPC 641, 642 и 643) (стр. 232).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Туристически агенции и туроператорски услуги (CPC 7471) (стр. 233 и 234).</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Морски транспортни услуги — с изключение на каботажен транспорт — а) Пътнически транспорт</w:t>
      </w:r>
      <w:r>
        <w:rPr>
          <w:rFonts w:ascii="Times New Roman" w:hAnsi="Times New Roman"/>
          <w:noProof/>
          <w:lang w:val="ru-RU"/>
        </w:rPr>
        <w:t xml:space="preserve"> </w:t>
      </w:r>
      <w:r>
        <w:rPr>
          <w:rFonts w:ascii="Times New Roman" w:hAnsi="Times New Roman"/>
          <w:noProof/>
          <w:lang w:val="bg-BG"/>
        </w:rPr>
        <w:t>(CPC 7211);</w:t>
      </w:r>
      <w:r>
        <w:rPr>
          <w:rFonts w:ascii="Times New Roman" w:hAnsi="Times New Roman"/>
          <w:noProof/>
          <w:lang w:val="ru-RU"/>
        </w:rPr>
        <w:t xml:space="preserve"> </w:t>
      </w:r>
      <w:r>
        <w:rPr>
          <w:rFonts w:ascii="Times New Roman" w:hAnsi="Times New Roman"/>
          <w:noProof/>
          <w:lang w:val="bg-BG"/>
        </w:rPr>
        <w:t>б) Товарен транспорт (CPC 7212) (стр.242).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spacing w:after="0"/>
        <w:jc w:val="both"/>
        <w:rPr>
          <w:rFonts w:ascii="Times New Roman" w:hAnsi="Times New Roman"/>
          <w:noProof/>
          <w:lang w:val="ru-RU"/>
        </w:rPr>
      </w:pPr>
    </w:p>
    <w:p>
      <w:pPr>
        <w:jc w:val="both"/>
        <w:rPr>
          <w:rFonts w:ascii="Times New Roman" w:hAnsi="Times New Roman"/>
          <w:noProof/>
          <w:lang w:val="ru-RU"/>
        </w:rPr>
      </w:pPr>
      <w:r>
        <w:rPr>
          <w:rFonts w:ascii="Times New Roman" w:hAnsi="Times New Roman"/>
          <w:noProof/>
          <w:lang w:val="ru-RU"/>
        </w:rPr>
        <w:br w:type="page"/>
      </w:r>
    </w:p>
    <w:p>
      <w:pPr>
        <w:jc w:val="center"/>
        <w:rPr>
          <w:rFonts w:ascii="Times New Roman" w:hAnsi="Times New Roman"/>
          <w:b/>
          <w:noProof/>
          <w:lang w:val="ru-RU"/>
        </w:rPr>
      </w:pPr>
      <w:r>
        <w:rPr>
          <w:rFonts w:ascii="Times New Roman" w:hAnsi="Times New Roman"/>
          <w:b/>
          <w:noProof/>
          <w:lang w:val="bg-BG"/>
        </w:rPr>
        <w:t>ПРИЛОЖЕНИЕ II</w:t>
      </w:r>
    </w:p>
    <w:p>
      <w:pPr>
        <w:jc w:val="center"/>
        <w:rPr>
          <w:rFonts w:ascii="Times New Roman" w:hAnsi="Times New Roman"/>
          <w:noProof/>
          <w:lang w:val="ru-RU"/>
        </w:rPr>
      </w:pPr>
    </w:p>
    <w:p>
      <w:pPr>
        <w:jc w:val="center"/>
        <w:outlineLvl w:val="0"/>
        <w:rPr>
          <w:rFonts w:ascii="Times New Roman" w:hAnsi="Times New Roman"/>
          <w:b/>
          <w:noProof/>
          <w:lang w:val="ru-RU"/>
        </w:rPr>
      </w:pPr>
      <w:r>
        <w:rPr>
          <w:rFonts w:ascii="Times New Roman" w:hAnsi="Times New Roman"/>
          <w:b/>
          <w:noProof/>
          <w:lang w:val="bg-BG"/>
        </w:rPr>
        <w:t>ОБЕЗЩЕТЕНИЕ ОТ СТРАНА НА ЕО</w:t>
      </w:r>
    </w:p>
    <w:p>
      <w:pPr>
        <w:jc w:val="both"/>
        <w:rPr>
          <w:rFonts w:ascii="Times New Roman" w:hAnsi="Times New Roman"/>
          <w:noProof/>
          <w:lang w:val="ru-RU"/>
        </w:rPr>
      </w:pPr>
    </w:p>
    <w:p>
      <w:pPr>
        <w:numPr>
          <w:ilvl w:val="0"/>
          <w:numId w:val="5"/>
        </w:numPr>
        <w:tabs>
          <w:tab w:val="left" w:pos="-142"/>
        </w:tabs>
        <w:spacing w:after="0" w:line="240" w:lineRule="auto"/>
        <w:ind w:left="714" w:hanging="357"/>
        <w:jc w:val="both"/>
        <w:rPr>
          <w:rFonts w:ascii="Times New Roman" w:hAnsi="Times New Roman"/>
          <w:b/>
          <w:noProof/>
          <w:lang w:val="ru-RU"/>
        </w:rPr>
      </w:pPr>
      <w:r>
        <w:rPr>
          <w:rFonts w:ascii="Times New Roman" w:hAnsi="Times New Roman"/>
          <w:b/>
          <w:noProof/>
          <w:lang w:val="bg-BG"/>
        </w:rPr>
        <w:t>Хоризонтално ограничение на обществените услуги при начин на доставка 3</w:t>
      </w:r>
    </w:p>
    <w:p>
      <w:pPr>
        <w:tabs>
          <w:tab w:val="left" w:pos="-142"/>
        </w:tabs>
        <w:spacing w:after="0"/>
        <w:ind w:left="1434" w:hanging="3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Бележка под линия относно обхвата, показваща, че това ограничение не се отнася до телекомуникациите, до компютърните услуги и до услугите, свързани с тях.</w:t>
      </w:r>
    </w:p>
    <w:p>
      <w:pPr>
        <w:spacing w:after="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b/>
          <w:noProof/>
          <w:lang w:val="bg-BG"/>
        </w:rPr>
        <w:t>Хоризонтални ограничения на инвестициите при начин на доставка 3</w:t>
      </w:r>
    </w:p>
    <w:p>
      <w:pPr>
        <w:spacing w:after="0"/>
        <w:ind w:left="720" w:firstLine="3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Премахване на ограничението по отношение на националното третиране за </w:t>
      </w:r>
      <w:r>
        <w:rPr>
          <w:rFonts w:ascii="Times New Roman" w:hAnsi="Times New Roman"/>
          <w:noProof/>
        </w:rPr>
        <w:t>AT</w:t>
      </w:r>
      <w:r>
        <w:rPr>
          <w:rFonts w:ascii="Times New Roman" w:hAnsi="Times New Roman"/>
          <w:noProof/>
          <w:lang w:val="bg-BG"/>
        </w:rPr>
        <w:t xml:space="preserve"> при начин на доставка 3 за клоновете на</w:t>
      </w:r>
    </w:p>
    <w:p>
      <w:pPr>
        <w:spacing w:after="0"/>
        <w:ind w:left="720" w:firstLine="380"/>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чуждестранни акционерни дружества (Aktiengesellschaften) и дружества с ограничена отговорност</w:t>
      </w:r>
    </w:p>
    <w:p>
      <w:pPr>
        <w:spacing w:after="0"/>
        <w:ind w:left="720" w:firstLine="380"/>
        <w:jc w:val="both"/>
        <w:rPr>
          <w:rFonts w:ascii="Times New Roman" w:hAnsi="Times New Roman"/>
          <w:noProof/>
          <w:lang w:val="ru-RU"/>
        </w:rPr>
      </w:pPr>
      <w:r>
        <w:rPr>
          <w:rFonts w:ascii="Times New Roman" w:hAnsi="Times New Roman"/>
          <w:noProof/>
          <w:lang w:val="ru-RU"/>
        </w:rPr>
        <w:tab/>
        <w:t>(</w:t>
      </w:r>
      <w:r>
        <w:rPr>
          <w:rFonts w:ascii="Times New Roman" w:hAnsi="Times New Roman"/>
          <w:noProof/>
        </w:rPr>
        <w:t>Gesellschaften</w:t>
      </w:r>
      <w:r>
        <w:rPr>
          <w:rFonts w:ascii="Times New Roman" w:hAnsi="Times New Roman"/>
          <w:noProof/>
          <w:lang w:val="ru-RU"/>
        </w:rPr>
        <w:t xml:space="preserve"> </w:t>
      </w:r>
      <w:r>
        <w:rPr>
          <w:rFonts w:ascii="Times New Roman" w:hAnsi="Times New Roman"/>
          <w:noProof/>
        </w:rPr>
        <w:t>mit</w:t>
      </w:r>
      <w:r>
        <w:rPr>
          <w:rFonts w:ascii="Times New Roman" w:hAnsi="Times New Roman"/>
          <w:noProof/>
          <w:lang w:val="ru-RU"/>
        </w:rPr>
        <w:t xml:space="preserve"> </w:t>
      </w:r>
      <w:r>
        <w:rPr>
          <w:rFonts w:ascii="Times New Roman" w:hAnsi="Times New Roman"/>
          <w:noProof/>
        </w:rPr>
        <w:t>beschr</w:t>
      </w:r>
      <w:r>
        <w:rPr>
          <w:rFonts w:ascii="Times New Roman" w:hAnsi="Times New Roman"/>
          <w:noProof/>
          <w:lang w:val="ru-RU"/>
        </w:rPr>
        <w:t>ä</w:t>
      </w:r>
      <w:r>
        <w:rPr>
          <w:rFonts w:ascii="Times New Roman" w:hAnsi="Times New Roman"/>
          <w:noProof/>
        </w:rPr>
        <w:t>nkter</w:t>
      </w:r>
      <w:r>
        <w:rPr>
          <w:rFonts w:ascii="Times New Roman" w:hAnsi="Times New Roman"/>
          <w:noProof/>
          <w:lang w:val="ru-RU"/>
        </w:rPr>
        <w:t xml:space="preserve"> </w:t>
      </w:r>
      <w:r>
        <w:rPr>
          <w:rFonts w:ascii="Times New Roman" w:hAnsi="Times New Roman"/>
          <w:noProof/>
        </w:rPr>
        <w:t>Haftung</w:t>
      </w:r>
      <w:r>
        <w:rPr>
          <w:rFonts w:ascii="Times New Roman" w:hAnsi="Times New Roman"/>
          <w:noProof/>
          <w:lang w:val="ru-RU"/>
        </w:rPr>
        <w:t>).</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Начин на </w:t>
      </w:r>
      <w:r>
        <w:rPr>
          <w:rFonts w:ascii="Times New Roman" w:hAnsi="Times New Roman"/>
          <w:b/>
          <w:noProof/>
          <w:lang w:val="bg-BG"/>
        </w:rPr>
        <w:t>доставка 4</w:t>
      </w:r>
      <w:r>
        <w:rPr>
          <w:rFonts w:ascii="Times New Roman" w:hAnsi="Times New Roman"/>
          <w:noProof/>
          <w:lang w:val="bg-BG"/>
        </w:rPr>
        <w:t xml:space="preserve"> за вътрешнокорпоративни трансфери и бизнес посетители</w:t>
      </w:r>
    </w:p>
    <w:p>
      <w:pPr>
        <w:spacing w:after="0"/>
        <w:ind w:left="11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bg-BG"/>
        </w:rPr>
        <w:t>при поети от тези държави хоризонтални задължения и задължения по сектори при начин на доставка 3.</w:t>
      </w:r>
    </w:p>
    <w:p>
      <w:pPr>
        <w:spacing w:after="0"/>
        <w:ind w:left="720" w:firstLine="380"/>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Инженерни услуги</w:t>
      </w:r>
      <w:r>
        <w:rPr>
          <w:rFonts w:ascii="Times New Roman" w:hAnsi="Times New Roman"/>
          <w:noProof/>
          <w:lang w:val="bg-BG"/>
        </w:rPr>
        <w:t xml:space="preserve"> (CPC 8672)</w:t>
      </w:r>
    </w:p>
    <w:p>
      <w:pPr>
        <w:spacing w:after="0"/>
        <w:ind w:left="1440" w:hanging="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 при начин на доставка 2</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и SK по отношение на достъпа до пазара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и MT по отношение на националното третиране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Премахване на ограниченията върху достъпа до пазара за PT при начин на доставка 3</w:t>
      </w:r>
    </w:p>
    <w:p>
      <w:pPr>
        <w:spacing w:after="0"/>
        <w:ind w:left="360" w:firstLine="72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Интегрирани инженерни услуги</w:t>
      </w:r>
      <w:r>
        <w:rPr>
          <w:rFonts w:ascii="Times New Roman" w:hAnsi="Times New Roman"/>
          <w:noProof/>
          <w:lang w:val="bg-BG"/>
        </w:rPr>
        <w:t xml:space="preserve"> (CPC 8673):</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Премахване на теста за икономическа потребност (ENT), прилаган по отношение на начин на доставка 4/ДУД от UK</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SK по отношение на достъпа до пазара и националното третиране при начин на доставка 3</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Градоустройствени и ландшафтни архитектурни услуги</w:t>
      </w:r>
      <w:r>
        <w:rPr>
          <w:rFonts w:ascii="Times New Roman" w:hAnsi="Times New Roman"/>
          <w:noProof/>
          <w:lang w:val="bg-BG"/>
        </w:rPr>
        <w:t xml:space="preserve"> (CPC 8674):</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PL, SI и SK по отношение на достъпа до пазара и националното третиране при начин на доставка 3.</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при ландшафтните архитектурни услуги при начин на доставка 2.</w:t>
      </w:r>
    </w:p>
    <w:p>
      <w:pPr>
        <w:spacing w:after="0"/>
        <w:ind w:left="360"/>
        <w:jc w:val="both"/>
        <w:rPr>
          <w:rFonts w:ascii="Times New Roman" w:hAnsi="Times New Roman"/>
          <w:noProof/>
          <w:lang w:val="ru-RU"/>
        </w:rPr>
      </w:pPr>
    </w:p>
    <w:p>
      <w:pPr>
        <w:numPr>
          <w:ilvl w:val="0"/>
          <w:numId w:val="6"/>
        </w:numPr>
        <w:spacing w:after="0" w:line="240" w:lineRule="auto"/>
        <w:jc w:val="both"/>
        <w:rPr>
          <w:rFonts w:ascii="Times New Roman" w:hAnsi="Times New Roman"/>
          <w:noProof/>
          <w:lang w:val="ru-RU"/>
        </w:rPr>
      </w:pPr>
      <w:r>
        <w:rPr>
          <w:rFonts w:ascii="Times New Roman" w:hAnsi="Times New Roman"/>
          <w:b/>
          <w:noProof/>
          <w:lang w:val="bg-BG"/>
        </w:rPr>
        <w:t>Компютърни и свързани с тях услуги</w:t>
      </w:r>
      <w:r>
        <w:rPr>
          <w:rFonts w:ascii="Times New Roman" w:hAnsi="Times New Roman"/>
          <w:noProof/>
          <w:lang w:val="bg-BG"/>
        </w:rPr>
        <w:t> —</w:t>
      </w:r>
    </w:p>
    <w:p>
      <w:pPr>
        <w:spacing w:after="0"/>
        <w:ind w:left="720" w:firstLine="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Добавяне на обяснителна бележка под линия.</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съгласно</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начини на доставка 1, 2 и 3 за CPC 845 и 849</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По-добри условия за ДУД/начин на доставка 4 от SE за компютърни и свързани с тях услуги при хоризонталните и новопоетите задължения на SE за ДУД/начин на доставка 4 за CPC 845 и 849.</w:t>
      </w:r>
    </w:p>
    <w:p>
      <w:pPr>
        <w:spacing w:after="0"/>
        <w:ind w:left="720" w:firstLine="357"/>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rPr>
      </w:pPr>
      <w:r>
        <w:rPr>
          <w:rFonts w:ascii="Times New Roman" w:hAnsi="Times New Roman"/>
          <w:b/>
          <w:noProof/>
          <w:lang w:val="bg-BG"/>
        </w:rPr>
        <w:t>Рекламни услуги</w:t>
      </w:r>
      <w:r>
        <w:rPr>
          <w:rFonts w:ascii="Times New Roman" w:hAnsi="Times New Roman"/>
          <w:noProof/>
          <w:lang w:val="bg-BG"/>
        </w:rPr>
        <w:t xml:space="preserve"> (CPC 871):</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MT и PL по отношение на достъпа до пазара и националното третиране</w:t>
      </w:r>
    </w:p>
    <w:p>
      <w:pPr>
        <w:spacing w:after="0"/>
        <w:ind w:left="1077"/>
        <w:jc w:val="both"/>
        <w:rPr>
          <w:rFonts w:ascii="Times New Roman" w:hAnsi="Times New Roman"/>
          <w:noProof/>
        </w:rPr>
      </w:pPr>
      <w:r>
        <w:rPr>
          <w:rFonts w:ascii="Times New Roman" w:hAnsi="Times New Roman"/>
          <w:noProof/>
          <w:lang w:val="ru-RU"/>
        </w:rPr>
        <w:t xml:space="preserve"> </w:t>
      </w:r>
      <w:r>
        <w:rPr>
          <w:rFonts w:ascii="Times New Roman" w:hAnsi="Times New Roman"/>
          <w:noProof/>
          <w:lang w:val="ru-RU"/>
        </w:rPr>
        <w:tab/>
        <w:t xml:space="preserve"> </w:t>
      </w:r>
      <w:r>
        <w:rPr>
          <w:rFonts w:ascii="Times New Roman" w:hAnsi="Times New Roman"/>
          <w:noProof/>
          <w:lang w:val="bg-BG"/>
        </w:rPr>
        <w:t>при начин на доставка 1</w:t>
      </w: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lang w:val="bg-BG"/>
        </w:rPr>
        <w:t>Телекомуникационни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Нови и подобрени задължения, поети от ЕО като цяло, предлагани в тяхното преразгледано предложение в рамките на Програмата за развитие от Доха.</w:t>
      </w:r>
    </w:p>
    <w:p>
      <w:pPr>
        <w:spacing w:after="0"/>
        <w:ind w:left="1434" w:hanging="357"/>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Пояснение от FI, че нейните три хоризонтални ограничения при начин на доставка 3 — на юридическите лица по отношение на достъпа до пазара; на дъщерните дружества, клоновете, агенциите и представителствата по отношение на националното третиране; и на инвестициите по отношение на достъпа до пазара не се отнасят до сектора на телекомуникационните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Пояснителна бележка под линия, в която се посочва, че подсектори 2.C.h</w:t>
      </w:r>
      <w:r>
        <w:rPr>
          <w:rFonts w:ascii="Times New Roman" w:hAnsi="Times New Roman"/>
          <w:noProof/>
          <w:lang w:val="ru-RU"/>
        </w:rPr>
        <w:t>)</w:t>
      </w:r>
      <w:r>
        <w:rPr>
          <w:rFonts w:ascii="Times New Roman" w:hAnsi="Times New Roman"/>
          <w:noProof/>
          <w:lang w:val="bg-BG"/>
        </w:rPr>
        <w:t xml:space="preserve"> до 2.C.m</w:t>
      </w:r>
      <w:r>
        <w:rPr>
          <w:rFonts w:ascii="Times New Roman" w:hAnsi="Times New Roman"/>
          <w:noProof/>
          <w:lang w:val="ru-RU"/>
        </w:rPr>
        <w:t>)</w:t>
      </w:r>
      <w:r>
        <w:rPr>
          <w:rFonts w:ascii="Times New Roman" w:hAnsi="Times New Roman"/>
          <w:noProof/>
          <w:lang w:val="bg-BG"/>
        </w:rPr>
        <w:t xml:space="preserve"> от Секторния класификационен списък на услуги, съдържащ се в MTN,GNS/W/120 (услуги с добавена стойност)</w:t>
      </w:r>
      <w:r>
        <w:rPr>
          <w:rFonts w:ascii="Times New Roman" w:hAnsi="Times New Roman"/>
          <w:noProof/>
          <w:lang w:val="ru-RU"/>
        </w:rPr>
        <w:t>,</w:t>
      </w:r>
      <w:r>
        <w:rPr>
          <w:rFonts w:ascii="Times New Roman" w:hAnsi="Times New Roman"/>
          <w:noProof/>
          <w:lang w:val="bg-BG"/>
        </w:rPr>
        <w:t xml:space="preserve"> и подсектори 2.C.a) до 2.C.g) от този списък са включени тук.</w:t>
      </w:r>
      <w:r>
        <w:rPr>
          <w:rFonts w:ascii="Times New Roman" w:hAnsi="Times New Roman"/>
          <w:noProof/>
          <w:lang w:val="ru-RU"/>
        </w:rPr>
        <w:t xml:space="preserve"> </w:t>
      </w:r>
      <w:r>
        <w:rPr>
          <w:rFonts w:ascii="Times New Roman" w:hAnsi="Times New Roman"/>
          <w:noProof/>
          <w:lang w:val="bg-BG"/>
        </w:rPr>
        <w:t>Подсектор 2.С.o от този списък също е включен тук, доколкото той попада в рамките на тази дефиниция.</w:t>
      </w:r>
      <w:r>
        <w:rPr>
          <w:rFonts w:ascii="Times New Roman" w:hAnsi="Times New Roman"/>
          <w:noProof/>
          <w:lang w:val="ru-RU"/>
        </w:rPr>
        <w:t xml:space="preserve"> </w:t>
      </w:r>
      <w:r>
        <w:rPr>
          <w:rFonts w:ascii="Times New Roman" w:hAnsi="Times New Roman"/>
          <w:noProof/>
          <w:lang w:val="bg-BG"/>
        </w:rPr>
        <w:t>За целите на този списък на задълженията подсектор 2.C.n) от Секторния класификационен списък на услуги (онлайн обработка на информация и/или данни) е отразен в този списък на задълженията като 1.B (компютърни и свързани с тях услуги).</w:t>
      </w:r>
    </w:p>
    <w:p>
      <w:pPr>
        <w:spacing w:after="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Финансови услуги (застраховане):</w:t>
      </w:r>
    </w:p>
    <w:p>
      <w:pPr>
        <w:spacing w:after="0"/>
        <w:ind w:left="1080"/>
        <w:jc w:val="both"/>
        <w:rPr>
          <w:rFonts w:ascii="Times New Roman" w:hAnsi="Times New Roman"/>
          <w:b/>
          <w:noProof/>
          <w:lang w:val="ru-RU"/>
        </w:rPr>
      </w:pPr>
      <w:r>
        <w:rPr>
          <w:rFonts w:ascii="Times New Roman" w:hAnsi="Times New Roman"/>
          <w:b/>
          <w:noProof/>
          <w:lang w:val="ru-RU"/>
        </w:rPr>
        <w:t>-</w:t>
      </w:r>
      <w:r>
        <w:rPr>
          <w:rFonts w:ascii="Times New Roman" w:hAnsi="Times New Roman"/>
          <w:b/>
          <w:noProof/>
          <w:lang w:val="ru-RU"/>
        </w:rPr>
        <w:tab/>
      </w:r>
      <w:r>
        <w:rPr>
          <w:rFonts w:ascii="Times New Roman" w:hAnsi="Times New Roman"/>
          <w:noProof/>
          <w:lang w:val="bg-BG"/>
        </w:rPr>
        <w:t>Отстраняване на част от ограниченията върху достъпа до пазара за SK при начин на доставка 3</w:t>
      </w:r>
      <w:r>
        <w:rPr>
          <w:rFonts w:ascii="Times New Roman" w:hAnsi="Times New Roman"/>
          <w:noProof/>
          <w:lang w:val="ru-RU"/>
        </w:rPr>
        <w:t>.</w:t>
      </w:r>
    </w:p>
    <w:p>
      <w:pPr>
        <w:spacing w:after="0"/>
        <w:ind w:left="1080"/>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Финансови услуги (банкови услуги)</w:t>
      </w:r>
    </w:p>
    <w:p>
      <w:pPr>
        <w:tabs>
          <w:tab w:val="left" w:pos="-142"/>
        </w:tabs>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FI:</w:t>
      </w:r>
      <w:r>
        <w:rPr>
          <w:rFonts w:ascii="Times New Roman" w:hAnsi="Times New Roman"/>
          <w:noProof/>
          <w:lang w:val="ru-RU"/>
        </w:rPr>
        <w:t xml:space="preserve"> </w:t>
      </w:r>
      <w:r>
        <w:rPr>
          <w:rFonts w:ascii="Times New Roman" w:hAnsi="Times New Roman"/>
          <w:noProof/>
          <w:lang w:val="bg-BG"/>
        </w:rPr>
        <w:t>Промяна в изискването за гражданство при начин на доставка 3 („Поне един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основателите, членовете на съвета на директорите, надзорния съвет и</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изпълнителният директор трябва да са постоянно пребиваващи в 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 вместо „Поне половината от основателите, членовете на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съвета на директорите, надзорния съвет и делегатите, изпълнителният директор, </w:t>
      </w:r>
      <w:r>
        <w:rPr>
          <w:rFonts w:ascii="Times New Roman" w:hAnsi="Times New Roman"/>
          <w:noProof/>
          <w:lang w:val="ru-RU"/>
        </w:rPr>
        <w:tab/>
      </w:r>
      <w:r>
        <w:rPr>
          <w:rFonts w:ascii="Times New Roman" w:hAnsi="Times New Roman"/>
          <w:noProof/>
          <w:lang w:val="bg-BG"/>
        </w:rPr>
        <w:t>пълномощникът и лицето, оправомощено да подписва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името на кредитната институция, трябва да са постоянно пребиваващи в</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w:t>
      </w:r>
    </w:p>
    <w:p>
      <w:pPr>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Хотелиерство, ресторантьорство и обществено хранене</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Нов (по-малко ограничителен) текст за </w:t>
      </w:r>
      <w:r>
        <w:rPr>
          <w:rFonts w:ascii="Times New Roman" w:hAnsi="Times New Roman"/>
          <w:noProof/>
          <w:lang w:val="ru-RU"/>
        </w:rPr>
        <w:t>теста за икономическа потребност (</w:t>
      </w:r>
      <w:r>
        <w:rPr>
          <w:rFonts w:ascii="Times New Roman" w:hAnsi="Times New Roman"/>
          <w:noProof/>
          <w:lang w:val="bg-BG"/>
        </w:rPr>
        <w:t>ENT</w:t>
      </w:r>
      <w:r>
        <w:rPr>
          <w:rFonts w:ascii="Times New Roman" w:hAnsi="Times New Roman"/>
          <w:noProof/>
          <w:lang w:val="ru-RU"/>
        </w:rPr>
        <w:t xml:space="preserve">) </w:t>
      </w:r>
      <w:r>
        <w:rPr>
          <w:rFonts w:ascii="Times New Roman" w:hAnsi="Times New Roman"/>
          <w:noProof/>
          <w:lang w:val="bg-BG"/>
        </w:rPr>
        <w:t>на ИТ при начин на доставка 3 за барове, кафенета и</w:t>
      </w:r>
    </w:p>
    <w:p>
      <w:pPr>
        <w:spacing w:after="0"/>
        <w:ind w:left="1077"/>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ресторанти, включително задължение за недискриминационното му естество.</w:t>
      </w:r>
    </w:p>
    <w:p>
      <w:pPr>
        <w:tabs>
          <w:tab w:val="left" w:pos="-142"/>
        </w:tabs>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Туристически агенции и туроператорски услуги</w:t>
      </w:r>
    </w:p>
    <w:p>
      <w:pPr>
        <w:tabs>
          <w:tab w:val="left" w:pos="-142"/>
        </w:tabs>
        <w:spacing w:after="0"/>
        <w:ind w:left="1077"/>
        <w:jc w:val="both"/>
        <w:rPr>
          <w:rFonts w:ascii="Times New Roman" w:hAnsi="Times New Roman"/>
          <w:b/>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Премахване на </w:t>
      </w:r>
      <w:r>
        <w:rPr>
          <w:rFonts w:ascii="Times New Roman" w:hAnsi="Times New Roman"/>
          <w:noProof/>
          <w:lang w:val="ru-RU"/>
        </w:rPr>
        <w:t xml:space="preserve">теста за икономическа потребност </w:t>
      </w:r>
      <w:r>
        <w:rPr>
          <w:rFonts w:ascii="Times New Roman" w:hAnsi="Times New Roman"/>
          <w:noProof/>
          <w:lang w:val="bg-BG"/>
        </w:rPr>
        <w:t>(ENT), прилаган по отношение на начин на доставка 3 от CZ</w:t>
      </w:r>
      <w:r>
        <w:rPr>
          <w:rFonts w:ascii="Times New Roman" w:hAnsi="Times New Roman"/>
          <w:noProof/>
          <w:lang w:val="ru-RU"/>
        </w:rPr>
        <w:t>.</w:t>
      </w:r>
    </w:p>
    <w:p>
      <w:pPr>
        <w:spacing w:after="0"/>
        <w:ind w:left="36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Фризьорски услуги</w:t>
      </w:r>
    </w:p>
    <w:p>
      <w:pPr>
        <w:spacing w:after="0"/>
        <w:ind w:left="1080"/>
        <w:jc w:val="both"/>
        <w:rPr>
          <w:rFonts w:ascii="Times New Roman" w:hAnsi="Times New Roman"/>
          <w:noProof/>
          <w:lang w:val="ru-RU"/>
        </w:rPr>
      </w:pPr>
      <w:r>
        <w:rPr>
          <w:rFonts w:ascii="Times New Roman" w:hAnsi="Times New Roman"/>
          <w:b/>
          <w:noProof/>
          <w:lang w:val="ru-RU"/>
        </w:rPr>
        <w:t>-</w:t>
      </w:r>
      <w:r>
        <w:rPr>
          <w:rFonts w:ascii="Times New Roman" w:hAnsi="Times New Roman"/>
          <w:noProof/>
          <w:lang w:val="ru-RU"/>
        </w:rPr>
        <w:tab/>
      </w:r>
      <w:r>
        <w:rPr>
          <w:rFonts w:ascii="Times New Roman" w:hAnsi="Times New Roman"/>
          <w:noProof/>
          <w:lang w:val="bg-BG"/>
        </w:rPr>
        <w:t>Задължения, поети от CZ, FI, HU и SK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при начини на доставка 2 и 3</w:t>
      </w:r>
      <w:r>
        <w:rPr>
          <w:rFonts w:ascii="Times New Roman" w:hAnsi="Times New Roman"/>
          <w:noProof/>
          <w:lang w:val="ru-RU"/>
        </w:rPr>
        <w:t>.</w:t>
      </w:r>
    </w:p>
    <w:p>
      <w:pPr>
        <w:spacing w:after="0"/>
        <w:ind w:left="1434" w:hanging="357"/>
        <w:jc w:val="both"/>
        <w:rPr>
          <w:rFonts w:ascii="Times New Roman" w:hAnsi="Times New Roman"/>
          <w:noProof/>
          <w:lang w:val="ru-RU"/>
        </w:rPr>
      </w:pPr>
    </w:p>
    <w:p>
      <w:pPr>
        <w:spacing w:after="0"/>
        <w:ind w:left="1434" w:hanging="357"/>
        <w:jc w:val="both"/>
        <w:rPr>
          <w:rFonts w:ascii="Times New Roman" w:hAnsi="Times New Roman"/>
          <w:noProof/>
          <w:lang w:val="ru-RU"/>
        </w:r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bg-BG"/>
        </w:rPr>
        <w:t>Използваните съкращения се използват за обозначаване на следните държави членки:</w:t>
      </w:r>
    </w:p>
    <w:p>
      <w:pPr>
        <w:tabs>
          <w:tab w:val="left" w:pos="-720"/>
          <w:tab w:val="left" w:pos="567"/>
        </w:tabs>
        <w:suppressAutoHyphens/>
        <w:spacing w:after="0"/>
        <w:jc w:val="both"/>
        <w:rPr>
          <w:rFonts w:ascii="Times New Roman" w:hAnsi="Times New Roman"/>
          <w:noProof/>
          <w:spacing w:val="-2"/>
          <w:lang w:val="ru-RU"/>
        </w:rPr>
      </w:pPr>
    </w:p>
    <w:p>
      <w:pPr>
        <w:tabs>
          <w:tab w:val="left" w:pos="-720"/>
          <w:tab w:val="left" w:pos="567"/>
        </w:tabs>
        <w:suppressAutoHyphens/>
        <w:jc w:val="both"/>
        <w:rPr>
          <w:rFonts w:ascii="Times New Roman" w:hAnsi="Times New Roman"/>
          <w:noProof/>
          <w:spacing w:val="-2"/>
          <w:lang w:val="ru-RU"/>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AT</w:t>
      </w:r>
      <w:r>
        <w:rPr>
          <w:rFonts w:ascii="Times New Roman" w:hAnsi="Times New Roman"/>
          <w:noProof/>
          <w:spacing w:val="-2"/>
          <w:lang w:val="ru-RU"/>
        </w:rPr>
        <w:tab/>
      </w:r>
      <w:r>
        <w:rPr>
          <w:rFonts w:ascii="Times New Roman" w:hAnsi="Times New Roman"/>
          <w:noProof/>
          <w:spacing w:val="-2"/>
          <w:lang w:val="bg-BG"/>
        </w:rPr>
        <w:t>Австрия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BE</w:t>
      </w:r>
      <w:r>
        <w:rPr>
          <w:rFonts w:ascii="Times New Roman" w:hAnsi="Times New Roman"/>
          <w:noProof/>
          <w:spacing w:val="-2"/>
          <w:lang w:val="ru-RU"/>
        </w:rPr>
        <w:tab/>
      </w:r>
      <w:r>
        <w:rPr>
          <w:rFonts w:ascii="Times New Roman" w:hAnsi="Times New Roman"/>
          <w:noProof/>
          <w:spacing w:val="-2"/>
          <w:lang w:val="bg-BG"/>
        </w:rPr>
        <w:t>Белгия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CY</w:t>
      </w:r>
      <w:r>
        <w:rPr>
          <w:rFonts w:ascii="Times New Roman" w:hAnsi="Times New Roman"/>
          <w:noProof/>
          <w:spacing w:val="-2"/>
          <w:lang w:val="ru-RU"/>
        </w:rPr>
        <w:tab/>
      </w:r>
      <w:r>
        <w:rPr>
          <w:rFonts w:ascii="Times New Roman" w:hAnsi="Times New Roman"/>
          <w:noProof/>
          <w:spacing w:val="-2"/>
          <w:lang w:val="bg-BG"/>
        </w:rPr>
        <w:t>Кипър</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CZ</w:t>
      </w:r>
      <w:r>
        <w:rPr>
          <w:rFonts w:ascii="Times New Roman" w:hAnsi="Times New Roman"/>
          <w:noProof/>
          <w:spacing w:val="-2"/>
          <w:lang w:val="ru-RU"/>
        </w:rPr>
        <w:tab/>
      </w:r>
      <w:r>
        <w:rPr>
          <w:rFonts w:ascii="Times New Roman" w:hAnsi="Times New Roman"/>
          <w:noProof/>
          <w:spacing w:val="-2"/>
          <w:lang w:val="bg-BG"/>
        </w:rPr>
        <w:t>Чешка република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DE</w:t>
      </w:r>
      <w:r>
        <w:rPr>
          <w:rFonts w:ascii="Times New Roman" w:hAnsi="Times New Roman"/>
          <w:noProof/>
          <w:spacing w:val="-2"/>
          <w:lang w:val="ru-RU"/>
        </w:rPr>
        <w:tab/>
      </w:r>
      <w:r>
        <w:rPr>
          <w:rFonts w:ascii="Times New Roman" w:hAnsi="Times New Roman"/>
          <w:noProof/>
          <w:spacing w:val="-2"/>
          <w:lang w:val="bg-BG"/>
        </w:rPr>
        <w:t>Германия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DK</w:t>
      </w:r>
      <w:r>
        <w:rPr>
          <w:rFonts w:ascii="Times New Roman" w:hAnsi="Times New Roman"/>
          <w:noProof/>
          <w:spacing w:val="-2"/>
          <w:lang w:val="ru-RU"/>
        </w:rPr>
        <w:tab/>
      </w:r>
      <w:r>
        <w:rPr>
          <w:rFonts w:ascii="Times New Roman" w:hAnsi="Times New Roman"/>
          <w:noProof/>
          <w:spacing w:val="-2"/>
          <w:lang w:val="bg-BG"/>
        </w:rPr>
        <w:t>Дания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EE</w:t>
      </w:r>
      <w:r>
        <w:rPr>
          <w:rFonts w:ascii="Times New Roman" w:hAnsi="Times New Roman"/>
          <w:noProof/>
          <w:spacing w:val="-2"/>
          <w:lang w:val="ru-RU"/>
        </w:rPr>
        <w:tab/>
      </w:r>
      <w:r>
        <w:rPr>
          <w:rFonts w:ascii="Times New Roman" w:hAnsi="Times New Roman"/>
          <w:noProof/>
          <w:spacing w:val="-2"/>
          <w:lang w:val="bg-BG"/>
        </w:rPr>
        <w:t>Естония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EL</w:t>
      </w:r>
      <w:r>
        <w:rPr>
          <w:rFonts w:ascii="Times New Roman" w:hAnsi="Times New Roman"/>
          <w:noProof/>
          <w:spacing w:val="-2"/>
          <w:lang w:val="ru-RU"/>
        </w:rPr>
        <w:tab/>
      </w:r>
      <w:r>
        <w:rPr>
          <w:rFonts w:ascii="Times New Roman" w:hAnsi="Times New Roman"/>
          <w:noProof/>
          <w:spacing w:val="-2"/>
          <w:lang w:val="bg-BG"/>
        </w:rPr>
        <w:t>Гърция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ES</w:t>
      </w:r>
      <w:r>
        <w:rPr>
          <w:rFonts w:ascii="Times New Roman" w:hAnsi="Times New Roman"/>
          <w:noProof/>
          <w:spacing w:val="-2"/>
          <w:lang w:val="ru-RU"/>
        </w:rPr>
        <w:tab/>
      </w:r>
      <w:r>
        <w:rPr>
          <w:rFonts w:ascii="Times New Roman" w:hAnsi="Times New Roman"/>
          <w:noProof/>
          <w:spacing w:val="-2"/>
          <w:lang w:val="bg-BG"/>
        </w:rPr>
        <w:t>Испания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FI</w:t>
      </w:r>
      <w:r>
        <w:rPr>
          <w:rFonts w:ascii="Times New Roman" w:hAnsi="Times New Roman"/>
          <w:noProof/>
          <w:spacing w:val="-2"/>
          <w:lang w:val="ru-RU"/>
        </w:rPr>
        <w:tab/>
      </w:r>
      <w:r>
        <w:rPr>
          <w:rFonts w:ascii="Times New Roman" w:hAnsi="Times New Roman"/>
          <w:noProof/>
          <w:spacing w:val="-2"/>
          <w:lang w:val="bg-BG"/>
        </w:rPr>
        <w:t>Финландия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FR</w:t>
      </w:r>
      <w:r>
        <w:rPr>
          <w:rFonts w:ascii="Times New Roman" w:hAnsi="Times New Roman"/>
          <w:noProof/>
          <w:spacing w:val="-2"/>
          <w:lang w:val="ru-RU"/>
        </w:rPr>
        <w:tab/>
      </w:r>
      <w:r>
        <w:rPr>
          <w:rFonts w:ascii="Times New Roman" w:hAnsi="Times New Roman"/>
          <w:noProof/>
          <w:spacing w:val="-2"/>
          <w:lang w:val="bg-BG"/>
        </w:rPr>
        <w:t>Франция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HU</w:t>
      </w:r>
      <w:r>
        <w:rPr>
          <w:rFonts w:ascii="Times New Roman" w:hAnsi="Times New Roman"/>
          <w:noProof/>
          <w:spacing w:val="-2"/>
          <w:lang w:val="ru-RU"/>
        </w:rPr>
        <w:tab/>
      </w:r>
      <w:r>
        <w:rPr>
          <w:rFonts w:ascii="Times New Roman" w:hAnsi="Times New Roman"/>
          <w:noProof/>
          <w:spacing w:val="-2"/>
          <w:lang w:val="bg-BG"/>
        </w:rPr>
        <w:t>Унгария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IE</w:t>
      </w:r>
      <w:r>
        <w:rPr>
          <w:rFonts w:ascii="Times New Roman" w:hAnsi="Times New Roman"/>
          <w:noProof/>
          <w:spacing w:val="-2"/>
          <w:lang w:val="ru-RU"/>
        </w:rPr>
        <w:tab/>
      </w:r>
      <w:r>
        <w:rPr>
          <w:rFonts w:ascii="Times New Roman" w:hAnsi="Times New Roman"/>
          <w:noProof/>
          <w:spacing w:val="-2"/>
          <w:lang w:val="bg-BG"/>
        </w:rPr>
        <w:t>Ирландия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IT</w:t>
      </w:r>
      <w:r>
        <w:rPr>
          <w:rFonts w:ascii="Times New Roman" w:hAnsi="Times New Roman"/>
          <w:noProof/>
          <w:spacing w:val="-2"/>
          <w:lang w:val="ru-RU"/>
        </w:rPr>
        <w:tab/>
      </w:r>
      <w:r>
        <w:rPr>
          <w:rFonts w:ascii="Times New Roman" w:hAnsi="Times New Roman"/>
          <w:noProof/>
          <w:spacing w:val="-2"/>
          <w:lang w:val="bg-BG"/>
        </w:rPr>
        <w:t>Италия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LT</w:t>
      </w:r>
      <w:r>
        <w:rPr>
          <w:rFonts w:ascii="Times New Roman" w:hAnsi="Times New Roman"/>
          <w:noProof/>
          <w:spacing w:val="-2"/>
          <w:lang w:val="ru-RU"/>
        </w:rPr>
        <w:tab/>
      </w:r>
      <w:r>
        <w:rPr>
          <w:rFonts w:ascii="Times New Roman" w:hAnsi="Times New Roman"/>
          <w:noProof/>
          <w:spacing w:val="-2"/>
          <w:lang w:val="bg-BG"/>
        </w:rPr>
        <w:t>Литва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LU</w:t>
      </w:r>
      <w:r>
        <w:rPr>
          <w:rFonts w:ascii="Times New Roman" w:hAnsi="Times New Roman"/>
          <w:noProof/>
          <w:spacing w:val="-2"/>
          <w:lang w:val="ru-RU"/>
        </w:rPr>
        <w:t xml:space="preserve"> </w:t>
      </w:r>
      <w:r>
        <w:rPr>
          <w:rFonts w:ascii="Times New Roman" w:hAnsi="Times New Roman"/>
          <w:noProof/>
          <w:spacing w:val="-2"/>
          <w:lang w:val="ru-RU"/>
        </w:rPr>
        <w:tab/>
      </w:r>
      <w:r>
        <w:rPr>
          <w:rFonts w:ascii="Times New Roman" w:hAnsi="Times New Roman"/>
          <w:noProof/>
          <w:spacing w:val="-2"/>
          <w:lang w:val="bg-BG"/>
        </w:rPr>
        <w:t>Люксембург</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LV</w:t>
      </w:r>
      <w:r>
        <w:rPr>
          <w:rFonts w:ascii="Times New Roman" w:hAnsi="Times New Roman"/>
          <w:noProof/>
          <w:spacing w:val="-2"/>
          <w:lang w:val="ru-RU"/>
        </w:rPr>
        <w:tab/>
      </w:r>
      <w:r>
        <w:rPr>
          <w:rFonts w:ascii="Times New Roman" w:hAnsi="Times New Roman"/>
          <w:noProof/>
          <w:spacing w:val="-2"/>
          <w:lang w:val="bg-BG"/>
        </w:rPr>
        <w:t>Латвия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MT</w:t>
      </w:r>
      <w:r>
        <w:rPr>
          <w:rFonts w:ascii="Times New Roman" w:hAnsi="Times New Roman"/>
          <w:noProof/>
          <w:spacing w:val="-2"/>
          <w:lang w:val="ru-RU"/>
        </w:rPr>
        <w:tab/>
      </w:r>
      <w:r>
        <w:rPr>
          <w:rFonts w:ascii="Times New Roman" w:hAnsi="Times New Roman"/>
          <w:noProof/>
          <w:spacing w:val="-2"/>
          <w:lang w:val="bg-BG"/>
        </w:rPr>
        <w:t>Малта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NL</w:t>
      </w:r>
      <w:r>
        <w:rPr>
          <w:rFonts w:ascii="Times New Roman" w:hAnsi="Times New Roman"/>
          <w:noProof/>
          <w:spacing w:val="-2"/>
          <w:lang w:val="ru-RU"/>
        </w:rPr>
        <w:tab/>
      </w:r>
      <w:r>
        <w:rPr>
          <w:rFonts w:ascii="Times New Roman" w:hAnsi="Times New Roman"/>
          <w:noProof/>
          <w:spacing w:val="-2"/>
          <w:lang w:val="bg-BG"/>
        </w:rPr>
        <w:t>Нидерландия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PL</w:t>
      </w:r>
      <w:r>
        <w:rPr>
          <w:rFonts w:ascii="Times New Roman" w:hAnsi="Times New Roman"/>
          <w:noProof/>
          <w:spacing w:val="-2"/>
          <w:lang w:val="ru-RU"/>
        </w:rPr>
        <w:tab/>
      </w:r>
      <w:r>
        <w:rPr>
          <w:rFonts w:ascii="Times New Roman" w:hAnsi="Times New Roman"/>
          <w:noProof/>
          <w:spacing w:val="-2"/>
          <w:lang w:val="bg-BG"/>
        </w:rPr>
        <w:t>Полша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PT</w:t>
      </w:r>
      <w:r>
        <w:rPr>
          <w:rFonts w:ascii="Times New Roman" w:hAnsi="Times New Roman"/>
          <w:noProof/>
          <w:spacing w:val="-2"/>
          <w:lang w:val="ru-RU"/>
        </w:rPr>
        <w:tab/>
      </w:r>
      <w:r>
        <w:rPr>
          <w:rFonts w:ascii="Times New Roman" w:hAnsi="Times New Roman"/>
          <w:noProof/>
          <w:spacing w:val="-2"/>
          <w:lang w:val="bg-BG"/>
        </w:rPr>
        <w:t>Португалия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SE</w:t>
      </w:r>
      <w:r>
        <w:rPr>
          <w:rFonts w:ascii="Times New Roman" w:hAnsi="Times New Roman"/>
          <w:noProof/>
          <w:spacing w:val="-2"/>
          <w:lang w:val="ru-RU"/>
        </w:rPr>
        <w:tab/>
      </w:r>
      <w:r>
        <w:rPr>
          <w:rFonts w:ascii="Times New Roman" w:hAnsi="Times New Roman"/>
          <w:noProof/>
          <w:spacing w:val="-2"/>
          <w:lang w:val="bg-BG"/>
        </w:rPr>
        <w:t>Швеция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SI</w:t>
      </w:r>
      <w:r>
        <w:rPr>
          <w:rFonts w:ascii="Times New Roman" w:hAnsi="Times New Roman"/>
          <w:noProof/>
          <w:spacing w:val="-2"/>
          <w:lang w:val="ru-RU"/>
        </w:rPr>
        <w:tab/>
      </w:r>
      <w:r>
        <w:rPr>
          <w:rFonts w:ascii="Times New Roman" w:hAnsi="Times New Roman"/>
          <w:noProof/>
          <w:spacing w:val="-2"/>
          <w:lang w:val="bg-BG"/>
        </w:rPr>
        <w:t>Словения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SK</w:t>
      </w:r>
      <w:r>
        <w:rPr>
          <w:rFonts w:ascii="Times New Roman" w:hAnsi="Times New Roman"/>
          <w:noProof/>
          <w:spacing w:val="-2"/>
          <w:lang w:val="ru-RU"/>
        </w:rPr>
        <w:tab/>
      </w:r>
      <w:r>
        <w:rPr>
          <w:rFonts w:ascii="Times New Roman" w:hAnsi="Times New Roman"/>
          <w:noProof/>
          <w:spacing w:val="-2"/>
          <w:lang w:val="bg-BG"/>
        </w:rPr>
        <w:t>Словашка република</w:t>
      </w:r>
    </w:p>
    <w:p>
      <w:pPr>
        <w:tabs>
          <w:tab w:val="left" w:pos="-720"/>
          <w:tab w:val="left" w:pos="567"/>
        </w:tabs>
        <w:suppressAutoHyphens/>
        <w:spacing w:after="0"/>
        <w:jc w:val="both"/>
        <w:rPr>
          <w:rFonts w:ascii="Times New Roman" w:hAnsi="Times New Roman"/>
          <w:noProof/>
          <w:spacing w:val="-2"/>
        </w:rPr>
      </w:pPr>
      <w:r>
        <w:rPr>
          <w:rFonts w:ascii="Times New Roman" w:hAnsi="Times New Roman"/>
          <w:noProof/>
          <w:spacing w:val="-2"/>
          <w:lang w:val="ru-RU"/>
        </w:rPr>
        <w:tab/>
      </w:r>
      <w:r>
        <w:rPr>
          <w:rFonts w:ascii="Times New Roman" w:hAnsi="Times New Roman"/>
          <w:noProof/>
          <w:spacing w:val="-2"/>
        </w:rPr>
        <w:t>UK</w:t>
      </w:r>
      <w:r>
        <w:rPr>
          <w:rFonts w:ascii="Times New Roman" w:hAnsi="Times New Roman"/>
          <w:noProof/>
          <w:spacing w:val="-2"/>
        </w:rPr>
        <w:tab/>
      </w:r>
      <w:r>
        <w:rPr>
          <w:rFonts w:ascii="Times New Roman" w:hAnsi="Times New Roman"/>
          <w:noProof/>
          <w:spacing w:val="-2"/>
          <w:lang w:val="bg-BG"/>
        </w:rPr>
        <w:t>Обединеното кралство</w:t>
      </w:r>
    </w:p>
    <w:p>
      <w:pPr>
        <w:jc w:val="both"/>
        <w:rPr>
          <w:rFonts w:ascii="Times New Roman" w:hAnsi="Times New Roman"/>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spacing w:after="0"/>
        <w:jc w:val="both"/>
        <w:rPr>
          <w:rFonts w:ascii="Times New Roman" w:hAnsi="Times New Roman"/>
          <w:noProof/>
        </w:rPr>
      </w:pPr>
    </w:p>
    <w:p>
      <w:pPr>
        <w:autoSpaceDE w:val="0"/>
        <w:autoSpaceDN w:val="0"/>
        <w:adjustRightInd w:val="0"/>
        <w:spacing w:after="0"/>
        <w:jc w:val="both"/>
        <w:rPr>
          <w:rFonts w:ascii="Times New Roman" w:hAnsi="Times New Roman"/>
          <w:i/>
          <w:noProof/>
        </w:rPr>
      </w:pPr>
    </w:p>
    <w:p>
      <w:pPr>
        <w:spacing w:after="0"/>
        <w:jc w:val="center"/>
        <w:rPr>
          <w:rFonts w:ascii="Times New Roman" w:hAnsi="Times New Roman"/>
          <w:b/>
          <w:noProof/>
        </w:rPr>
      </w:pPr>
      <w:r>
        <w:rPr>
          <w:rFonts w:ascii="Times New Roman" w:hAnsi="Times New Roman"/>
          <w:b/>
          <w:noProof/>
        </w:rPr>
        <w:t>__________</w:t>
      </w:r>
    </w:p>
    <w:p>
      <w:pPr>
        <w:spacing w:after="0"/>
        <w:jc w:val="both"/>
        <w:rPr>
          <w:rFonts w:ascii="Times New Roman" w:hAnsi="Times New Roman"/>
          <w:b/>
          <w:noProof/>
        </w:rPr>
      </w:pPr>
    </w:p>
    <w:p>
      <w:pPr>
        <w:spacing w:after="0"/>
        <w:jc w:val="both"/>
        <w:rPr>
          <w:rFonts w:ascii="Times New Roman" w:hAnsi="Times New Roman"/>
          <w:b/>
          <w:noProof/>
        </w:rPr>
      </w:pPr>
    </w:p>
    <w:p>
      <w:pPr>
        <w:jc w:val="center"/>
        <w:rPr>
          <w:b/>
          <w:noProof/>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77604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71037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52833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602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6823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 w:id="2">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006CE0"/>
    <w:lvl w:ilvl="0">
      <w:numFmt w:val="bullet"/>
      <w:lvlText w:val="*"/>
      <w:lvlJc w:val="left"/>
      <w:pPr>
        <w:ind w:left="0" w:firstLine="0"/>
      </w:pPr>
    </w:lvl>
  </w:abstractNum>
  <w:abstractNum w:abstractNumId="1">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2C900D8"/>
    <w:multiLevelType w:val="multilevel"/>
    <w:tmpl w:val="262827C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720"/>
        </w:tabs>
        <w:ind w:left="0" w:firstLine="0"/>
      </w:pPr>
    </w:lvl>
    <w:lvl w:ilvl="6">
      <w:start w:val="1"/>
      <w:numFmt w:val="lowerLetter"/>
      <w:lvlText w:val="(%7)"/>
      <w:lvlJc w:val="left"/>
      <w:pPr>
        <w:tabs>
          <w:tab w:val="num" w:pos="1440"/>
        </w:tabs>
        <w:ind w:left="1440" w:hanging="720"/>
      </w:pPr>
    </w:lvl>
    <w:lvl w:ilvl="7">
      <w:start w:val="1"/>
      <w:numFmt w:val="lowerRoman"/>
      <w:pStyle w:val="BodyText2"/>
      <w:lvlText w:val="(%8)"/>
      <w:lvlJc w:val="left"/>
      <w:pPr>
        <w:tabs>
          <w:tab w:val="num" w:pos="2160"/>
        </w:tabs>
        <w:ind w:left="2160" w:hanging="720"/>
      </w:pPr>
    </w:lvl>
    <w:lvl w:ilvl="8">
      <w:start w:val="1"/>
      <w:numFmt w:val="none"/>
      <w:pStyle w:val="BodyText3"/>
      <w:lvlText w:val="-"/>
      <w:lvlJc w:val="left"/>
      <w:pPr>
        <w:tabs>
          <w:tab w:val="num" w:pos="2160"/>
        </w:tabs>
        <w:ind w:left="216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2"/>
  </w:num>
  <w:num w:numId="6">
    <w:abstractNumId w:val="1"/>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lvl w:ilvl="0">
        <w:numFmt w:val="bullet"/>
        <w:lvlText w:val=""/>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4"/>
    <w:docVar w:name="LW_ANNEX_NBR_LAST" w:val="14"/>
    <w:docVar w:name="LW_ANNEX_UNIQUE" w:val="0"/>
    <w:docVar w:name="LW_CORRIGENDUM" w:val="&lt;UNUSED&gt;"/>
    <w:docVar w:name="LW_COVERPAGE_EXISTS" w:val="True"/>
    <w:docVar w:name="LW_COVERPAGE_GUID" w:val="4E06B71F-DA17-4FCC-A29A-E55E5104324A"/>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5?\u1072? \u1089?\u1098?\u1086?\u1090?\u1074?\u1077?\u1090?\u1085?\u1080?\u1090?\u1077? \u1089?\u1087?\u1086?\u1088?\u1072?\u1079?\u1091?\u1084?\u1077?\u1085?\u1080?\u1103? \u1089?\u1098?\u1075?\u1083?\u1072?\u1089?\u1085?\u1086? \u1095?\u1083?\u1077?\u1085? XXI \u1086?\u1090? \u1043?\u1040?\u1058?\u1057? \u1089? \u1040?\u1088?\u1078?\u1077?\u1085?\u1090?\u1080?\u1085?\u1072?, \u1040?\u1074?\u1089?\u1090?\u1088?\u1072?\u1083?\u1080?\u1103?, \u1041?\u1088?\u1072?\u1079?\u1080?\u1083?\u1080?\u1103?, \u1050?\u1072?\u1085?\u1072?\u1076?\u1072?, \u1050?\u1080?\u1090?\u1072?\u1081?, \u1054?\u1090?\u1076?\u1077?\u1083?\u1085?\u1072?\u1090?\u1072? \u1084?\u1080?\u1090?\u1085?\u1080?\u1095?\u1077?\u1089?\u1082?\u1072? \u1090?\u1077?\u1088?\u1080?\u1090?\u1086?\u1088?\u1080?\u1103? \u1085?\u1072? \u1058?\u1072?\u1081?\u1074?\u1072?\u1085?, \u1055?\u1077?\u1085?\u1075?\u1091?, \u1050?\u1080?\u1085?\u1084?\u1077?\u1085? \u1080? \u1052?\u1072?\u1090?\u1094?\u1091? (\u8222?\u1050?\u1080?\u1090?\u1072?\u1081?\u1089?\u1082?\u1080? \u1058?\u1072?\u1081?\u1087?\u1077?\u8220?), \u1050?\u1086?\u1083?\u1091?\u1084?\u1073?\u1080?\u1103?, \u1050?\u1091?\u1073?\u1072?, \u1045?\u1082?\u1074?\u1072?\u1076?\u1086?\u1088?, \u1061?\u1086?\u1085?\u1075? \u1050?\u1086?\u1085?\u1075? (\u1050?\u1080?\u1090?\u1072?\u1081?), \u1048?\u1085?\u1076?\u1080?\u1103?, \u1071?\u1087?\u1086?\u1085?\u1080?\u1103?, \u1050?\u1086?\u1088?\u1077?\u1103?, \u1053?\u1086?\u1074?\u1072? \u1047?\u1077?\u1083?\u1072?\u1085?\u1076?\u1080?\u1103?, \u1060?\u1080?\u1083?\u1080?\u1087?\u1080?\u1085?\u1080?\u1090?\u1077?, \u1064?\u1074?\u1077?\u1081?\u1094?\u1072?\u1088?\u1080?\u1103? \u1080? \u1057?\u1098?\u1077?\u1076?\u1080?\u1085?\u1077?\u1085?\u1080?\u1090?\u1077? \u1065?\u1072?\u1090?\u1080? \u1086?\u1090?\u1085?\u1086?\u1089?\u1085?\u1086? \u1085?\u1077?\u1086?\u1073?\u1093?\u1086?\u1076?\u1080?\u1084?\u1080?\u1090?\u1077? \u1082?\u1086?\u1084?\u1087?\u1077?\u1085?\u1089?\u1072?\u1090?\u1086?\u1088?\u1085?\u1080? \u1082?\u1086?\u1088?\u1077?\u1082?\u1094?\u1080?\u1080? \u1074? \u1088?\u1077?\u1079?\u1091?\u1083?\u1090?\u1072?\u1090? \u1085?\u1072? \u1087?\u1088?\u1080?\u1089?\u1098?\u1077?\u1076?\u1080?\u1085?\u1103?\u1074?\u1072?\u1085?\u1077?\u1090?\u1086? \u1082?\u1098?\u1084? \u1045?\u1074?\u1088?\u1086?\u1087?\u1077?\u1081?\u1089?\u1082?\u1080?\u1103? \u1089?\u1098?\u1102?\u1079? \u1085?\u1072? \u1063?\u1077?\u1096?\u1082?\u1072?\u1090?\u1072? \u1088?\u1077?\u1087?\u1091?\u1073?\u1083?\u1080?\u1082?\u1072?, \u1056?\u1077?\u1087?\u1091?\u1073?\u1083?\u1080?\u1082?\u1072? \u1045?\u1089?\u1090?\u1086?\u1085?\u1080?\u1103?, \u1056?\u1077?\u1087?\u1091?\u1073?\u1083?\u1080?\u1082?\u1072? \u1050?\u1080?\u1087?\u1098?\u1088?, \u1056?\u1077?\u1087?\u1091?\u1073?\u1083?\u1080?\u1082?\u1072? \u1051?\u1072?\u1090?\u1074?\u1080?\u1103?, \u1056?\u1077?\u1087?\u1091?\u1073?\u1083?\u1080?\u1082?\u1072? \u1051?\u1080?\u1090?\u1074?\u1072?, \u1056?\u1077?\u1087?\u1091?\u1073?\u1083?\u1080?\u1082?\u1072? \u1059?\u1085?\u1075?\u1072?\u1088?\u1080?\u1103?, \u1056?\u1077?\u1087?\u1091?\u1073?\u1083?\u1080?\u1082?\u1072? \u1052?\u1072?\u1083?\u1090?\u1072?, \u1056?\u1077?\u1087?\u1091?\u1073?\u1083?\u1080?\u1082?\u1072? \u1040?\u1074?\u1089?\u1090?\u1088?\u1080?\u1103?, \u1056?\u1077?\u1087?\u1091?\u1073?\u1083?\u1080?\u1082?\u1072? \u1055?\u1086?\u1083?\u1096?\u1072?, \u1056?\u1077?\u1087?\u1091?\u1073?\u1083?\u1080?\u1082?\u1072? \u1057?\u1083?\u1086?\u1074?\u1077?\u1085?\u1080?\u1103?, \u1057?\u1083?\u1086?\u1074?\u1072?\u1096?\u1082?\u1072?\u1090?\u1072? \u1088?\u1077?\u1087?\u1091?\u1073?\u1083?\u1080?\u1082?\u1072?, \u1056?\u1077?\u1087?\u1091?\u1073?\u1083?\u1080?\u1082?\u1072? \u1060?\u1080?\u1085?\u1083?\u1072?\u1085?\u1076?\u1080?\u1103? \u1080? \u1050?\u1088?\u1072?\u1083?\u1089?\u1090?\u1074?\u1086? \u1064?\u1074?\u1077?\u1094?\u1080?\u1103?"/>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semiHidden/>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semiHidden/>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1D842-F492-401F-A377-669EF8C4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3504</Words>
  <Characters>19521</Characters>
  <Application>Microsoft Office Word</Application>
  <DocSecurity>0</DocSecurity>
  <Lines>424</Lines>
  <Paragraphs>150</Paragraphs>
  <ScaleCrop>false</ScaleCrop>
  <HeadingPairs>
    <vt:vector size="2" baseType="variant">
      <vt:variant>
        <vt:lpstr>Title</vt:lpstr>
      </vt:variant>
      <vt:variant>
        <vt:i4>1</vt:i4>
      </vt:variant>
    </vt:vector>
  </HeadingPairs>
  <TitlesOfParts>
    <vt:vector size="1" baseType="lpstr">
      <vt:lpstr>I</vt:lpstr>
    </vt:vector>
  </TitlesOfParts>
  <Company>European Commission</Company>
  <LinksUpToDate>false</LinksUpToDate>
  <CharactersWithSpaces>22875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Ewa ZAJDEL</dc:creator>
  <cp:lastModifiedBy>DIGIT/C6</cp:lastModifiedBy>
  <cp:revision>11</cp:revision>
  <dcterms:created xsi:type="dcterms:W3CDTF">2018-08-06T13:03:00Z</dcterms:created>
  <dcterms:modified xsi:type="dcterms:W3CDTF">2018-11-08T11:28:00Z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14</vt:lpwstr>
  </property>
  <property fmtid="{D5CDD505-2E9C-101B-9397-08002B2CF9AE}" pid="4" name="Last annex">
    <vt:lpwstr>14</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